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5CA89832" w:rsidR="00CE6588" w:rsidRPr="00003CF0" w:rsidRDefault="001C6E24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7C0BA6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30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59F95AFF" w:rsidR="00000750" w:rsidRPr="007B7EA5" w:rsidRDefault="00495137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39C583A" w:rsidR="00000750" w:rsidRPr="007B7EA5" w:rsidRDefault="00BC7D8C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2A71A6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245912" w14:paraId="3703C918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8071ED4" w14:textId="38BC59C4" w:rsidR="00245912" w:rsidRPr="00245912" w:rsidRDefault="00245912" w:rsidP="00C75FC3">
            <w:pPr>
              <w:rPr>
                <w:b w:val="0"/>
                <w:sz w:val="20"/>
                <w:szCs w:val="20"/>
              </w:rPr>
            </w:pPr>
            <w:r w:rsidRPr="00245912">
              <w:rPr>
                <w:b w:val="0"/>
                <w:sz w:val="20"/>
                <w:szCs w:val="20"/>
              </w:rPr>
              <w:t>Chris Parns</w:t>
            </w:r>
          </w:p>
        </w:tc>
        <w:tc>
          <w:tcPr>
            <w:tcW w:w="450" w:type="dxa"/>
          </w:tcPr>
          <w:p w14:paraId="54369590" w14:textId="494F09A4" w:rsidR="00245912" w:rsidRDefault="0024591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D149A64" w14:textId="16B8939D" w:rsidR="00245912" w:rsidRPr="007B7EA5" w:rsidRDefault="00F916C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Walsh</w:t>
            </w:r>
          </w:p>
        </w:tc>
        <w:tc>
          <w:tcPr>
            <w:tcW w:w="535" w:type="dxa"/>
          </w:tcPr>
          <w:p w14:paraId="2A73C971" w14:textId="527C5D67" w:rsidR="00245912" w:rsidRPr="007B7EA5" w:rsidRDefault="0024591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D853E8" w14:paraId="49BAEF8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DADDC44" w14:textId="513A7C4D" w:rsidR="00D853E8" w:rsidRPr="00D853E8" w:rsidRDefault="00D853E8" w:rsidP="00C75FC3">
            <w:pPr>
              <w:rPr>
                <w:b w:val="0"/>
                <w:sz w:val="20"/>
                <w:szCs w:val="20"/>
              </w:rPr>
            </w:pPr>
            <w:r w:rsidRPr="00D853E8">
              <w:rPr>
                <w:b w:val="0"/>
                <w:sz w:val="20"/>
                <w:szCs w:val="20"/>
              </w:rPr>
              <w:t>Naeem Mian</w:t>
            </w:r>
          </w:p>
        </w:tc>
        <w:tc>
          <w:tcPr>
            <w:tcW w:w="450" w:type="dxa"/>
          </w:tcPr>
          <w:p w14:paraId="61E7D14D" w14:textId="2F4CD0B7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5556472" w14:textId="1C6E33D8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14:paraId="07FB2B5B" w14:textId="54F70043" w:rsidR="00D853E8" w:rsidRPr="007B7EA5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245912" w:rsidRDefault="00AE0013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245912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 w:rsidRPr="00245912">
              <w:rPr>
                <w:rFonts w:eastAsia="Times New Roman" w:cs="Times New Roman"/>
                <w:sz w:val="22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245912" w:rsidRDefault="00AE0013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96D4862" w14:textId="52DB2544" w:rsidR="00AE0013" w:rsidRPr="00245912" w:rsidRDefault="00495137" w:rsidP="003F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</w:t>
            </w:r>
            <w:r w:rsidR="003F0601" w:rsidRPr="00245912">
              <w:rPr>
                <w:sz w:val="22"/>
              </w:rPr>
              <w:t xml:space="preserve"> with </w:t>
            </w:r>
            <w:r w:rsidR="008023D2" w:rsidRPr="00245912">
              <w:rPr>
                <w:sz w:val="22"/>
              </w:rPr>
              <w:t>Josh</w:t>
            </w:r>
            <w:r w:rsidR="003F0601" w:rsidRPr="00245912">
              <w:rPr>
                <w:sz w:val="22"/>
              </w:rPr>
              <w:t xml:space="preserve"> who is supposed to submit Resource Request</w:t>
            </w:r>
          </w:p>
        </w:tc>
        <w:tc>
          <w:tcPr>
            <w:tcW w:w="1322" w:type="dxa"/>
          </w:tcPr>
          <w:p w14:paraId="007EAB9A" w14:textId="77777777" w:rsidR="00AE0013" w:rsidRPr="00245912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45912" w:rsidRPr="00D7297B" w14:paraId="76222445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3C1E1502" w:rsidR="003F0601" w:rsidRPr="00245912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12/30</w:t>
            </w:r>
            <w:r w:rsidR="003F0601" w:rsidRPr="00245912">
              <w:rPr>
                <w:sz w:val="22"/>
              </w:rPr>
              <w:t>/2015</w:t>
            </w:r>
          </w:p>
        </w:tc>
        <w:tc>
          <w:tcPr>
            <w:tcW w:w="3870" w:type="dxa"/>
          </w:tcPr>
          <w:p w14:paraId="255C991E" w14:textId="318A663E" w:rsidR="003F0601" w:rsidRPr="00245912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Install Capture Agents on Servers and Client</w:t>
            </w:r>
          </w:p>
        </w:tc>
        <w:tc>
          <w:tcPr>
            <w:tcW w:w="1350" w:type="dxa"/>
          </w:tcPr>
          <w:p w14:paraId="6C6AC8DF" w14:textId="1C9D8F4E" w:rsidR="003F0601" w:rsidRPr="00245912" w:rsidRDefault="00D300FF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Brad/Tony</w:t>
            </w:r>
            <w:r w:rsidR="003F0601" w:rsidRPr="00245912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066A0A65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C79F22" w14:textId="3FE521B0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2430A7EE" w14:textId="777FBBC7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 Ports for Capture Agents to be Installed on AITC Server</w:t>
            </w:r>
          </w:p>
        </w:tc>
        <w:tc>
          <w:tcPr>
            <w:tcW w:w="1350" w:type="dxa"/>
          </w:tcPr>
          <w:p w14:paraId="79A7215C" w14:textId="74D7A61B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1BB7C6B4" w14:textId="243D0F34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744E99AA" w14:textId="77777777" w:rsidR="007C0BA6" w:rsidRPr="00245912" w:rsidRDefault="007C0BA6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1A67C01B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57F68DB" w14:textId="68F5671E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3E6733F" w14:textId="41777B1F" w:rsidR="007C0BA6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Define the data to be captured</w:t>
            </w:r>
          </w:p>
        </w:tc>
        <w:tc>
          <w:tcPr>
            <w:tcW w:w="1350" w:type="dxa"/>
          </w:tcPr>
          <w:p w14:paraId="6AE021FC" w14:textId="2D2804A6" w:rsidR="007C0BA6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3384A22E" w14:textId="158C07A9" w:rsidR="007C0BA6" w:rsidRPr="00245912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24E8C44" w14:textId="77777777" w:rsidR="007C0BA6" w:rsidRPr="00245912" w:rsidRDefault="007C0BA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7CEAA98E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7015A64" w14:textId="4C87F1A6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9F56F96" w14:textId="282ABB8C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Run Tests to Capture Data</w:t>
            </w:r>
          </w:p>
        </w:tc>
        <w:tc>
          <w:tcPr>
            <w:tcW w:w="1350" w:type="dxa"/>
          </w:tcPr>
          <w:p w14:paraId="57C6D5B6" w14:textId="2EB13800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020189A7" w14:textId="1FD020F5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00A79AD" w14:textId="77777777" w:rsidR="007C0BA6" w:rsidRPr="00245912" w:rsidRDefault="007C0BA6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A7F88" w:rsidRPr="00D7297B" w14:paraId="67AAC604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D68DE4C" w14:textId="377356DE" w:rsidR="00AA7F88" w:rsidRDefault="00AA7F88" w:rsidP="005B2313">
            <w:pPr>
              <w:rPr>
                <w:sz w:val="22"/>
              </w:rPr>
            </w:pPr>
            <w:r>
              <w:rPr>
                <w:sz w:val="22"/>
              </w:rPr>
              <w:t>12/29/2015</w:t>
            </w:r>
          </w:p>
        </w:tc>
        <w:tc>
          <w:tcPr>
            <w:tcW w:w="3870" w:type="dxa"/>
          </w:tcPr>
          <w:p w14:paraId="6B24FC3F" w14:textId="3A003E1D" w:rsidR="00AA7F88" w:rsidRDefault="00AA7F88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steps to access VistA on the AITC for all members of the team who will be testing.</w:t>
            </w:r>
          </w:p>
        </w:tc>
        <w:tc>
          <w:tcPr>
            <w:tcW w:w="1350" w:type="dxa"/>
          </w:tcPr>
          <w:p w14:paraId="04EDF9CC" w14:textId="44C53C32" w:rsidR="00AA7F88" w:rsidRDefault="00AA7F88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3894B2CB" w14:textId="54CB9AE1" w:rsidR="00AA7F88" w:rsidRDefault="00AA7F88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B9BEB9D" w14:textId="77777777" w:rsidR="00AA7F88" w:rsidRPr="00245912" w:rsidRDefault="00AA7F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04584DE5" w14:textId="77777777" w:rsidR="00BC7D8C" w:rsidRDefault="00BC7D8C" w:rsidP="00AA7F88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 xml:space="preserve">Cecelia did not have any COR meeting updates because the </w:t>
            </w:r>
            <w:r w:rsidR="00AA7F88">
              <w:t>meeting was cancelled.</w:t>
            </w:r>
          </w:p>
          <w:p w14:paraId="0158E113" w14:textId="5BC8310B" w:rsidR="0033285A" w:rsidRPr="0064043A" w:rsidRDefault="003667D4" w:rsidP="003667D4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 xml:space="preserve">The team spent the time working on the </w:t>
            </w:r>
            <w:r w:rsidRPr="003667D4">
              <w:t>OneVA Pharmacy ETA Compli</w:t>
            </w:r>
            <w:r>
              <w:t>ance Checklist.  Items were reviewed and Kathy was the scribe.  Kathy to update the document and send to Bill Walsh for the outstanding item that needs more information to complete.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61015" w14:textId="77777777" w:rsidR="006D3F65" w:rsidRDefault="006D3F65" w:rsidP="00CE6588">
      <w:pPr>
        <w:spacing w:before="0" w:after="0"/>
      </w:pPr>
      <w:r>
        <w:separator/>
      </w:r>
    </w:p>
  </w:endnote>
  <w:endnote w:type="continuationSeparator" w:id="0">
    <w:p w14:paraId="39B209A2" w14:textId="77777777" w:rsidR="006D3F65" w:rsidRDefault="006D3F65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296490F9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3F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25AD8" w14:textId="77777777" w:rsidR="006D3F65" w:rsidRDefault="006D3F65" w:rsidP="00CE6588">
      <w:pPr>
        <w:spacing w:before="0" w:after="0"/>
      </w:pPr>
      <w:r>
        <w:separator/>
      </w:r>
    </w:p>
  </w:footnote>
  <w:footnote w:type="continuationSeparator" w:id="0">
    <w:p w14:paraId="28723A77" w14:textId="77777777" w:rsidR="006D3F65" w:rsidRDefault="006D3F65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74603"/>
    <w:rsid w:val="00286E27"/>
    <w:rsid w:val="002A72FF"/>
    <w:rsid w:val="002B4F61"/>
    <w:rsid w:val="002C4C73"/>
    <w:rsid w:val="002C6A62"/>
    <w:rsid w:val="002E7454"/>
    <w:rsid w:val="002E77B2"/>
    <w:rsid w:val="00302B2A"/>
    <w:rsid w:val="00313CF9"/>
    <w:rsid w:val="0032633C"/>
    <w:rsid w:val="0033285A"/>
    <w:rsid w:val="003434C1"/>
    <w:rsid w:val="00352B87"/>
    <w:rsid w:val="00355550"/>
    <w:rsid w:val="00357D28"/>
    <w:rsid w:val="003652B5"/>
    <w:rsid w:val="003667D4"/>
    <w:rsid w:val="00384D57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E235E"/>
    <w:rsid w:val="004E425E"/>
    <w:rsid w:val="004E69B7"/>
    <w:rsid w:val="004F3D1C"/>
    <w:rsid w:val="00532320"/>
    <w:rsid w:val="00557872"/>
    <w:rsid w:val="00570578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D3F65"/>
    <w:rsid w:val="006D79F3"/>
    <w:rsid w:val="006F4F75"/>
    <w:rsid w:val="00712E45"/>
    <w:rsid w:val="00733CDB"/>
    <w:rsid w:val="007413A4"/>
    <w:rsid w:val="007475FC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A7F88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609D3"/>
    <w:rsid w:val="00B65924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C7D8C"/>
    <w:rsid w:val="00BD0FE2"/>
    <w:rsid w:val="00BD1F00"/>
    <w:rsid w:val="00BE1473"/>
    <w:rsid w:val="00BF28A8"/>
    <w:rsid w:val="00BF2BA6"/>
    <w:rsid w:val="00C0025F"/>
    <w:rsid w:val="00C05CE3"/>
    <w:rsid w:val="00C31B60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300FF"/>
    <w:rsid w:val="00D31594"/>
    <w:rsid w:val="00D366BE"/>
    <w:rsid w:val="00D41C0F"/>
    <w:rsid w:val="00D41C22"/>
    <w:rsid w:val="00D4271B"/>
    <w:rsid w:val="00D43484"/>
    <w:rsid w:val="00D5061B"/>
    <w:rsid w:val="00D6236B"/>
    <w:rsid w:val="00D6314F"/>
    <w:rsid w:val="00D64ABF"/>
    <w:rsid w:val="00D66FD1"/>
    <w:rsid w:val="00D7297B"/>
    <w:rsid w:val="00D81087"/>
    <w:rsid w:val="00D82D58"/>
    <w:rsid w:val="00D853E8"/>
    <w:rsid w:val="00DA1BDD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F8B"/>
    <w:rsid w:val="00EF0678"/>
    <w:rsid w:val="00F06C05"/>
    <w:rsid w:val="00F07ED7"/>
    <w:rsid w:val="00F11577"/>
    <w:rsid w:val="00F232DB"/>
    <w:rsid w:val="00F711E5"/>
    <w:rsid w:val="00F82473"/>
    <w:rsid w:val="00F916CA"/>
    <w:rsid w:val="00F91C3D"/>
    <w:rsid w:val="00FA00C0"/>
    <w:rsid w:val="00FA05BF"/>
    <w:rsid w:val="00FB27EC"/>
    <w:rsid w:val="00FB5DFE"/>
    <w:rsid w:val="00FB6090"/>
    <w:rsid w:val="00FB64B8"/>
    <w:rsid w:val="00FC54A0"/>
    <w:rsid w:val="00FD582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0C2DFED5-9DC7-41D5-8239-C34F593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EA05FD-4E15-461C-B9AE-5C9A5357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4</cp:revision>
  <dcterms:created xsi:type="dcterms:W3CDTF">2015-12-30T13:45:00Z</dcterms:created>
  <dcterms:modified xsi:type="dcterms:W3CDTF">2016-01-04T15:05:00Z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