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3A9A27A" w:rsidR="00CE6588" w:rsidRPr="00003CF0" w:rsidRDefault="00093B75" w:rsidP="0043275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D61789">
              <w:rPr>
                <w:rFonts w:ascii="Times New Roman" w:hAnsi="Times New Roman"/>
                <w:i w:val="0"/>
                <w:color w:val="auto"/>
                <w:sz w:val="22"/>
                <w:szCs w:val="22"/>
              </w:rPr>
              <w:t>15</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12B67B42" w:rsidR="00754D46" w:rsidRDefault="00D61789" w:rsidP="00CE6588">
      <w:r>
        <w:t>Team members from the HDR/CDS joined today’s call.  This included Ashit Shah, Narasa Sarala, Baron Woods, Gary Tomlinson, and Brenden McNamara</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34A03ECA"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31DADAEB" w:rsidR="00000750" w:rsidRPr="007B7EA5" w:rsidRDefault="00093B7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2C9678C6" w14:textId="77777777" w:rsidR="00D61789" w:rsidRDefault="00D61789" w:rsidP="00F00D46">
            <w:pPr>
              <w:pStyle w:val="ListParagraph"/>
              <w:numPr>
                <w:ilvl w:val="0"/>
                <w:numId w:val="11"/>
              </w:numPr>
              <w:spacing w:before="0" w:after="200" w:line="276" w:lineRule="auto"/>
            </w:pPr>
            <w:r>
              <w:t>The question was raised, what do we need on the VistA environment to establish connectivity so that HDR/CDS would acknowledge the 4-VistA instances and update the repository with the test patients and prescriptions.</w:t>
            </w:r>
          </w:p>
          <w:p w14:paraId="2C3CB93C" w14:textId="1FA82C6E" w:rsidR="00D61789" w:rsidRPr="00D61789" w:rsidRDefault="00D61789" w:rsidP="00060C02">
            <w:pPr>
              <w:pStyle w:val="ListParagraph"/>
              <w:numPr>
                <w:ilvl w:val="0"/>
                <w:numId w:val="11"/>
              </w:numPr>
              <w:spacing w:before="0" w:after="200" w:line="276" w:lineRule="auto"/>
              <w:rPr>
                <w:sz w:val="22"/>
              </w:rPr>
            </w:pPr>
            <w:r>
              <w:t xml:space="preserve">The HDR/CDS team fielded many questions and held discussions between themselves to understand the OneVA Pharmacy and it’s needs.  A point of clarification came when the question was </w:t>
            </w:r>
            <w:r w:rsidR="00687985">
              <w:t>raised</w:t>
            </w:r>
            <w:r>
              <w:t xml:space="preserve"> about this action item:</w:t>
            </w:r>
          </w:p>
          <w:p w14:paraId="5ABFE04C" w14:textId="77777777" w:rsidR="00687985" w:rsidRPr="00687985" w:rsidRDefault="00D61789" w:rsidP="007A6321">
            <w:pPr>
              <w:pStyle w:val="ListParagraph"/>
              <w:numPr>
                <w:ilvl w:val="1"/>
                <w:numId w:val="11"/>
              </w:numPr>
              <w:spacing w:before="0" w:after="200" w:line="276" w:lineRule="auto"/>
            </w:pPr>
            <w:r w:rsidRPr="00687985">
              <w:rPr>
                <w:sz w:val="22"/>
              </w:rPr>
              <w:t>HDR/CDS: HDR Team needs to work with the System admin of that server to get it installed.  This will need to happen after the VistA system is up and running.   Have the system admin contact me when one servers are ready.  My contact information is below.</w:t>
            </w:r>
            <w:r w:rsidRPr="00687985">
              <w:rPr>
                <w:i/>
                <w:iCs/>
                <w:sz w:val="22"/>
              </w:rPr>
              <w:t xml:space="preserve"> J. Brenden McNamara</w:t>
            </w:r>
          </w:p>
          <w:p w14:paraId="71E0F0B0" w14:textId="2CA6E1ED" w:rsidR="00687985" w:rsidRDefault="00D61789" w:rsidP="00687985">
            <w:pPr>
              <w:pStyle w:val="ListParagraph"/>
              <w:numPr>
                <w:ilvl w:val="2"/>
                <w:numId w:val="11"/>
              </w:numPr>
              <w:spacing w:before="0" w:after="200" w:line="276" w:lineRule="auto"/>
            </w:pPr>
            <w:r w:rsidRPr="00687985">
              <w:lastRenderedPageBreak/>
              <w:t>Bren</w:t>
            </w:r>
            <w:r w:rsidR="00687985">
              <w:t>den</w:t>
            </w:r>
            <w:r w:rsidRPr="00687985">
              <w:t xml:space="preserve"> replied that now that he has a better understanding of the OneVA Pharmacy initiative he suggested to reach out to </w:t>
            </w:r>
            <w:r w:rsidR="00687985" w:rsidRPr="00687985">
              <w:t>J</w:t>
            </w:r>
            <w:r w:rsidR="00687985">
              <w:t xml:space="preserve">esse Bruun is knowledgeable in </w:t>
            </w:r>
            <w:r w:rsidR="00687985" w:rsidRPr="00687985">
              <w:t>setting up the VDEF links in our test environments.</w:t>
            </w:r>
            <w:r w:rsidR="00687985" w:rsidRPr="00687985">
              <w:t xml:space="preserve"> </w:t>
            </w:r>
            <w:hyperlink r:id="rId12" w:history="1">
              <w:r w:rsidR="00687985" w:rsidRPr="00687985">
                <w:rPr>
                  <w:rStyle w:val="Hyperlink"/>
                  <w:rFonts w:ascii="Calibri" w:hAnsi="Calibri"/>
                  <w:color w:val="auto"/>
                  <w:sz w:val="22"/>
                </w:rPr>
                <w:t>Jesse.Brunn@va.gov</w:t>
              </w:r>
            </w:hyperlink>
            <w:r w:rsidR="00687985">
              <w:t>. VIE needs to be established in the AITC but the HDR/CDS team stated they may be able to use their own ‘VIE’.</w:t>
            </w:r>
          </w:p>
          <w:p w14:paraId="29F9581E" w14:textId="04ACB6C9" w:rsidR="00687985" w:rsidRDefault="00687985" w:rsidP="00687985">
            <w:pPr>
              <w:pStyle w:val="ListParagraph"/>
              <w:numPr>
                <w:ilvl w:val="1"/>
                <w:numId w:val="11"/>
              </w:numPr>
              <w:spacing w:before="0" w:after="200" w:line="276" w:lineRule="auto"/>
            </w:pPr>
            <w:r>
              <w:t>Another discussion between the HDR/CDS members was about the sites. Cecelia provided the following:</w:t>
            </w:r>
          </w:p>
          <w:p w14:paraId="70ECF00B" w14:textId="5DE02A99" w:rsidR="00687985" w:rsidRDefault="00687985" w:rsidP="00687985">
            <w:pPr>
              <w:pStyle w:val="ListParagraph"/>
              <w:numPr>
                <w:ilvl w:val="2"/>
                <w:numId w:val="11"/>
              </w:numPr>
              <w:spacing w:before="0" w:after="200" w:line="276" w:lineRule="auto"/>
            </w:pPr>
            <w:r>
              <w:t>Site 664 Phoenix</w:t>
            </w:r>
          </w:p>
          <w:p w14:paraId="7BCF25F7" w14:textId="0E1C18C0" w:rsidR="00687985" w:rsidRDefault="00687985" w:rsidP="00687985">
            <w:pPr>
              <w:pStyle w:val="ListParagraph"/>
              <w:numPr>
                <w:ilvl w:val="2"/>
                <w:numId w:val="11"/>
              </w:numPr>
              <w:spacing w:before="0" w:after="200" w:line="276" w:lineRule="auto"/>
            </w:pPr>
            <w:r>
              <w:t>Site 660 Salt Lake City</w:t>
            </w:r>
          </w:p>
          <w:p w14:paraId="66EE42AF" w14:textId="03FACD86" w:rsidR="00687985" w:rsidRDefault="00687985" w:rsidP="00687985">
            <w:pPr>
              <w:pStyle w:val="ListParagraph"/>
              <w:numPr>
                <w:ilvl w:val="2"/>
                <w:numId w:val="11"/>
              </w:numPr>
              <w:spacing w:before="0" w:after="200" w:line="276" w:lineRule="auto"/>
            </w:pPr>
            <w:r>
              <w:t>Site 554 Denver</w:t>
            </w:r>
          </w:p>
          <w:p w14:paraId="47AB3970" w14:textId="723D5029" w:rsidR="00687985" w:rsidRPr="00687985" w:rsidRDefault="00687985" w:rsidP="00687985">
            <w:pPr>
              <w:pStyle w:val="ListParagraph"/>
              <w:numPr>
                <w:ilvl w:val="2"/>
                <w:numId w:val="11"/>
              </w:numPr>
              <w:spacing w:before="0" w:after="200" w:line="276" w:lineRule="auto"/>
            </w:pPr>
            <w:r>
              <w:t>Site 575 Grand Junction</w:t>
            </w:r>
          </w:p>
          <w:p w14:paraId="7AE9308A" w14:textId="77777777" w:rsidR="00FB629F" w:rsidRDefault="00687985" w:rsidP="00687985">
            <w:pPr>
              <w:pStyle w:val="ListParagraph"/>
              <w:numPr>
                <w:ilvl w:val="2"/>
                <w:numId w:val="11"/>
              </w:numPr>
              <w:spacing w:before="0" w:after="200" w:line="276" w:lineRule="auto"/>
              <w:rPr>
                <w:sz w:val="22"/>
              </w:rPr>
            </w:pPr>
            <w:r>
              <w:rPr>
                <w:sz w:val="22"/>
              </w:rPr>
              <w:t>When working with Jessie and Ashit, these sites should be mentioned in all Emails to make certain there is no duplication in the HDR/CDS testing repositories.</w:t>
            </w:r>
          </w:p>
          <w:p w14:paraId="69044F04" w14:textId="77777777" w:rsidR="00687985" w:rsidRDefault="00687985" w:rsidP="00687985">
            <w:pPr>
              <w:pStyle w:val="ListParagraph"/>
              <w:numPr>
                <w:ilvl w:val="0"/>
                <w:numId w:val="11"/>
              </w:numPr>
              <w:spacing w:before="0" w:after="200" w:line="276" w:lineRule="auto"/>
              <w:rPr>
                <w:sz w:val="22"/>
              </w:rPr>
            </w:pPr>
            <w:r>
              <w:rPr>
                <w:sz w:val="22"/>
              </w:rPr>
              <w:t>The HDR/CDS team asked for an architectural overview. During the meeting Kathy submitted an Email to the HDR/CDS team members and requested any feedback if there are missteps and/or corrections that need to be made.  Narasa said she would take a look at it and to be certain to send to Jessie.  Jessie was included on the Email.</w:t>
            </w:r>
          </w:p>
          <w:p w14:paraId="3C4CB5B9" w14:textId="3AA97A25" w:rsidR="00687985" w:rsidRDefault="00687985" w:rsidP="00687985">
            <w:pPr>
              <w:pStyle w:val="ListParagraph"/>
              <w:numPr>
                <w:ilvl w:val="0"/>
                <w:numId w:val="11"/>
              </w:numPr>
              <w:spacing w:before="0" w:after="200" w:line="276" w:lineRule="auto"/>
              <w:rPr>
                <w:sz w:val="22"/>
              </w:rPr>
            </w:pPr>
            <w:r>
              <w:rPr>
                <w:sz w:val="22"/>
              </w:rPr>
              <w:t>In discussions about VIE – a high level summary may include – within the HDR/CDS VIE the VistA instances are defined – those links trigger and export data from VistA to HDR/CDS via HL7 logical links. The HL7 event is triggered – VDEF is the listener therefore the VDEP link needs to be established. About 7-years ago Pharmacy package was set up with the trigger in the HDR/CDS</w:t>
            </w:r>
            <w:r w:rsidR="00E809D0">
              <w:rPr>
                <w:sz w:val="22"/>
              </w:rPr>
              <w:t>.  Narasa mentioned she would tak</w:t>
            </w:r>
            <w:r w:rsidR="00A33F9B">
              <w:rPr>
                <w:sz w:val="22"/>
              </w:rPr>
              <w:t>e a moment and see what she could fin</w:t>
            </w:r>
          </w:p>
          <w:p w14:paraId="0158E113" w14:textId="53A88380" w:rsidR="00A33F9B" w:rsidRPr="00687985" w:rsidRDefault="00A33F9B" w:rsidP="00687985">
            <w:pPr>
              <w:pStyle w:val="ListParagraph"/>
              <w:numPr>
                <w:ilvl w:val="0"/>
                <w:numId w:val="11"/>
              </w:numPr>
              <w:spacing w:before="0" w:after="200" w:line="276" w:lineRule="auto"/>
              <w:rPr>
                <w:sz w:val="22"/>
              </w:rPr>
            </w:pPr>
            <w:r>
              <w:rPr>
                <w:sz w:val="22"/>
              </w:rPr>
              <w:t>Jessie to set up the links and Ashit to configure the 4-data sources.</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4FF1A" w14:textId="77777777" w:rsidR="000F3462" w:rsidRDefault="000F3462" w:rsidP="00CE6588">
      <w:pPr>
        <w:spacing w:before="0" w:after="0"/>
      </w:pPr>
      <w:r>
        <w:separator/>
      </w:r>
    </w:p>
  </w:endnote>
  <w:endnote w:type="continuationSeparator" w:id="0">
    <w:p w14:paraId="6B2C7747" w14:textId="77777777" w:rsidR="000F3462" w:rsidRDefault="000F3462"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E6F69B8" w:rsidR="00233888" w:rsidRDefault="00233888">
        <w:pPr>
          <w:pStyle w:val="Footer"/>
          <w:jc w:val="center"/>
        </w:pPr>
        <w:r>
          <w:fldChar w:fldCharType="begin"/>
        </w:r>
        <w:r>
          <w:instrText xml:space="preserve"> PAGE   \* MERGEFORMAT </w:instrText>
        </w:r>
        <w:r>
          <w:fldChar w:fldCharType="separate"/>
        </w:r>
        <w:r w:rsidR="00A33F9B">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5E7E7" w14:textId="77777777" w:rsidR="000F3462" w:rsidRDefault="000F3462" w:rsidP="00CE6588">
      <w:pPr>
        <w:spacing w:before="0" w:after="0"/>
      </w:pPr>
      <w:r>
        <w:separator/>
      </w:r>
    </w:p>
  </w:footnote>
  <w:footnote w:type="continuationSeparator" w:id="0">
    <w:p w14:paraId="3FD62618" w14:textId="77777777" w:rsidR="000F3462" w:rsidRDefault="000F3462"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A3A"/>
    <w:rsid w:val="00245243"/>
    <w:rsid w:val="00245912"/>
    <w:rsid w:val="002518FA"/>
    <w:rsid w:val="0025545B"/>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4F75"/>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7A4B"/>
    <w:rsid w:val="00A60960"/>
    <w:rsid w:val="00A85C59"/>
    <w:rsid w:val="00A87C54"/>
    <w:rsid w:val="00A90AA7"/>
    <w:rsid w:val="00AA303C"/>
    <w:rsid w:val="00AA7F88"/>
    <w:rsid w:val="00AC388D"/>
    <w:rsid w:val="00AE0013"/>
    <w:rsid w:val="00AF3FB6"/>
    <w:rsid w:val="00B02882"/>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B0527"/>
    <w:rsid w:val="00BB627E"/>
    <w:rsid w:val="00BC2F6B"/>
    <w:rsid w:val="00BC7D8C"/>
    <w:rsid w:val="00BD0FE2"/>
    <w:rsid w:val="00BD1F00"/>
    <w:rsid w:val="00BE1473"/>
    <w:rsid w:val="00BE481D"/>
    <w:rsid w:val="00BF28A8"/>
    <w:rsid w:val="00BF2BA6"/>
    <w:rsid w:val="00C0025F"/>
    <w:rsid w:val="00C05CE3"/>
    <w:rsid w:val="00C31B60"/>
    <w:rsid w:val="00C41571"/>
    <w:rsid w:val="00C44B74"/>
    <w:rsid w:val="00C4790E"/>
    <w:rsid w:val="00C60FBE"/>
    <w:rsid w:val="00C75FC3"/>
    <w:rsid w:val="00C80CED"/>
    <w:rsid w:val="00C81591"/>
    <w:rsid w:val="00C85B69"/>
    <w:rsid w:val="00C964DC"/>
    <w:rsid w:val="00CB0781"/>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809D0"/>
    <w:rsid w:val="00E95533"/>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sse.Brunn@va.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89897413-2DCD-4ADD-ACEE-287BF5BA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2</cp:revision>
  <dcterms:created xsi:type="dcterms:W3CDTF">2016-01-19T17:12:00Z</dcterms:created>
  <dcterms:modified xsi:type="dcterms:W3CDTF">2016-01-19T17:12:00Z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