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888BBD9" w:rsidR="00CE6588" w:rsidRPr="002E68F3" w:rsidRDefault="00003A92" w:rsidP="00D461C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904739">
              <w:rPr>
                <w:rStyle w:val="CommentReference"/>
              </w:rPr>
              <w:t>1</w:t>
            </w:r>
            <w:r w:rsidR="00854DAE">
              <w:rPr>
                <w:rStyle w:val="CommentReference"/>
              </w:rPr>
              <w:t>7</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A66526A" w:rsidR="00663AE5" w:rsidRPr="007B7EA5" w:rsidRDefault="00D461CE"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8E01494" w:rsidR="00663AE5" w:rsidRPr="007B7EA5" w:rsidRDefault="00D461CE"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0DA31C2" w:rsidR="00663AE5" w:rsidRDefault="00E11471"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EC45743" w:rsidR="00663AE5" w:rsidRPr="007B7EA5" w:rsidRDefault="00D461CE"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B7618A7" w:rsidR="00663AE5" w:rsidRPr="007B7EA5" w:rsidRDefault="00D461CE"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52471F18" w:rsidR="009746A4" w:rsidRPr="007B7EA5" w:rsidRDefault="00854DAE"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lastRenderedPageBreak/>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lastRenderedPageBreak/>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lastRenderedPageBreak/>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lastRenderedPageBreak/>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w:t>
            </w:r>
            <w:r>
              <w:lastRenderedPageBreak/>
              <w:t xml:space="preserve">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9C3BB" w14:textId="77777777" w:rsidR="00D76F8D" w:rsidRDefault="00D76F8D" w:rsidP="00CE6588">
      <w:pPr>
        <w:spacing w:before="0" w:after="0"/>
      </w:pPr>
      <w:r>
        <w:separator/>
      </w:r>
    </w:p>
  </w:endnote>
  <w:endnote w:type="continuationSeparator" w:id="0">
    <w:p w14:paraId="74269979" w14:textId="77777777" w:rsidR="00D76F8D" w:rsidRDefault="00D76F8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EED7158" w:rsidR="00854DAE" w:rsidRDefault="00854DAE">
        <w:pPr>
          <w:pStyle w:val="Footer"/>
          <w:jc w:val="center"/>
        </w:pPr>
        <w:r>
          <w:fldChar w:fldCharType="begin"/>
        </w:r>
        <w:r>
          <w:instrText xml:space="preserve"> PAGE   \* MERGEFORMAT </w:instrText>
        </w:r>
        <w:r>
          <w:fldChar w:fldCharType="separate"/>
        </w:r>
        <w:r w:rsidR="00113351">
          <w:rPr>
            <w:noProof/>
          </w:rPr>
          <w:t>1</w:t>
        </w:r>
        <w:r>
          <w:rPr>
            <w:noProof/>
          </w:rPr>
          <w:fldChar w:fldCharType="end"/>
        </w:r>
      </w:p>
    </w:sdtContent>
  </w:sdt>
  <w:p w14:paraId="593BD72B" w14:textId="77777777" w:rsidR="00854DAE" w:rsidRDefault="00854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232BB" w14:textId="77777777" w:rsidR="00D76F8D" w:rsidRDefault="00D76F8D" w:rsidP="00CE6588">
      <w:pPr>
        <w:spacing w:before="0" w:after="0"/>
      </w:pPr>
      <w:r>
        <w:separator/>
      </w:r>
    </w:p>
  </w:footnote>
  <w:footnote w:type="continuationSeparator" w:id="0">
    <w:p w14:paraId="2B1CE3D3" w14:textId="77777777" w:rsidR="00D76F8D" w:rsidRDefault="00D76F8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54DAE" w:rsidRDefault="00854DA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3D8751-B9BD-4583-AB71-F747CFDE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7437</Words>
  <Characters>42392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2016-02-17T17:17:00Z</dcterms:created>
  <dcterms:modified xsi:type="dcterms:W3CDTF">2016-02-17T17:17:00Z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