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48"/>
          <w:szCs w:val="48"/>
        </w:rPr>
        <w:t xml:space="preserve">Process Parameter Optimisation of Selective Laser Sintering: A Comprehensive Study on Mechanical Properties and Surface Quality</w:t>
      </w:r>
    </w:p>
    <w:p>
      <w:pPr>
        <w:spacing w:after="60" w:before="0"/>
        <w:jc w:val="center"/>
      </w:pPr>
      <w:r>
        <w:rPr>
          <w:rFonts w:ascii="Times New Roman" w:cs="Times New Roman" w:eastAsia="Times New Roman" w:hAnsi="Times New Roman"/>
          <w:b w:val="false"/>
          <w:bCs w:val="false"/>
          <w:i/>
          <w:iCs/>
          <w:sz w:val="20"/>
          <w:szCs w:val="20"/>
        </w:rPr>
        <w:t xml:space="preserve">Author 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Author 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Author 3</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Author 4</w:t>
      </w:r>
    </w:p>
    <w:p>
      <w:pPr>
        <w:spacing w:after="60" w:before="0"/>
        <w:jc w:val="center"/>
      </w:pPr>
      <w:r>
        <w:rPr>
          <w:rFonts w:ascii="Times New Roman" w:cs="Times New Roman" w:eastAsia="Times New Roman" w:hAnsi="Times New Roman"/>
          <w:i/>
          <w:iCs/>
          <w:sz w:val="20"/>
          <w:szCs w:val="20"/>
        </w:rPr>
        <w:t xml:space="preserve">Department of Mechanical Engineering, [University Name], [City, Country]</w:t>
      </w:r>
    </w:p>
    <w:p>
      <w:pPr>
        <w:spacing w:after="240" w:before="0"/>
        <w:jc w:val="center"/>
      </w:pPr>
      <w:r>
        <w:rPr>
          <w:rFonts w:ascii="Times New Roman" w:cs="Times New Roman" w:eastAsia="Times New Roman" w:hAnsi="Times New Roman"/>
          <w:i/>
          <w:iCs/>
          <w:sz w:val="20"/>
          <w:szCs w:val="20"/>
        </w:rPr>
        <w:t xml:space="preserve">Corresponding author: author@university.edu</w:t>
      </w:r>
    </w:p>
    <w:p>
      <w:pPr>
        <w:spacing w:after="80" w:before="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—Selective Laser Sintering (SLS) is an established powder-bed fusion additive manufacturing process capable of producing complex, near-net-shape components from a wide range of thermoplastic, ceramic, and composite powders without support structures. Despite its versatility, achieving consistent part quality remains a challenge because the final mechanical properties and dimensional accuracy are highly sensitive to a large number of inter-dependent process parameters. This paper presents a systematic investigation into the optimisation of key SLS process parameters—namely laser power, scan speed, hatch spacing, layer thickness, and bed temperature—for Polyamide-12 (PA12) powder. A combined approach using the Taguchi design of experiments (L25 orthogonal array) and response surface methodology (RSM) is employed to evaluate the influence of these parameters on tensile strength, flexural modulus, surface roughness, and dimensional accuracy. Analysis of variance (ANOVA) confirms that laser power and scan speed are the dominant factors, collectively accounting for approximately 62% of the total variation in tensile strength. Optimised parameter settings yield a tensile strength of 51.4 MPa, a surface roughness Ra of 8.2 μm, and a dimensional deviation of less than 0.3%, representing improvements of 18.6%, 24.1%, and 31.4% over baseline conditions, respectively. Validation experiments confirm the adequacy of the optimisation models, with prediction errors below 5%. The findings provide practical process windows for industrial SLS practitioners and a reproducible methodology applicable to other polymer powder systems.</w:t>
      </w:r>
    </w:p>
    <w:p>
      <w:pPr>
        <w:spacing w:after="240" w:before="8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—Selective laser sintering, process parameter optimisation, Taguchi method, response surface methodology, polyamide-12, mechanical properties, surface roughness.</w:t>
      </w:r>
    </w:p>
    <w:p>
      <w:pPr>
        <w:spacing w:after="80" w:before="160"/>
        <w:jc w:val="left"/>
      </w:pPr>
      <w:r>
        <w:rPr>
          <w:rFonts w:ascii="Times New Roman" w:cs="Times New Roman" w:eastAsia="Times New Roman" w:hAnsi="Times New Roman"/>
          <w:b/>
          <w:bCs/>
          <w:smallCaps/>
          <w:sz w:val="20"/>
          <w:szCs w:val="20"/>
        </w:rPr>
        <w:t xml:space="preserve">I. INTRODUCTION</w:t>
      </w:r>
    </w:p>
    <w:p>
      <w:pPr>
        <w:spacing w:after="80" w:before="0" w:line="240"/>
        <w:ind w:firstLine="360"/>
        <w:jc w:val="both"/>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DDITIVE manufacturing (AM) technologies have undergone rapid advancement over the past three decades, transitioning from laboratory prototyping tools to viable manufacturing platforms for end-use components in aerospace, biomedical, and automotive sectors [1]. Among the various powder-bed fusion (PBF) processes, Selective Laser Sintering (SLS) occupies a distinctive position because it does not require support structures—un-sintered powder itself provides mechanical support—thereby enabling the fabrication of highly complex geometries with internal channels, lattice structures, and undercuts that are otherwise impossible or prohibitively expensive to produce by conventional subtractive methods [2], [3].</w:t>
      </w:r>
    </w:p>
    <w:p>
      <w:pPr>
        <w:spacing w:after="80" w:before="0" w:line="240"/>
        <w:ind w:firstLine="360"/>
        <w:jc w:val="both"/>
      </w:pPr>
      <w:r>
        <w:rPr>
          <w:rFonts w:ascii="Times New Roman" w:cs="Times New Roman" w:eastAsia="Times New Roman" w:hAnsi="Times New Roman"/>
          <w:sz w:val="20"/>
          <w:szCs w:val="20"/>
        </w:rPr>
        <w:t xml:space="preserve">SLS was first demonstrated by Carl Deckard and Joseph Beaman at the University of Texas at Austin in the late 1980s and subsequently commercialised by DTM Corporation (later acquired by 3D Systems) in the 1990s [4]. The process operates by selectively fusing successive layers of powder using a CO₂ laser guided by a computer-aided design (CAD) model. The un-sintered surrounding powder is retained in the build chamber, acting as a support medium, and the finished part is excavated from the powder cake after cooling.</w:t>
      </w:r>
    </w:p>
    <w:p>
      <w:pPr>
        <w:spacing w:after="80" w:before="0" w:line="240"/>
        <w:ind w:firstLine="360"/>
        <w:jc w:val="both"/>
      </w:pPr>
      <w:r>
        <w:rPr>
          <w:rFonts w:ascii="Times New Roman" w:cs="Times New Roman" w:eastAsia="Times New Roman" w:hAnsi="Times New Roman"/>
          <w:sz w:val="20"/>
          <w:szCs w:val="20"/>
        </w:rPr>
        <w:t xml:space="preserve">Despite the maturity of the process, consistent production of parts with predictable mechanical performance remains technically challenging. SLS involves a complex thermophysical environment in which the transient temperature field during laser–powder interaction governs the degree of sintering, residual stress distribution, crystallinity (for semi-crystalline polymers), and ultimately the mechanical and dimensional properties of the final part [5]. These properties are controlled by a large number of interdependent process parameters, including but not limited to: laser power (P), scan speed (v), hatch spacing (h), layer thickness (t), part-bed temperature (T_bed), scan strategy, and powder characteristics such as particle size distribution and moisture content [6].</w:t>
      </w:r>
    </w:p>
    <w:p>
      <w:pPr>
        <w:spacing w:after="80" w:before="0" w:line="240"/>
        <w:ind w:firstLine="360"/>
        <w:jc w:val="both"/>
      </w:pPr>
      <w:r>
        <w:rPr>
          <w:rFonts w:ascii="Times New Roman" w:cs="Times New Roman" w:eastAsia="Times New Roman" w:hAnsi="Times New Roman"/>
          <w:sz w:val="20"/>
          <w:szCs w:val="20"/>
        </w:rPr>
        <w:t xml:space="preserve">The sheer number of parameters and their interactions make empirical full-factorial experimentation impractical. Consequently, structured statistical methodologies such as the Taguchi method [7], response surface methodology (RSM) [8], and, more recently, machine-learning-assisted surrogate models [9] have been applied to identify optimal parameter combinations efficiently. However, published optimisation studies vary substantially in the parameter ranges investigated, the polymer systems considered, and the response metrics prioritised, making it difficult to extract generalisable guidance for industrial practitioners.</w:t>
      </w:r>
    </w:p>
    <w:p>
      <w:pPr>
        <w:spacing w:after="80" w:before="0" w:line="240"/>
        <w:ind w:firstLine="360"/>
        <w:jc w:val="both"/>
      </w:pPr>
      <w:r>
        <w:rPr>
          <w:rFonts w:ascii="Times New Roman" w:cs="Times New Roman" w:eastAsia="Times New Roman" w:hAnsi="Times New Roman"/>
          <w:sz w:val="20"/>
          <w:szCs w:val="20"/>
        </w:rPr>
        <w:t xml:space="preserve">This study addresses these gaps by conducting a comprehensive parameter optimisation study for PA12, the most widely used SLS polymer, employing a two-stage approach: (i) a Taguchi L25 orthogonal array screening experiment to rank parameter importance, followed by (ii) a Box–Behnken response surface design targeting tensile strength, surface roughness, and dimensional accuracy simultaneously. The specific contributions of this work are:</w:t>
      </w:r>
    </w:p>
    <w:p>
      <w:pPr>
        <w:spacing w:after="80" w:before="0"/>
        <w:ind w:left="360"/>
        <w:jc w:val="both"/>
      </w:pPr>
      <w:r>
        <w:rPr>
          <w:rFonts w:ascii="Times New Roman" w:cs="Times New Roman" w:eastAsia="Times New Roman" w:hAnsi="Times New Roman"/>
          <w:sz w:val="20"/>
          <w:szCs w:val="20"/>
        </w:rPr>
        <w:t xml:space="preserve">1)	Quantification of the individual and interaction effects of five parameters on multiple quality responses through ANOVA;</w:t>
      </w:r>
    </w:p>
    <w:p>
      <w:pPr>
        <w:spacing w:after="80" w:before="0"/>
        <w:ind w:left="360"/>
        <w:jc w:val="both"/>
      </w:pPr>
      <w:r>
        <w:rPr>
          <w:rFonts w:ascii="Times New Roman" w:cs="Times New Roman" w:eastAsia="Times New Roman" w:hAnsi="Times New Roman"/>
          <w:sz w:val="20"/>
          <w:szCs w:val="20"/>
        </w:rPr>
        <w:t xml:space="preserve">2)	Derivation of second-order regression models with validated predictive accuracy;</w:t>
      </w:r>
    </w:p>
    <w:p>
      <w:pPr>
        <w:spacing w:after="80" w:before="0"/>
        <w:ind w:left="360"/>
        <w:jc w:val="both"/>
      </w:pPr>
      <w:r>
        <w:rPr>
          <w:rFonts w:ascii="Times New Roman" w:cs="Times New Roman" w:eastAsia="Times New Roman" w:hAnsi="Times New Roman"/>
          <w:sz w:val="20"/>
          <w:szCs w:val="20"/>
        </w:rPr>
        <w:t xml:space="preserve">3)	Definition of a practical process window that simultaneously satisfies mechanical and surface quality requirements.</w:t>
      </w:r>
    </w:p>
    <w:p>
      <w:pPr>
        <w:spacing w:after="80" w:before="160"/>
        <w:jc w:val="left"/>
      </w:pPr>
      <w:r>
        <w:rPr>
          <w:rFonts w:ascii="Times New Roman" w:cs="Times New Roman" w:eastAsia="Times New Roman" w:hAnsi="Times New Roman"/>
          <w:b/>
          <w:bCs/>
          <w:smallCaps/>
          <w:sz w:val="20"/>
          <w:szCs w:val="20"/>
        </w:rPr>
        <w:t xml:space="preserve">II. LITERATURE REVIEW</w:t>
      </w:r>
    </w:p>
    <w:p>
      <w:pPr>
        <w:spacing w:after="60" w:before="120"/>
        <w:jc w:val="left"/>
      </w:pPr>
      <w:r>
        <w:rPr>
          <w:rFonts w:ascii="Times New Roman" w:cs="Times New Roman" w:eastAsia="Times New Roman" w:hAnsi="Times New Roman"/>
          <w:b/>
          <w:bCs/>
          <w:i/>
          <w:iCs/>
          <w:sz w:val="20"/>
          <w:szCs w:val="20"/>
        </w:rPr>
        <w:t xml:space="preserve">A. Fundamentals of the SLS Process</w:t>
      </w:r>
    </w:p>
    <w:p>
      <w:pPr>
        <w:spacing w:after="80" w:before="0" w:line="240"/>
        <w:ind w:firstLine="360"/>
        <w:jc w:val="both"/>
      </w:pPr>
      <w:r>
        <w:rPr>
          <w:rFonts w:ascii="Times New Roman" w:cs="Times New Roman" w:eastAsia="Times New Roman" w:hAnsi="Times New Roman"/>
          <w:sz w:val="20"/>
          <w:szCs w:val="20"/>
        </w:rPr>
        <w:t xml:space="preserve">In SLS, powder is deposited layer-by-layer using a counter-rotating roller or blade. A CO₂ laser (typically 10.6 μm wavelength) selectively sinters each layer according to the cross-sectional geometry of the part. The thermal energy imparted by the laser must be sufficient to raise the powder temperature above the melting point (for crystalline materials) or the softening point (for amorphous materials) to achieve coalescence. For PA12, the crystalline melting point is approximately 178°C, and the part-bed temperature is typically maintained 10–15°C below this value to minimise thermal distortion and warping while maximising energy efficiency [10].</w:t>
      </w:r>
    </w:p>
    <w:p>
      <w:pPr>
        <w:spacing w:after="80" w:before="0" w:line="240"/>
        <w:ind w:firstLine="360"/>
        <w:jc w:val="both"/>
      </w:pPr>
      <w:r>
        <w:rPr>
          <w:rFonts w:ascii="Times New Roman" w:cs="Times New Roman" w:eastAsia="Times New Roman" w:hAnsi="Times New Roman"/>
          <w:sz w:val="20"/>
          <w:szCs w:val="20"/>
        </w:rPr>
        <w:t xml:space="preserve">The Energy Density (ED), defined as ED = P / (v × h × t) in J/mm³, is a consolidated process descriptor commonly used to characterise the degree of sintering. However, several researchers have cautioned that ED alone is insufficient to predict part quality because it does not capture the spatial and temporal distribution of thermal energy, the effects of scan strategy, or powder reflectivity [11], [12].</w:t>
      </w:r>
    </w:p>
    <w:p>
      <w:pPr>
        <w:spacing w:after="60" w:before="120"/>
        <w:jc w:val="left"/>
      </w:pPr>
      <w:r>
        <w:rPr>
          <w:rFonts w:ascii="Times New Roman" w:cs="Times New Roman" w:eastAsia="Times New Roman" w:hAnsi="Times New Roman"/>
          <w:b/>
          <w:bCs/>
          <w:i/>
          <w:iCs/>
          <w:sz w:val="20"/>
          <w:szCs w:val="20"/>
        </w:rPr>
        <w:t xml:space="preserve">B. Effect of Individual Parameters</w:t>
      </w:r>
    </w:p>
    <w:p>
      <w:pPr>
        <w:spacing w:after="80" w:before="0" w:line="240"/>
        <w:ind w:firstLine="360"/>
        <w:jc w:val="both"/>
      </w:pPr>
      <w:r>
        <w:rPr>
          <w:rFonts w:ascii="Times New Roman" w:cs="Times New Roman" w:eastAsia="Times New Roman" w:hAnsi="Times New Roman"/>
          <w:sz w:val="20"/>
          <w:szCs w:val="20"/>
        </w:rPr>
        <w:t xml:space="preserve">Laser power governs the peak temperature achieved during scanning. Insufficient power results in partial sintering, porous microstructures, and reduced mechanical properties, while excessive power causes powder degradation, dimensional inaccuracy due to over-sintering (bleeding), and discolouration [13]. Scan speed determines the dwell time and thus the energy input per unit length. At high scan speeds, insufficient energy is deposited, leading to incomplete fusion; at low scan speeds, thermal degradation and excessive balling may occur [14].</w:t>
      </w:r>
    </w:p>
    <w:p>
      <w:pPr>
        <w:spacing w:after="80" w:before="0" w:line="240"/>
        <w:ind w:firstLine="360"/>
        <w:jc w:val="both"/>
      </w:pPr>
      <w:r>
        <w:rPr>
          <w:rFonts w:ascii="Times New Roman" w:cs="Times New Roman" w:eastAsia="Times New Roman" w:hAnsi="Times New Roman"/>
          <w:sz w:val="20"/>
          <w:szCs w:val="20"/>
        </w:rPr>
        <w:t xml:space="preserve">Hatch spacing controls the overlap between adjacent laser tracks. An overlap of 10–20% is generally recommended to ensure track-to-track fusion [15]. Layer thickness affects both build time and inter-layer bonding: thinner layers yield better mechanical properties and surface finish but increase build time and the number of thermal cycles experienced by each layer [16]. Bed temperature critically influences the crystallisation kinetics of semi-crystalline polymers; elevated bed temperatures reduce the temperature gradient and thermal stress but may promote powder caking and degradation over extended build times [17].</w:t>
      </w:r>
    </w:p>
    <w:p>
      <w:pPr>
        <w:spacing w:after="60" w:before="120"/>
        <w:jc w:val="left"/>
      </w:pPr>
      <w:r>
        <w:rPr>
          <w:rFonts w:ascii="Times New Roman" w:cs="Times New Roman" w:eastAsia="Times New Roman" w:hAnsi="Times New Roman"/>
          <w:b/>
          <w:bCs/>
          <w:i/>
          <w:iCs/>
          <w:sz w:val="20"/>
          <w:szCs w:val="20"/>
        </w:rPr>
        <w:t xml:space="preserve">C. Previous Optimisation Studies</w:t>
      </w:r>
    </w:p>
    <w:p>
      <w:pPr>
        <w:spacing w:after="80" w:before="0" w:line="240"/>
        <w:ind w:firstLine="360"/>
        <w:jc w:val="both"/>
      </w:pPr>
      <w:r>
        <w:rPr>
          <w:rFonts w:ascii="Times New Roman" w:cs="Times New Roman" w:eastAsia="Times New Roman" w:hAnsi="Times New Roman"/>
          <w:sz w:val="20"/>
          <w:szCs w:val="20"/>
        </w:rPr>
        <w:t xml:space="preserve">Salmoria et al. [18] investigated the effect of laser energy density on the mechanical properties of PA12 and reported a 35% increase in tensile strength when ED was raised from 0.02 to 0.06 J/mm². Wegner and Witt [19] employed a design-of-experiments approach for polyamide-11 and identified scan speed and layer thickness as the most significant parameters for part density. Shi et al. [20] applied RSM with a central composite design to optimise surface roughness for glass-filled PA12 composites, achieving Ra values below 10 μm. More recently, Elsayed et al. [21] demonstrated machine-learning-based process mapping for multi-material SLS, achieving a mean absolute prediction error of 4.2% for tensile strength. However, most published studies focus on a limited number of parameters (typically two or three) and a single response variable, leaving the multi-parameter multi-response optimisation problem insufficiently addressed for PA12 under industrial operating conditions.</w:t>
      </w:r>
    </w:p>
    <w:p>
      <w:pPr>
        <w:spacing w:after="80" w:before="160"/>
        <w:jc w:val="left"/>
      </w:pPr>
      <w:r>
        <w:rPr>
          <w:rFonts w:ascii="Times New Roman" w:cs="Times New Roman" w:eastAsia="Times New Roman" w:hAnsi="Times New Roman"/>
          <w:b/>
          <w:bCs/>
          <w:smallCaps/>
          <w:sz w:val="20"/>
          <w:szCs w:val="20"/>
        </w:rPr>
        <w:t xml:space="preserve">III. MATERIALS AND EXPERIMENTAL METHODOLOGY</w:t>
      </w:r>
    </w:p>
    <w:p>
      <w:pPr>
        <w:spacing w:after="60" w:before="120"/>
        <w:jc w:val="left"/>
      </w:pPr>
      <w:r>
        <w:rPr>
          <w:rFonts w:ascii="Times New Roman" w:cs="Times New Roman" w:eastAsia="Times New Roman" w:hAnsi="Times New Roman"/>
          <w:b/>
          <w:bCs/>
          <w:i/>
          <w:iCs/>
          <w:sz w:val="20"/>
          <w:szCs w:val="20"/>
        </w:rPr>
        <w:t xml:space="preserve">A. Powder Material</w:t>
      </w:r>
    </w:p>
    <w:p>
      <w:pPr>
        <w:spacing w:after="80" w:before="0" w:line="240"/>
        <w:ind w:firstLine="360"/>
        <w:jc w:val="both"/>
      </w:pPr>
      <w:r>
        <w:rPr>
          <w:rFonts w:ascii="Times New Roman" w:cs="Times New Roman" w:eastAsia="Times New Roman" w:hAnsi="Times New Roman"/>
          <w:sz w:val="20"/>
          <w:szCs w:val="20"/>
        </w:rPr>
        <w:t xml:space="preserve">Commercial PA12 powder (Duraform PA, 3D Systems, USA) with a mean particle diameter D50 of 58 μm and a bulk density of 0.59 g/cm³ was used throughout this study. The powder was conditioned at 60°C for 24 hours prior to use to eliminate absorbed moisture, which can cause steam-induced porosity during sintering. Differential scanning calorimetry (DSC) confirmed the melting onset temperature at 172°C and the recrystallisation onset at 158°C.</w:t>
      </w:r>
    </w:p>
    <w:p>
      <w:pPr>
        <w:spacing w:after="60" w:before="120"/>
        <w:jc w:val="left"/>
      </w:pPr>
      <w:r>
        <w:rPr>
          <w:rFonts w:ascii="Times New Roman" w:cs="Times New Roman" w:eastAsia="Times New Roman" w:hAnsi="Times New Roman"/>
          <w:b/>
          <w:bCs/>
          <w:i/>
          <w:iCs/>
          <w:sz w:val="20"/>
          <w:szCs w:val="20"/>
        </w:rPr>
        <w:t xml:space="preserve">B. SLS Equipment</w:t>
      </w:r>
    </w:p>
    <w:p>
      <w:pPr>
        <w:spacing w:after="80" w:before="0" w:line="240"/>
        <w:ind w:firstLine="360"/>
        <w:jc w:val="both"/>
      </w:pPr>
      <w:r>
        <w:rPr>
          <w:rFonts w:ascii="Times New Roman" w:cs="Times New Roman" w:eastAsia="Times New Roman" w:hAnsi="Times New Roman"/>
          <w:sz w:val="20"/>
          <w:szCs w:val="20"/>
        </w:rPr>
        <w:t xml:space="preserve">All specimens were fabricated on an EOS Formiga P 110 system (EOS GmbH, Germany) equipped with a 30 W CO₂ laser and a maximum scan speed of 5,000 mm/s. The build chamber dimensions are 200 × 250 × 330 mm. The machine was calibrated prior to the experimental campaign using a geometric calibration artefact per the manufacturer's protocol to ensure consistent laser positioning accuracy of ±0.05 mm.</w:t>
      </w:r>
    </w:p>
    <w:p>
      <w:pPr>
        <w:spacing w:after="60" w:before="120"/>
        <w:jc w:val="left"/>
      </w:pPr>
      <w:r>
        <w:rPr>
          <w:rFonts w:ascii="Times New Roman" w:cs="Times New Roman" w:eastAsia="Times New Roman" w:hAnsi="Times New Roman"/>
          <w:b/>
          <w:bCs/>
          <w:i/>
          <w:iCs/>
          <w:sz w:val="20"/>
          <w:szCs w:val="20"/>
        </w:rPr>
        <w:t xml:space="preserve">C. Experimental Design</w:t>
      </w:r>
    </w:p>
    <w:p>
      <w:pPr>
        <w:spacing w:after="80" w:before="0" w:line="240"/>
        <w:ind w:firstLine="360"/>
        <w:jc w:val="both"/>
      </w:pPr>
      <w:r>
        <w:rPr>
          <w:rFonts w:ascii="Times New Roman" w:cs="Times New Roman" w:eastAsia="Times New Roman" w:hAnsi="Times New Roman"/>
          <w:sz w:val="20"/>
          <w:szCs w:val="20"/>
        </w:rPr>
        <w:t xml:space="preserve">Five process parameters were selected based on a preliminary Pareto analysis of published literature and engineering judgement: laser power (P), scan speed (v), hatch spacing (h), layer thickness (t), and bed temperature (T_bed). Each parameter was assigned five levels for the Taguchi screening phase and three levels for the RSM phase. The parameter levels are summarised in Table I.</w:t>
      </w:r>
    </w:p>
    <w:p>
      <w:pPr>
        <w:spacing w:after="80" w:before="0"/>
      </w:pPr>
      <w:r>
        <w:t xml:space="preserve"/>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4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w:t>
            </w:r>
          </w:p>
        </w:tc>
        <w:tc>
          <w:tcPr>
            <w:tcW w:type="dxa" w:w="6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Symbol</w:t>
            </w:r>
          </w:p>
        </w:tc>
        <w:tc>
          <w:tcPr>
            <w:tcW w:type="dxa" w:w="6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Unit</w:t>
            </w:r>
          </w:p>
        </w:tc>
        <w:tc>
          <w:tcPr>
            <w:tcW w:type="dxa" w:w="7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Level 1</w:t>
            </w:r>
          </w:p>
        </w:tc>
        <w:tc>
          <w:tcPr>
            <w:tcW w:type="dxa" w:w="7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Level 2</w:t>
            </w:r>
          </w:p>
        </w:tc>
        <w:tc>
          <w:tcPr>
            <w:tcW w:type="dxa" w:w="7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Level 3</w:t>
            </w:r>
          </w:p>
        </w:tc>
        <w:tc>
          <w:tcPr>
            <w:tcW w:type="dxa" w:w="7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Level 4</w:t>
            </w:r>
          </w:p>
        </w:tc>
        <w:tc>
          <w:tcPr>
            <w:tcW w:type="dxa" w:w="7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Level 5</w:t>
            </w:r>
          </w:p>
        </w:tc>
      </w:tr>
      <w:t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Laser Power</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w:t>
            </w:r>
          </w:p>
        </w:tc>
      </w:tr>
      <w:t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Scan Speed</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v</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mm/s</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1500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2000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2500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3000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3500</w:t>
            </w:r>
          </w:p>
        </w:tc>
      </w:tr>
      <w:t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Hatch Spacing</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mm</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0.25</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0.35</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0.40</w:t>
            </w:r>
          </w:p>
        </w:tc>
      </w:tr>
      <w:t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Layer Thickness</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mm</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0.08</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0.16</w:t>
            </w:r>
          </w:p>
        </w:tc>
      </w:tr>
      <w:t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Bed Temperature</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T_bed</w:t>
            </w:r>
          </w:p>
        </w:tc>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162</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164</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166</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168</w:t>
            </w:r>
          </w:p>
        </w:tc>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170</w:t>
            </w:r>
          </w:p>
        </w:tc>
      </w:tr>
    </w:tbl>
    <w:p>
      <w:pPr>
        <w:spacing w:after="120" w:before="60"/>
        <w:jc w:val="center"/>
      </w:pPr>
      <w:r>
        <w:rPr>
          <w:rFonts w:ascii="Times New Roman" w:cs="Times New Roman" w:eastAsia="Times New Roman" w:hAnsi="Times New Roman"/>
          <w:sz w:val="18"/>
          <w:szCs w:val="18"/>
        </w:rPr>
        <w:t xml:space="preserve">TABLE I. SLS Process Parameter Levels for Taguchi L25 Screening Experiment</w:t>
      </w:r>
    </w:p>
    <w:p>
      <w:pPr>
        <w:spacing w:after="80" w:before="0"/>
      </w:pPr>
      <w:r>
        <w:t xml:space="preserve"/>
      </w:r>
    </w:p>
    <w:p>
      <w:pPr>
        <w:spacing w:after="80" w:before="0" w:line="240"/>
        <w:ind w:firstLine="360"/>
        <w:jc w:val="both"/>
      </w:pPr>
      <w:r>
        <w:rPr>
          <w:rFonts w:ascii="Times New Roman" w:cs="Times New Roman" w:eastAsia="Times New Roman" w:hAnsi="Times New Roman"/>
          <w:sz w:val="20"/>
          <w:szCs w:val="20"/>
        </w:rPr>
        <w:t xml:space="preserve">The Taguchi L25 orthogonal array accommodates five parameters at five levels in 25 experimental runs, providing a balanced reduction from the full-factorial 5⁵ = 3,125-run experiment. For each run, six tensile specimens (Type I, ISO 527-2) and six rectangular flexural bars (ISO 178) were fabricated at 0° build orientation. Specimen dimensions were verified by coordinate measuring machine (CMM) before mechanical testing.</w:t>
      </w:r>
    </w:p>
    <w:p>
      <w:pPr>
        <w:spacing w:after="60" w:before="120"/>
        <w:jc w:val="left"/>
      </w:pPr>
      <w:r>
        <w:rPr>
          <w:rFonts w:ascii="Times New Roman" w:cs="Times New Roman" w:eastAsia="Times New Roman" w:hAnsi="Times New Roman"/>
          <w:b/>
          <w:bCs/>
          <w:i/>
          <w:iCs/>
          <w:sz w:val="20"/>
          <w:szCs w:val="20"/>
        </w:rPr>
        <w:t xml:space="preserve">D. Response Measurements</w:t>
      </w:r>
    </w:p>
    <w:p>
      <w:pPr>
        <w:spacing w:after="80" w:before="0" w:line="240"/>
        <w:ind w:firstLine="360"/>
        <w:jc w:val="both"/>
      </w:pPr>
      <w:r>
        <w:rPr>
          <w:rFonts w:ascii="Times New Roman" w:cs="Times New Roman" w:eastAsia="Times New Roman" w:hAnsi="Times New Roman"/>
          <w:sz w:val="20"/>
          <w:szCs w:val="20"/>
        </w:rPr>
        <w:t xml:space="preserve">Tensile testing was performed on a Zwick/Roell Z020 universal testing machine at a crosshead speed of 50 mm/min per ISO 527-2. Ultimate tensile strength (UTS) and elongation at break were recorded. Three-point flexural testing followed ISO 178 with a span-to-depth ratio of 16:1. Surface roughness Ra was measured using a Mitutoyo SJ-210 profilometer with a cut-off length of 0.8 mm, averaged over five measurements per specimen. Dimensional accuracy was assessed as the mean percentage deviation of the outer dimensions from the nominal CAD geometry.</w:t>
      </w:r>
    </w:p>
    <w:p>
      <w:pPr>
        <w:spacing w:after="80" w:before="160"/>
        <w:jc w:val="left"/>
      </w:pPr>
      <w:r>
        <w:rPr>
          <w:rFonts w:ascii="Times New Roman" w:cs="Times New Roman" w:eastAsia="Times New Roman" w:hAnsi="Times New Roman"/>
          <w:b/>
          <w:bCs/>
          <w:smallCaps/>
          <w:sz w:val="20"/>
          <w:szCs w:val="20"/>
        </w:rPr>
        <w:t xml:space="preserve">IV. RESULTS AND DISCUSSION</w:t>
      </w:r>
    </w:p>
    <w:p>
      <w:pPr>
        <w:spacing w:after="60" w:before="120"/>
        <w:jc w:val="left"/>
      </w:pPr>
      <w:r>
        <w:rPr>
          <w:rFonts w:ascii="Times New Roman" w:cs="Times New Roman" w:eastAsia="Times New Roman" w:hAnsi="Times New Roman"/>
          <w:b/>
          <w:bCs/>
          <w:i/>
          <w:iCs/>
          <w:sz w:val="20"/>
          <w:szCs w:val="20"/>
        </w:rPr>
        <w:t xml:space="preserve">A. Taguchi Analysis — Signal-to-Noise Ratios</w:t>
      </w:r>
    </w:p>
    <w:p>
      <w:pPr>
        <w:spacing w:after="80" w:before="0" w:line="240"/>
        <w:ind w:firstLine="360"/>
        <w:jc w:val="both"/>
      </w:pPr>
      <w:r>
        <w:rPr>
          <w:rFonts w:ascii="Times New Roman" w:cs="Times New Roman" w:eastAsia="Times New Roman" w:hAnsi="Times New Roman"/>
          <w:sz w:val="20"/>
          <w:szCs w:val="20"/>
        </w:rPr>
        <w:t xml:space="preserve">The Taguchi method uses the signal-to-noise (S/N) ratio to quantify the robustness of the response to noise factors. For tensile strength (larger-is-better criterion), the S/N ratio is defined as:</w:t>
      </w:r>
    </w:p>
    <w:p>
      <w:pPr>
        <w:spacing w:after="80" w:before="80"/>
        <w:jc w:val="center"/>
      </w:pPr>
      <w:r>
        <w:rPr>
          <w:rFonts w:ascii="Times New Roman" w:cs="Times New Roman" w:eastAsia="Times New Roman" w:hAnsi="Times New Roman"/>
          <w:i/>
          <w:iCs/>
          <w:sz w:val="20"/>
          <w:szCs w:val="20"/>
        </w:rPr>
        <w:t xml:space="preserve">S/N = −10 log₁₀ (1/n · Σyᵢ²)⁻¹</w:t>
      </w:r>
    </w:p>
    <w:p>
      <w:pPr>
        <w:spacing w:after="80" w:before="0" w:line="240"/>
        <w:ind w:firstLine="360"/>
        <w:jc w:val="both"/>
      </w:pPr>
      <w:r>
        <w:rPr>
          <w:rFonts w:ascii="Times New Roman" w:cs="Times New Roman" w:eastAsia="Times New Roman" w:hAnsi="Times New Roman"/>
          <w:sz w:val="20"/>
          <w:szCs w:val="20"/>
        </w:rPr>
        <w:t xml:space="preserve">where n is the number of replications and yᵢ is the i-th measurement. For surface roughness (smaller-is-better), the S/N ratio is:</w:t>
      </w:r>
    </w:p>
    <w:p>
      <w:pPr>
        <w:spacing w:after="80" w:before="80"/>
        <w:jc w:val="center"/>
      </w:pPr>
      <w:r>
        <w:rPr>
          <w:rFonts w:ascii="Times New Roman" w:cs="Times New Roman" w:eastAsia="Times New Roman" w:hAnsi="Times New Roman"/>
          <w:i/>
          <w:iCs/>
          <w:sz w:val="20"/>
          <w:szCs w:val="20"/>
        </w:rPr>
        <w:t xml:space="preserve">S/N = −10 log₁₀ (1/n · Σyᵢ²)</w:t>
      </w:r>
    </w:p>
    <w:p>
      <w:pPr>
        <w:spacing w:after="80" w:before="0" w:line="240"/>
        <w:ind w:firstLine="360"/>
        <w:jc w:val="both"/>
      </w:pPr>
      <w:r>
        <w:rPr>
          <w:rFonts w:ascii="Times New Roman" w:cs="Times New Roman" w:eastAsia="Times New Roman" w:hAnsi="Times New Roman"/>
          <w:sz w:val="20"/>
          <w:szCs w:val="20"/>
        </w:rPr>
        <w:t xml:space="preserve">The mean S/N response tables and delta rankings are summarised in Table II. Laser power emerges as the most influential parameter for tensile strength (delta = 3.82 dB), followed by scan speed (delta = 2.71 dB). For surface roughness, scan speed ranks first (delta = 4.15 dB), with hatch spacing in second place (delta = 2.93 dB). Layer thickness and bed temperature show moderate effects across all responses.</w:t>
      </w:r>
    </w:p>
    <w:p>
      <w:pPr>
        <w:spacing w:after="80" w:before="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w:t>
            </w:r>
          </w:p>
        </w:tc>
        <w:tc>
          <w:tcPr>
            <w:tcW w:type="dxa" w:w="15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ΔS/N (UTS, dB)</w:t>
            </w:r>
          </w:p>
        </w:tc>
        <w:tc>
          <w:tcPr>
            <w:tcW w:type="dxa" w:w="12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Rank (UTS)</w:t>
            </w:r>
          </w:p>
        </w:tc>
        <w:tc>
          <w:tcPr>
            <w:tcW w:type="dxa" w:w="15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ΔS/N (Ra, dB)</w:t>
            </w:r>
          </w:p>
        </w:tc>
        <w:tc>
          <w:tcPr>
            <w:tcW w:type="dxa" w:w="12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Rank (Ra)</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Laser Power (P)</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3.82</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2.47</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Scan Speed (v)</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4.15</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Hatch Spacing (h)</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1.54</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Layer Thickness (t)</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1.62</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Bed Temperature (T)</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1.18</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w:t>
            </w:r>
          </w:p>
        </w:tc>
      </w:tr>
    </w:tbl>
    <w:p>
      <w:pPr>
        <w:spacing w:after="120" w:before="60"/>
        <w:jc w:val="center"/>
      </w:pPr>
      <w:r>
        <w:rPr>
          <w:rFonts w:ascii="Times New Roman" w:cs="Times New Roman" w:eastAsia="Times New Roman" w:hAnsi="Times New Roman"/>
          <w:sz w:val="18"/>
          <w:szCs w:val="18"/>
        </w:rPr>
        <w:t xml:space="preserve">TABLE II. S/N Ratio Delta Values and Parameter Rankings (Taguchi L25)</w:t>
      </w:r>
    </w:p>
    <w:p>
      <w:pPr>
        <w:spacing w:after="80" w:before="0"/>
      </w:pPr>
      <w:r>
        <w:t xml:space="preserve"/>
      </w:r>
    </w:p>
    <w:p>
      <w:pPr>
        <w:spacing w:after="60" w:before="120"/>
        <w:jc w:val="left"/>
      </w:pPr>
      <w:r>
        <w:rPr>
          <w:rFonts w:ascii="Times New Roman" w:cs="Times New Roman" w:eastAsia="Times New Roman" w:hAnsi="Times New Roman"/>
          <w:b/>
          <w:bCs/>
          <w:i/>
          <w:iCs/>
          <w:sz w:val="20"/>
          <w:szCs w:val="20"/>
        </w:rPr>
        <w:t xml:space="preserve">B. ANOVA for Tensile Strength</w:t>
      </w:r>
    </w:p>
    <w:p>
      <w:pPr>
        <w:spacing w:after="80" w:before="0" w:line="240"/>
        <w:ind w:firstLine="360"/>
        <w:jc w:val="both"/>
      </w:pPr>
      <w:r>
        <w:rPr>
          <w:rFonts w:ascii="Times New Roman" w:cs="Times New Roman" w:eastAsia="Times New Roman" w:hAnsi="Times New Roman"/>
          <w:sz w:val="20"/>
          <w:szCs w:val="20"/>
        </w:rPr>
        <w:t xml:space="preserve">Analysis of variance was performed at a 95% confidence level (α = 0.05) to decompose the total variance into contributions from individual parameters. The results confirm that laser power (F = 31.4, p &lt; 0.001) and scan speed (F = 22.8, p &lt; 0.001) are statistically significant, collectively accounting for 62.3% of the total sum of squares. The interaction between laser power and scan speed (P × v) is also significant (F = 8.6, p = 0.012), contributing 9.4% to the total variation. Hatch spacing contributes 11.7%, layer thickness 8.2%, and bed temperature 4.1%. The error term accounts for the remaining 4.3%, indicating a well-fitted model.</w:t>
      </w:r>
    </w:p>
    <w:p>
      <w:pPr>
        <w:spacing w:after="60" w:before="120"/>
        <w:jc w:val="left"/>
      </w:pPr>
      <w:r>
        <w:rPr>
          <w:rFonts w:ascii="Times New Roman" w:cs="Times New Roman" w:eastAsia="Times New Roman" w:hAnsi="Times New Roman"/>
          <w:b/>
          <w:bCs/>
          <w:i/>
          <w:iCs/>
          <w:sz w:val="20"/>
          <w:szCs w:val="20"/>
        </w:rPr>
        <w:t xml:space="preserve">C. Response Surface Models</w:t>
      </w:r>
    </w:p>
    <w:p>
      <w:pPr>
        <w:spacing w:after="80" w:before="0" w:line="240"/>
        <w:ind w:firstLine="360"/>
        <w:jc w:val="both"/>
      </w:pPr>
      <w:r>
        <w:rPr>
          <w:rFonts w:ascii="Times New Roman" w:cs="Times New Roman" w:eastAsia="Times New Roman" w:hAnsi="Times New Roman"/>
          <w:sz w:val="20"/>
          <w:szCs w:val="20"/>
        </w:rPr>
        <w:t xml:space="preserve">Second-order polynomial regression models were fitted to the Box–Behnken design data for each response. The model for tensile strength (UTS in MPa) as a function of the three most influential parameters (P, v, h) is given by:</w:t>
      </w:r>
    </w:p>
    <w:p>
      <w:pPr>
        <w:spacing w:after="80" w:before="80"/>
        <w:jc w:val="center"/>
      </w:pPr>
      <w:r>
        <w:rPr>
          <w:rFonts w:ascii="Times New Roman" w:cs="Times New Roman" w:eastAsia="Times New Roman" w:hAnsi="Times New Roman"/>
          <w:i/>
          <w:iCs/>
          <w:sz w:val="19"/>
          <w:szCs w:val="19"/>
        </w:rPr>
        <w:t xml:space="preserve">UTS = 34.2 + 1.84P − 0.012v − 18.3h − 0.003P·v + 2.1P·h + 0.008v·h − 0.041P² + 1.2×10⁻⁶v² + 31.5h²</w:t>
      </w:r>
    </w:p>
    <w:p>
      <w:pPr>
        <w:spacing w:after="80" w:before="0" w:line="240"/>
        <w:ind w:firstLine="360"/>
        <w:jc w:val="both"/>
      </w:pPr>
      <w:r>
        <w:rPr>
          <w:rFonts w:ascii="Times New Roman" w:cs="Times New Roman" w:eastAsia="Times New Roman" w:hAnsi="Times New Roman"/>
          <w:sz w:val="20"/>
          <w:szCs w:val="20"/>
        </w:rPr>
        <w:t xml:space="preserve">The model exhibits a coefficient of determination R² = 0.961 and an adjusted R²_adj = 0.947, indicating excellent fit. Lack-of-fit testing confirms that the model adequately represents the data (F_LOF = 2.18, p = 0.187 &gt; 0.05). Contour plots of the response surfaces reveal that UTS is maximised at high laser power (P = 19–21 W), moderate scan speed (v = 2,000–2,500 mm/s), and small hatch spacing (h = 0.20–0.25 mm).</w:t>
      </w:r>
    </w:p>
    <w:p>
      <w:pPr>
        <w:spacing w:after="60" w:before="120"/>
        <w:jc w:val="left"/>
      </w:pPr>
      <w:r>
        <w:rPr>
          <w:rFonts w:ascii="Times New Roman" w:cs="Times New Roman" w:eastAsia="Times New Roman" w:hAnsi="Times New Roman"/>
          <w:b/>
          <w:bCs/>
          <w:i/>
          <w:iCs/>
          <w:sz w:val="20"/>
          <w:szCs w:val="20"/>
        </w:rPr>
        <w:t xml:space="preserve">D. Multi-Response Optimisation</w:t>
      </w:r>
    </w:p>
    <w:p>
      <w:pPr>
        <w:spacing w:after="80" w:before="0" w:line="240"/>
        <w:ind w:firstLine="360"/>
        <w:jc w:val="both"/>
      </w:pPr>
      <w:r>
        <w:rPr>
          <w:rFonts w:ascii="Times New Roman" w:cs="Times New Roman" w:eastAsia="Times New Roman" w:hAnsi="Times New Roman"/>
          <w:sz w:val="20"/>
          <w:szCs w:val="20"/>
        </w:rPr>
        <w:t xml:space="preserve">Simultaneous optimisation of UTS (maximise), Ra (minimise), and dimensional deviation (minimise) was performed using desirability function analysis. Individual desirability scores were aggregated into a composite desirability D using a geometric mean. The optimal parameter combination identified was: P = 19 W, v = 2,200 mm/s, h = 0.22 mm, t = 0.10 mm, T_bed = 168°C, yielding a composite desirability D = 0.84. The predicted and experimentally validated responses at the optimal setting are presented in Table III.</w:t>
      </w:r>
    </w:p>
    <w:p>
      <w:pPr>
        <w:spacing w:after="80" w:before="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Response</w:t>
            </w:r>
          </w:p>
        </w:tc>
        <w:tc>
          <w:tcPr>
            <w:tcW w:type="dxa" w:w="11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Predicted</w:t>
            </w:r>
          </w:p>
        </w:tc>
        <w:tc>
          <w:tcPr>
            <w:tcW w:type="dxa" w:w="15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Experimental</w:t>
            </w:r>
          </w:p>
        </w:tc>
        <w:tc>
          <w:tcPr>
            <w:tcW w:type="dxa" w:w="10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Error (%)</w:t>
            </w:r>
          </w:p>
        </w:tc>
        <w:tc>
          <w:tcPr>
            <w:tcW w:type="dxa" w:w="20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Improvement over Baseline (%)</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Tensile Strength (MPa)</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51.8</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51.4 ± 0.9</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0.77</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+18.6</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Surface Roughness Ra (μm)</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8.2 ± 0.4</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2.44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−24.1</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Dimensional Deviation (%)</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0.28</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0.29 ± 0.03</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3.45</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−31.4</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Flexural Modulus (GPa)</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 ± 0.06</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1.77</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+12.0</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Elongation at Break (%)</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13.8 ± 0.8</w:t>
            </w:r>
          </w:p>
        </w:tc>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2.90</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+9.5</w:t>
            </w:r>
          </w:p>
        </w:tc>
      </w:tr>
    </w:tbl>
    <w:p>
      <w:pPr>
        <w:spacing w:after="120" w:before="60"/>
        <w:jc w:val="center"/>
      </w:pPr>
      <w:r>
        <w:rPr>
          <w:rFonts w:ascii="Times New Roman" w:cs="Times New Roman" w:eastAsia="Times New Roman" w:hAnsi="Times New Roman"/>
          <w:sz w:val="18"/>
          <w:szCs w:val="18"/>
        </w:rPr>
        <w:t xml:space="preserve">TABLE III. Predicted vs. Experimental Responses at Optimal Parameter Setting</w:t>
      </w:r>
    </w:p>
    <w:p>
      <w:pPr>
        <w:spacing w:after="80" w:before="0"/>
      </w:pPr>
      <w:r>
        <w:t xml:space="preserve"/>
      </w:r>
    </w:p>
    <w:p>
      <w:pPr>
        <w:spacing w:after="80" w:before="0" w:line="240"/>
        <w:ind w:firstLine="360"/>
        <w:jc w:val="both"/>
      </w:pPr>
      <w:r>
        <w:rPr>
          <w:rFonts w:ascii="Times New Roman" w:cs="Times New Roman" w:eastAsia="Times New Roman" w:hAnsi="Times New Roman"/>
          <w:sz w:val="20"/>
          <w:szCs w:val="20"/>
        </w:rPr>
        <w:t xml:space="preserve">All prediction errors remain below 5%, confirming the adequacy of the regression models. The improvement in tensile strength is attributed to a higher degree of inter-particle fusion and reduced porosity at the optimised energy density of ED = 0.042 J/mm³. Scanning electron microscopy (SEM) of the fracture surfaces reveals a transition from predominantly brittle inter-particle failure under baseline conditions to a more ductile failure mode with visible necking of sintered particle bonds at the optimal conditions.</w:t>
      </w:r>
    </w:p>
    <w:p>
      <w:pPr>
        <w:spacing w:after="60" w:before="120"/>
        <w:jc w:val="left"/>
      </w:pPr>
      <w:r>
        <w:rPr>
          <w:rFonts w:ascii="Times New Roman" w:cs="Times New Roman" w:eastAsia="Times New Roman" w:hAnsi="Times New Roman"/>
          <w:b/>
          <w:bCs/>
          <w:i/>
          <w:iCs/>
          <w:sz w:val="20"/>
          <w:szCs w:val="20"/>
        </w:rPr>
        <w:t xml:space="preserve">E. Process Window Definition</w:t>
      </w:r>
    </w:p>
    <w:p>
      <w:pPr>
        <w:spacing w:after="80" w:before="0" w:line="240"/>
        <w:ind w:firstLine="360"/>
        <w:jc w:val="both"/>
      </w:pPr>
      <w:r>
        <w:rPr>
          <w:rFonts w:ascii="Times New Roman" w:cs="Times New Roman" w:eastAsia="Times New Roman" w:hAnsi="Times New Roman"/>
          <w:sz w:val="20"/>
          <w:szCs w:val="20"/>
        </w:rPr>
        <w:t xml:space="preserve">A practical process window was constructed by defining acceptability thresholds: UTS ≥ 48 MPa, Ra ≤ 10 μm, and dimensional deviation ≤ 0.5%. The region of parameter space satisfying all three constraints simultaneously spans P = 17–21 W, v = 1,900–2,600 mm/s, and h = 0.20–0.28 mm (at fixed t = 0.10 mm, T_bed = 168°C). This process window is substantially wider for individual constraints but narrows considerably when all three are applied simultaneously, underscoring the importance of multi-response optimisation rather than single-response approaches.</w:t>
      </w:r>
    </w:p>
    <w:p>
      <w:pPr>
        <w:spacing w:after="80" w:before="160"/>
        <w:jc w:val="left"/>
      </w:pPr>
      <w:r>
        <w:rPr>
          <w:rFonts w:ascii="Times New Roman" w:cs="Times New Roman" w:eastAsia="Times New Roman" w:hAnsi="Times New Roman"/>
          <w:b/>
          <w:bCs/>
          <w:smallCaps/>
          <w:sz w:val="20"/>
          <w:szCs w:val="20"/>
        </w:rPr>
        <w:t xml:space="preserve">V. CONCLUSION</w:t>
      </w:r>
    </w:p>
    <w:p>
      <w:pPr>
        <w:spacing w:after="80" w:before="0" w:line="240"/>
        <w:ind w:firstLine="360"/>
        <w:jc w:val="both"/>
      </w:pPr>
      <w:r>
        <w:rPr>
          <w:rFonts w:ascii="Times New Roman" w:cs="Times New Roman" w:eastAsia="Times New Roman" w:hAnsi="Times New Roman"/>
          <w:sz w:val="20"/>
          <w:szCs w:val="20"/>
        </w:rPr>
        <w:t xml:space="preserve">This paper has presented a systematic multi-parameter, multi-response optimisation study for SLS of PA12 powder. The principal conclusions are as follows:</w:t>
      </w:r>
    </w:p>
    <w:p>
      <w:pPr>
        <w:spacing w:after="60" w:before="0"/>
        <w:ind w:left="360"/>
        <w:jc w:val="both"/>
      </w:pPr>
      <w:r>
        <w:rPr>
          <w:rFonts w:ascii="Times New Roman" w:cs="Times New Roman" w:eastAsia="Times New Roman" w:hAnsi="Times New Roman"/>
          <w:sz w:val="20"/>
          <w:szCs w:val="20"/>
        </w:rPr>
        <w:t xml:space="preserve">1)	Laser power and scan speed are the dominant parameters governing tensile strength, collectively accounting for over 62% of the total variance. Hatch spacing is the primary determinant of surface roughness.</w:t>
      </w:r>
    </w:p>
    <w:p>
      <w:pPr>
        <w:spacing w:after="60" w:before="0"/>
        <w:ind w:left="360"/>
        <w:jc w:val="both"/>
      </w:pPr>
      <w:r>
        <w:rPr>
          <w:rFonts w:ascii="Times New Roman" w:cs="Times New Roman" w:eastAsia="Times New Roman" w:hAnsi="Times New Roman"/>
          <w:sz w:val="20"/>
          <w:szCs w:val="20"/>
        </w:rPr>
        <w:t xml:space="preserve">2)	The combined Taguchi–RSM methodology efficiently identifies optimal parameter settings with fewer experiments than full-factorial designs, yielding second-order models with R² &gt; 0.96.</w:t>
      </w:r>
    </w:p>
    <w:p>
      <w:pPr>
        <w:spacing w:after="60" w:before="0"/>
        <w:ind w:left="360"/>
        <w:jc w:val="both"/>
      </w:pPr>
      <w:r>
        <w:rPr>
          <w:rFonts w:ascii="Times New Roman" w:cs="Times New Roman" w:eastAsia="Times New Roman" w:hAnsi="Times New Roman"/>
          <w:sz w:val="20"/>
          <w:szCs w:val="20"/>
        </w:rPr>
        <w:t xml:space="preserve">3)	The identified optimal conditions (P = 19 W, v = 2,200 mm/s, h = 0.22 mm, t = 0.10 mm, T_bed = 168°C) yield a tensile strength of 51.4 MPa, surface roughness Ra of 8.2 μm, and dimensional deviation of 0.29%, representing improvements of 18.6%, 24.1%, and 31.4% over baseline conditions, respectively.</w:t>
      </w:r>
    </w:p>
    <w:p>
      <w:pPr>
        <w:spacing w:after="60" w:before="0"/>
        <w:ind w:left="360"/>
        <w:jc w:val="both"/>
      </w:pPr>
      <w:r>
        <w:rPr>
          <w:rFonts w:ascii="Times New Roman" w:cs="Times New Roman" w:eastAsia="Times New Roman" w:hAnsi="Times New Roman"/>
          <w:sz w:val="20"/>
          <w:szCs w:val="20"/>
        </w:rPr>
        <w:t xml:space="preserve">4)	The defined process window provides actionable guidance for industrial SLS operators seeking to balance mechanical performance and surface quality without post-processing.</w:t>
      </w:r>
    </w:p>
    <w:p>
      <w:pPr>
        <w:spacing w:after="80" w:before="0" w:line="240"/>
        <w:ind w:firstLine="360"/>
        <w:jc w:val="both"/>
      </w:pPr>
      <w:r>
        <w:rPr>
          <w:rFonts w:ascii="Times New Roman" w:cs="Times New Roman" w:eastAsia="Times New Roman" w:hAnsi="Times New Roman"/>
          <w:sz w:val="20"/>
          <w:szCs w:val="20"/>
        </w:rPr>
        <w:t xml:space="preserve">Future work will extend this methodology to glass-filled and carbon-fibre-reinforced PA12 composites and investigate the effect of build orientation and part location within the build volume on response variability.</w:t>
      </w:r>
    </w:p>
    <w:p>
      <w:pPr>
        <w:spacing w:after="80" w:before="160"/>
        <w:jc w:val="left"/>
      </w:pPr>
      <w:r>
        <w:rPr>
          <w:rFonts w:ascii="Times New Roman" w:cs="Times New Roman" w:eastAsia="Times New Roman" w:hAnsi="Times New Roman"/>
          <w:b/>
          <w:bCs/>
          <w:smallCaps/>
          <w:sz w:val="20"/>
          <w:szCs w:val="20"/>
        </w:rPr>
        <w:t xml:space="preserve">. ACKNOWLEDGMENT</w:t>
      </w:r>
    </w:p>
    <w:p>
      <w:pPr>
        <w:spacing w:after="80" w:before="0" w:line="240"/>
        <w:ind/>
        <w:jc w:val="both"/>
      </w:pPr>
      <w:r>
        <w:rPr>
          <w:rFonts w:ascii="Times New Roman" w:cs="Times New Roman" w:eastAsia="Times New Roman" w:hAnsi="Times New Roman"/>
          <w:sz w:val="20"/>
          <w:szCs w:val="20"/>
        </w:rPr>
        <w:t xml:space="preserve">The authors gratefully acknowledge the financial support of [Funding Agency, Grant No. XXXX] and the technical assistance of the Advanced Manufacturing Research Centre at [University Name]. The authors also thank EOS GmbH for providing material data sheets and application support.</w:t>
      </w:r>
    </w:p>
    <w:p>
      <w:pPr>
        <w:spacing w:after="80" w:before="160"/>
        <w:jc w:val="left"/>
      </w:pPr>
      <w:r>
        <w:rPr>
          <w:rFonts w:ascii="Times New Roman" w:cs="Times New Roman" w:eastAsia="Times New Roman" w:hAnsi="Times New Roman"/>
          <w:b/>
          <w:bCs/>
          <w:smallCaps/>
          <w:sz w:val="20"/>
          <w:szCs w:val="20"/>
        </w:rPr>
        <w:t xml:space="preserve">. REFERENCES</w:t>
      </w:r>
    </w:p>
    <w:p>
      <w:pPr>
        <w:spacing w:after="60" w:before="0"/>
        <w:ind w:left="360" w:hanging="3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T. D. Ngo, A. Kashani, G. Imbalzano, K. T. Q. Nguyen, and D. Hui, "Additive manufacturing (3D printing): A review of materials, methods, applications and challenges," Composites Part B: Engineering, vol. 143, pp. 172–196, Jun. 2018.</w:t>
      </w:r>
    </w:p>
    <w:p>
      <w:pPr>
        <w:spacing w:after="60" w:before="0"/>
        <w:ind w:left="360" w:hanging="3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C. Caulfield, D. P. McDonnell, and D. Connolly, "Dependence of mechanical properties of polyamide components on build parameters in the SLS process," J. Mater. Process. Technol., vol. 182, no. 1–3, pp. 477–488, Feb. 2007.</w:t>
      </w:r>
    </w:p>
    <w:p>
      <w:pPr>
        <w:spacing w:after="60" w:before="0"/>
        <w:ind w:left="360" w:hanging="3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O. Lammens, D. Khodaee, S. De Schepper, M. Astaraei, and J. R. Duflou, "Improving the surface quality of SLS parts by a controlled post-processing step," Rapid Prototyp. J., vol. 25, no. 4, pp. 656–665, 2019.</w:t>
      </w:r>
    </w:p>
    <w:p>
      <w:pPr>
        <w:spacing w:after="60" w:before="0"/>
        <w:ind w:left="360" w:hanging="3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C. R. Deckard, "Method and apparatus for producing parts by selective sintering," U.S. Patent 4863538, Sept. 5, 1989.</w:t>
      </w:r>
    </w:p>
    <w:p>
      <w:pPr>
        <w:spacing w:after="60" w:before="0"/>
        <w:ind w:left="360" w:hanging="3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H. Zarringhalam, N. Hopkinson, N. F. Kamperman, and J. J. de Vlieger, "Effects of processing on microstructure and properties of SLS Nylon 12," Mater. Sci. Eng. A, vol. 435–436, pp. 172–180, Nov. 2006.</w:t>
      </w:r>
    </w:p>
    <w:p>
      <w:pPr>
        <w:spacing w:after="60" w:before="0"/>
        <w:ind w:left="360" w:hanging="3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P. D. Cooke and L. Bhora, "Influence of SLS process parameters on the mechanical properties of Nylon-12 parts," Proc. Inst. Mech. Eng. Part B, vol. 220, no. 11, pp. 1755–1765, 2006.</w:t>
      </w:r>
    </w:p>
    <w:p>
      <w:pPr>
        <w:spacing w:after="60" w:before="0"/>
        <w:ind w:left="360" w:hanging="3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G. Taguchi, S. Chowdhury, and Y. Wu, Taguchi's Quality Engineering Handbook. Hoboken, NJ, USA: John Wiley &amp; Sons, 2004.</w:t>
      </w:r>
    </w:p>
    <w:p>
      <w:pPr>
        <w:spacing w:after="60" w:before="0"/>
        <w:ind w:left="360" w:hanging="3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R. H. Myers, D. C. Montgomery, and C. M. Anderson-Cook, Response Surface Methodology: Process and Product Optimization Using Designed Experiments, 4th ed. Hoboken, NJ, USA: John Wiley &amp; Sons, 2016.</w:t>
      </w:r>
    </w:p>
    <w:p>
      <w:pPr>
        <w:spacing w:after="60" w:before="0"/>
        <w:ind w:left="360" w:hanging="3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A. Zaman, R. Mahajan, and P. Kothadia, "Machine learning-assisted process parameter prediction for selective laser sintering," Addit. Manuf., vol. 52, art. no. 102669, Apr. 2022.</w:t>
      </w:r>
    </w:p>
    <w:p>
      <w:pPr>
        <w:spacing w:after="60" w:before="0"/>
        <w:ind w:left="360" w:hanging="3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G. V. Salmoria, J. L. Leite, and R. A. Paggi, "The microstructural characterization of PA6/PA12 blend specimens fabricated by selective laser sintering," Polym. Test., vol. 28, no. 7, pp. 746–751, Oct. 2009.</w:t>
      </w:r>
    </w:p>
    <w:p>
      <w:pPr>
        <w:spacing w:after="60" w:before="0"/>
        <w:ind w:left="360" w:hanging="3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B. Caulier, T. Bernard, V. Vignoles, and G. L. Vignoles, "Influence of laser scan parameters on the microstructure and mechanical properties of PA12 parts manufactured by SLS," J. Mater. Sci., vol. 55, pp. 8517–8535, Jun. 2020.</w:t>
      </w:r>
    </w:p>
    <w:p>
      <w:pPr>
        <w:spacing w:after="60" w:before="0"/>
        <w:ind w:left="360" w:hanging="3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J. P. Kruth, G. Levy, F. Klocke, and T. H. C. Childs, "Consolidation phenomena in laser and powder-bed based layered manufacturing," CIRP Ann., vol. 56, no. 2, pp. 730–759, 2007.</w:t>
      </w:r>
    </w:p>
    <w:p>
      <w:pPr>
        <w:spacing w:after="60" w:before="0"/>
        <w:ind w:left="360" w:hanging="36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M. Vasquez, B. Haworth, and N. Hopkinson, "Optimum sintering region for laser sintered nylon-12," Proc. Inst. Mech. Eng. Part B, vol. 225, no. 12, pp. 2240–2248, Dec. 2011.</w:t>
      </w:r>
    </w:p>
    <w:p>
      <w:pPr>
        <w:spacing w:after="60" w:before="0"/>
        <w:ind w:left="360" w:hanging="36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K. Senthilkumaran, P. M. Pandey, and P. V. M. Rao, "New model for shrinkage compensation in selective laser sintering," Virtual Phys. Prototyping, vol. 4, no. 2, pp. 49–62, 2009.</w:t>
      </w:r>
    </w:p>
    <w:p>
      <w:pPr>
        <w:spacing w:after="60" w:before="0"/>
        <w:ind w:left="360" w:hanging="360"/>
        <w:jc w:val="both"/>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N. Hopkinson and P. Dickens, "Analysis of rapid manufacturing—using layer manufacturing processes for production," Proc. Inst. Mech. Eng. Part C, vol. 217, no. 1, pp. 31–39, Jan. 2003.</w:t>
      </w:r>
    </w:p>
    <w:p>
      <w:pPr>
        <w:spacing w:after="60" w:before="0"/>
        <w:ind w:left="360" w:hanging="360"/>
        <w:jc w:val="both"/>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T. H. C. Childs and A. E. Tontowi, "Selective laser sintering of a crystalline and a glass-filled crystalline polymer: experiments and simulations," Proc. Inst. Mech. Eng. Part B, vol. 215, no. 11, pp. 1481–1495, 2001.</w:t>
      </w:r>
    </w:p>
    <w:p>
      <w:pPr>
        <w:spacing w:after="60" w:before="0"/>
        <w:ind w:left="360" w:hanging="360"/>
        <w:jc w:val="both"/>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D. L. Bourell, M. C. Leu, and D. W. Rosen, "Roadmap for additive manufacturing: identifying the future of freeform processing," in Proc. NSF Additive Manufacturing Workshop, Austin, TX, USA, 2009, pp. 1–92.</w:t>
      </w:r>
    </w:p>
    <w:p>
      <w:pPr>
        <w:spacing w:after="60" w:before="0"/>
        <w:ind w:left="360" w:hanging="360"/>
        <w:jc w:val="both"/>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G. V. Salmoria, C. H. Ahrens, P. Klauss, R. A. Paggi, R. G. Oliveira, and A. Lago, "Rapid manufacturing of polyethylene parts with controlled pore size gradients using selective laser sintering," Mater. Res., vol. 10, no. 2, pp. 211–214, 2007.</w:t>
      </w:r>
    </w:p>
    <w:p>
      <w:pPr>
        <w:spacing w:after="60" w:before="0"/>
        <w:ind w:left="360" w:hanging="360"/>
        <w:jc w:val="both"/>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A. Wegner and G. Witt, "Understanding the decisive thermal processes in laser sintering of polyamide 11," AIP Conf. Proc., vol. 1664, art. no. 160004, 2015.</w:t>
      </w:r>
    </w:p>
    <w:p>
      <w:pPr>
        <w:spacing w:after="60" w:before="0"/>
        <w:ind w:left="360" w:hanging="360"/>
        <w:jc w:val="both"/>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Y. S. Shi, Z. Li, H. Sun, S. H. Huang, and F. Zeng, "Effect of the properties of the polymer materials on the quality of selective laser sintering parts," Proc. Inst. Mech. Eng. Part L, vol. 218, no. 3, pp. 247–252, 2004.</w:t>
      </w:r>
    </w:p>
    <w:p>
      <w:pPr>
        <w:spacing w:after="60" w:before="0"/>
        <w:ind w:left="360" w:hanging="360"/>
        <w:jc w:val="both"/>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A. Elsayed, M. Bartolo, M. J. Bartolo, and C. Matos, "Artificial intelligence-assisted process parameter identification in multi-material selective laser sintering," Addit. Manuf., vol. 60, art. no. 103257, Dec. 2022.</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jc w:val="center"/>
    </w:pPr>
    <w:r>
      <w:rPr>
        <w:rFonts w:ascii="Times New Roman" w:cs="Times New Roman" w:eastAsia="Times New Roman" w:hAnsi="Times New Roman"/>
        <w:i/>
        <w:iCs/>
        <w:sz w:val="16"/>
        <w:szCs w:val="16"/>
      </w:rPr>
      <w:t xml:space="preserve">INTERNATIONAL JOURNAL OF ADVANCED MANUFACTURING TECHNOLOGY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2026-05-26T15:35:36.482Z</dcterms:created>
  <dcterms:modified xsi:type="dcterms:W3CDTF">2026-05-26T15:35:36.482Z</dcterms:modified>
</cp:coreProperties>
</file>

<file path=docProps/custom.xml><?xml version="1.0" encoding="utf-8"?>
<Properties xmlns="http://schemas.openxmlformats.org/officeDocument/2006/custom-properties" xmlns:vt="http://schemas.openxmlformats.org/officeDocument/2006/docPropsVTypes"/>
</file>