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982A" w14:textId="77777777" w:rsidR="00E46B7B" w:rsidRPr="00413BC9" w:rsidRDefault="00C2595D">
      <w:pPr>
        <w:spacing w:after="40"/>
        <w:rPr>
          <w:sz w:val="22"/>
          <w:szCs w:val="22"/>
        </w:rPr>
      </w:pPr>
      <w:r w:rsidRPr="00413BC9">
        <w:rPr>
          <w:b/>
          <w:bCs/>
          <w:color w:val="0F2B46"/>
          <w:sz w:val="44"/>
          <w:szCs w:val="44"/>
        </w:rPr>
        <w:t>SmartSentry AML</w:t>
      </w:r>
    </w:p>
    <w:p w14:paraId="0C5065A4" w14:textId="77777777" w:rsidR="00E46B7B" w:rsidRDefault="00C2595D">
      <w:pPr>
        <w:spacing w:after="20"/>
      </w:pPr>
      <w:r>
        <w:rPr>
          <w:color w:val="5A6F85"/>
          <w:sz w:val="20"/>
          <w:szCs w:val="20"/>
        </w:rPr>
        <w:t>AI-Powered Anti-Money Laundering Detection &amp; Classification</w:t>
      </w:r>
    </w:p>
    <w:p w14:paraId="03580B17" w14:textId="77777777" w:rsidR="00E46B7B" w:rsidRDefault="00C2595D">
      <w:pPr>
        <w:pBdr>
          <w:bottom w:val="single" w:sz="6" w:space="6" w:color="0F2B46"/>
        </w:pBdr>
        <w:spacing w:after="140"/>
      </w:pPr>
      <w:r>
        <w:rPr>
          <w:i/>
          <w:iCs/>
          <w:color w:val="5A6F85"/>
          <w:sz w:val="16"/>
          <w:szCs w:val="16"/>
        </w:rPr>
        <w:t>Executive Summary — May 2026 | Confidential</w:t>
      </w:r>
    </w:p>
    <w:p w14:paraId="63AE21E8" w14:textId="77777777" w:rsidR="00E46B7B" w:rsidRPr="00413BC9" w:rsidRDefault="00C2595D">
      <w:pPr>
        <w:pBdr>
          <w:bottom w:val="single" w:sz="4" w:space="4" w:color="D4E0ED"/>
        </w:pBdr>
        <w:spacing w:before="200" w:after="80"/>
        <w:rPr>
          <w:color w:val="C00000"/>
          <w:sz w:val="22"/>
          <w:szCs w:val="22"/>
        </w:rPr>
      </w:pPr>
      <w:r w:rsidRPr="00413BC9">
        <w:rPr>
          <w:b/>
          <w:bCs/>
          <w:color w:val="C00000"/>
          <w:sz w:val="28"/>
          <w:szCs w:val="28"/>
        </w:rPr>
        <w:t xml:space="preserve">01  </w:t>
      </w:r>
      <w:r w:rsidRPr="00413BC9">
        <w:rPr>
          <w:b/>
          <w:bCs/>
          <w:color w:val="C00000"/>
          <w:sz w:val="28"/>
          <w:szCs w:val="28"/>
        </w:rPr>
        <w:t xml:space="preserve">  Problem Statement &amp; Gap Analysis</w:t>
      </w:r>
    </w:p>
    <w:p w14:paraId="2A57B619" w14:textId="77777777" w:rsidR="00E46B7B" w:rsidRDefault="00C2595D">
      <w:pPr>
        <w:spacing w:after="80"/>
      </w:pPr>
      <w:r>
        <w:rPr>
          <w:color w:val="2D3748"/>
        </w:rPr>
        <w:t>Indian banks process millions of transactions daily across multiple channels — NEFT, RTGS, UPI, IMPS, ATM, Branch Cash, and Prepaid Payment Instruments (PPI). Hidden within this volume are sophisticated money laundering patterns where criminals move illicit funds through complex networks of accounts, shell entities, and cross-border corridors to disguise the money's origin.</w:t>
      </w:r>
    </w:p>
    <w:p w14:paraId="01F19761" w14:textId="77777777" w:rsidR="00E46B7B" w:rsidRDefault="00C2595D">
      <w:pPr>
        <w:spacing w:after="60"/>
      </w:pPr>
      <w:r>
        <w:rPr>
          <w:b/>
          <w:bCs/>
          <w:color w:val="2D3748"/>
        </w:rPr>
        <w:t xml:space="preserve">The core challenge: </w:t>
      </w:r>
      <w:r>
        <w:rPr>
          <w:color w:val="2D3748"/>
        </w:rPr>
        <w:t>existing rule-based transaction monitoring systems generate excessive false alarms — industry-wide false positive rates reach 90–95%, meaning only 1 in 10 to 1 in 20 alerts represent genuine suspicious activity. This creates two critical problems:</w:t>
      </w:r>
    </w:p>
    <w:p w14:paraId="2C4923DB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Compliance overload: </w:t>
      </w:r>
      <w:r>
        <w:rPr>
          <w:color w:val="2D3748"/>
        </w:rPr>
        <w:t>Investigation teams spend the majority of their time reviewing false alarms, leading to analyst fatigue, delayed STR filings, and rising operational costs.</w:t>
      </w:r>
    </w:p>
    <w:p w14:paraId="0CF14435" w14:textId="13D6F152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Undetected laundering: </w:t>
      </w:r>
      <w:r>
        <w:rPr>
          <w:color w:val="2D3748"/>
        </w:rPr>
        <w:t xml:space="preserve">While analysts are buried in false alarms, sophisticated laundering schemes — layering through 8–10 intermediary accounts, circular loops, hawala settlements — slip through undetected because rule-based systems cannot recognize complex </w:t>
      </w:r>
      <w:r w:rsidR="000B7DFB">
        <w:rPr>
          <w:color w:val="2D3748"/>
        </w:rPr>
        <w:t>behavioural</w:t>
      </w:r>
      <w:r>
        <w:rPr>
          <w:color w:val="2D3748"/>
        </w:rPr>
        <w:t xml:space="preserve"> patterns.</w:t>
      </w:r>
    </w:p>
    <w:p w14:paraId="1ED25FDA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Regulatory exposure: </w:t>
      </w:r>
      <w:r>
        <w:rPr>
          <w:color w:val="2D3748"/>
        </w:rPr>
        <w:t>RBI, FIU-IND, and PMLA mandate risk-based monitoring with typology-specific detection. Banks relying solely on static rules face regulatory action for inadequate AML frameworks.</w:t>
      </w:r>
    </w:p>
    <w:p w14:paraId="07B3E353" w14:textId="77777777" w:rsidR="00E46B7B" w:rsidRDefault="00C2595D">
      <w:pPr>
        <w:spacing w:after="80"/>
      </w:pPr>
      <w:r>
        <w:rPr>
          <w:b/>
          <w:bCs/>
          <w:color w:val="2D3748"/>
        </w:rPr>
        <w:t xml:space="preserve">Our gap analysis identified three fundamental limitations </w:t>
      </w:r>
      <w:r>
        <w:rPr>
          <w:color w:val="2D3748"/>
        </w:rPr>
        <w:t>in current systems: (1) no ability to learn from historical patterns — rules are manually written and tuned, (2) no typology classification — alerts say 'suspicious' without identifying the specific laundering method, forcing investigators to start from scratch, and (3) no proportional risk scoring — every alert is treated equally regardless of confidence or severity.</w:t>
      </w:r>
    </w:p>
    <w:p w14:paraId="1B249250" w14:textId="77777777" w:rsidR="00E46B7B" w:rsidRDefault="00C2595D">
      <w:pPr>
        <w:spacing w:after="100"/>
      </w:pPr>
      <w:r>
        <w:rPr>
          <w:b/>
          <w:bCs/>
          <w:color w:val="2D3748"/>
        </w:rPr>
        <w:t xml:space="preserve">SmartSentry AML was built to close these gaps </w:t>
      </w:r>
      <w:r>
        <w:rPr>
          <w:color w:val="2D3748"/>
        </w:rPr>
        <w:t>by combining the regulatory completeness of a 126-rule compliance engine with the pattern recognition capability of machine learning — delivering not just alerts, but specific typology identification, confidence scores, investigation priorities, and plain-English business explanations for every flagged transaction.</w:t>
      </w:r>
    </w:p>
    <w:p w14:paraId="650DD283" w14:textId="77777777" w:rsidR="00E46B7B" w:rsidRPr="000B7DFB" w:rsidRDefault="00C2595D">
      <w:pPr>
        <w:pBdr>
          <w:bottom w:val="single" w:sz="4" w:space="4" w:color="D4E0ED"/>
        </w:pBdr>
        <w:spacing w:before="200" w:after="80"/>
        <w:rPr>
          <w:color w:val="C00000"/>
          <w:sz w:val="28"/>
          <w:szCs w:val="28"/>
        </w:rPr>
      </w:pPr>
      <w:r w:rsidRPr="000B7DFB">
        <w:rPr>
          <w:b/>
          <w:bCs/>
          <w:color w:val="C00000"/>
          <w:sz w:val="28"/>
          <w:szCs w:val="28"/>
        </w:rPr>
        <w:t xml:space="preserve">02  </w:t>
      </w:r>
      <w:r w:rsidRPr="000B7DFB">
        <w:rPr>
          <w:b/>
          <w:bCs/>
          <w:color w:val="C00000"/>
          <w:sz w:val="28"/>
          <w:szCs w:val="28"/>
        </w:rPr>
        <w:t xml:space="preserve">  Solution Overview</w:t>
      </w:r>
    </w:p>
    <w:p w14:paraId="5E51E86B" w14:textId="5A087189" w:rsidR="00E46B7B" w:rsidRDefault="00C2595D">
      <w:pPr>
        <w:spacing w:after="80"/>
      </w:pPr>
      <w:r>
        <w:rPr>
          <w:color w:val="2D3748"/>
        </w:rPr>
        <w:t xml:space="preserve">SmartSentry AML is a two-phase AI system. </w:t>
      </w:r>
      <w:r w:rsidRPr="000B7DFB">
        <w:rPr>
          <w:b/>
          <w:bCs/>
          <w:i/>
          <w:iCs/>
          <w:color w:val="2D3748"/>
        </w:rPr>
        <w:t>Phase 1</w:t>
      </w:r>
      <w:r>
        <w:rPr>
          <w:color w:val="2D3748"/>
        </w:rPr>
        <w:t xml:space="preserve"> answers </w:t>
      </w:r>
      <w:r w:rsidRPr="000B7DFB">
        <w:rPr>
          <w:b/>
          <w:bCs/>
          <w:i/>
          <w:iCs/>
          <w:color w:val="2D3748"/>
        </w:rPr>
        <w:t>'Is this transaction suspicious?'</w:t>
      </w:r>
      <w:r>
        <w:rPr>
          <w:color w:val="2D3748"/>
        </w:rPr>
        <w:t xml:space="preserve"> using a binary classification model trained on 200+ </w:t>
      </w:r>
      <w:r w:rsidR="000B7DFB">
        <w:rPr>
          <w:color w:val="2D3748"/>
        </w:rPr>
        <w:t>behavioural</w:t>
      </w:r>
      <w:r>
        <w:rPr>
          <w:color w:val="2D3748"/>
        </w:rPr>
        <w:t xml:space="preserve"> features. </w:t>
      </w:r>
      <w:r w:rsidRPr="000B7DFB">
        <w:rPr>
          <w:b/>
          <w:bCs/>
          <w:i/>
          <w:iCs/>
          <w:color w:val="2D3748"/>
        </w:rPr>
        <w:t>Phase 2</w:t>
      </w:r>
      <w:r>
        <w:rPr>
          <w:color w:val="2D3748"/>
        </w:rPr>
        <w:t xml:space="preserve"> answers </w:t>
      </w:r>
      <w:r w:rsidRPr="000B7DFB">
        <w:rPr>
          <w:b/>
          <w:bCs/>
          <w:i/>
          <w:iCs/>
          <w:color w:val="2D3748"/>
        </w:rPr>
        <w:t>'What type of money laundering is this?'</w:t>
      </w:r>
      <w:r>
        <w:rPr>
          <w:color w:val="2D3748"/>
        </w:rPr>
        <w:t xml:space="preserve"> by classifying flagged transactions into one of 10 FATF-recognized typologies, each mapped to specific RBI/PMLA regulatory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E46B7B" w14:paraId="7C53FE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F2B46"/>
              <w:left w:val="single" w:sz="1" w:space="0" w:color="1A4268"/>
              <w:bottom w:val="single" w:sz="1" w:space="0" w:color="0F2B46"/>
              <w:right w:val="single" w:sz="1" w:space="0" w:color="1A4268"/>
            </w:tcBorders>
            <w:shd w:val="clear" w:color="auto" w:fill="0F2B4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4E423E" w14:textId="77777777" w:rsidR="00E46B7B" w:rsidRDefault="00C2595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Transaction Data</w:t>
            </w:r>
          </w:p>
          <w:p w14:paraId="604FF12E" w14:textId="77777777" w:rsidR="00E46B7B" w:rsidRDefault="00C2595D">
            <w:pPr>
              <w:spacing w:before="20"/>
              <w:jc w:val="center"/>
            </w:pPr>
            <w:r>
              <w:rPr>
                <w:i/>
                <w:iCs/>
                <w:color w:val="A8C4DE"/>
                <w:sz w:val="14"/>
                <w:szCs w:val="14"/>
              </w:rPr>
              <w:t>→ Ingest</w:t>
            </w:r>
          </w:p>
        </w:tc>
        <w:tc>
          <w:tcPr>
            <w:tcW w:w="1560" w:type="dxa"/>
            <w:tcBorders>
              <w:top w:val="single" w:sz="1" w:space="0" w:color="0F2B46"/>
              <w:left w:val="single" w:sz="1" w:space="0" w:color="1A4268"/>
              <w:bottom w:val="single" w:sz="1" w:space="0" w:color="0F2B46"/>
              <w:right w:val="single" w:sz="1" w:space="0" w:color="1A4268"/>
            </w:tcBorders>
            <w:shd w:val="clear" w:color="auto" w:fill="0F2B4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E45570" w14:textId="77777777" w:rsidR="00E46B7B" w:rsidRDefault="00C2595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126 Compliance Rules</w:t>
            </w:r>
          </w:p>
          <w:p w14:paraId="53AEA0D3" w14:textId="77777777" w:rsidR="00E46B7B" w:rsidRDefault="00C2595D">
            <w:pPr>
              <w:spacing w:before="20"/>
              <w:jc w:val="center"/>
            </w:pPr>
            <w:r>
              <w:rPr>
                <w:i/>
                <w:iCs/>
                <w:color w:val="A8C4DE"/>
                <w:sz w:val="14"/>
                <w:szCs w:val="14"/>
              </w:rPr>
              <w:t>→ Scan</w:t>
            </w:r>
          </w:p>
        </w:tc>
        <w:tc>
          <w:tcPr>
            <w:tcW w:w="1560" w:type="dxa"/>
            <w:tcBorders>
              <w:top w:val="single" w:sz="1" w:space="0" w:color="0F2B46"/>
              <w:left w:val="single" w:sz="1" w:space="0" w:color="1A4268"/>
              <w:bottom w:val="single" w:sz="1" w:space="0" w:color="0F2B46"/>
              <w:right w:val="single" w:sz="1" w:space="0" w:color="1A4268"/>
            </w:tcBorders>
            <w:shd w:val="clear" w:color="auto" w:fill="0F2B4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5C914C" w14:textId="77777777" w:rsidR="00E46B7B" w:rsidRDefault="00C2595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200+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Behavioral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Features</w:t>
            </w:r>
          </w:p>
          <w:p w14:paraId="133EF7DD" w14:textId="77777777" w:rsidR="00E46B7B" w:rsidRDefault="00C2595D">
            <w:pPr>
              <w:spacing w:before="20"/>
              <w:jc w:val="center"/>
            </w:pPr>
            <w:r>
              <w:rPr>
                <w:i/>
                <w:iCs/>
                <w:color w:val="A8C4DE"/>
                <w:sz w:val="14"/>
                <w:szCs w:val="14"/>
              </w:rPr>
              <w:t>→ Engineer</w:t>
            </w:r>
          </w:p>
        </w:tc>
        <w:tc>
          <w:tcPr>
            <w:tcW w:w="1560" w:type="dxa"/>
            <w:tcBorders>
              <w:top w:val="single" w:sz="1" w:space="0" w:color="0F2B46"/>
              <w:left w:val="single" w:sz="1" w:space="0" w:color="1A4268"/>
              <w:bottom w:val="single" w:sz="1" w:space="0" w:color="0F2B46"/>
              <w:right w:val="single" w:sz="1" w:space="0" w:color="1A4268"/>
            </w:tcBorders>
            <w:shd w:val="clear" w:color="auto" w:fill="0F2B4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B79872" w14:textId="77777777" w:rsidR="00E46B7B" w:rsidRDefault="00C2595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1 AML Detection</w:t>
            </w:r>
          </w:p>
          <w:p w14:paraId="2B605257" w14:textId="77777777" w:rsidR="00E46B7B" w:rsidRDefault="00C2595D">
            <w:pPr>
              <w:spacing w:before="20"/>
              <w:jc w:val="center"/>
            </w:pPr>
            <w:r>
              <w:rPr>
                <w:i/>
                <w:iCs/>
                <w:color w:val="A8C4DE"/>
                <w:sz w:val="14"/>
                <w:szCs w:val="14"/>
              </w:rPr>
              <w:t>→ Score</w:t>
            </w:r>
          </w:p>
        </w:tc>
        <w:tc>
          <w:tcPr>
            <w:tcW w:w="1560" w:type="dxa"/>
            <w:tcBorders>
              <w:top w:val="single" w:sz="1" w:space="0" w:color="0F2B46"/>
              <w:left w:val="single" w:sz="1" w:space="0" w:color="1A4268"/>
              <w:bottom w:val="single" w:sz="1" w:space="0" w:color="0F2B46"/>
              <w:right w:val="single" w:sz="1" w:space="0" w:color="1A4268"/>
            </w:tcBorders>
            <w:shd w:val="clear" w:color="auto" w:fill="0F2B4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439013" w14:textId="77777777" w:rsidR="00E46B7B" w:rsidRDefault="00C2595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2 Typology ID</w:t>
            </w:r>
          </w:p>
          <w:p w14:paraId="1FFAF2C9" w14:textId="77777777" w:rsidR="00E46B7B" w:rsidRDefault="00C2595D">
            <w:pPr>
              <w:spacing w:before="20"/>
              <w:jc w:val="center"/>
            </w:pPr>
            <w:r>
              <w:rPr>
                <w:i/>
                <w:iCs/>
                <w:color w:val="A8C4DE"/>
                <w:sz w:val="14"/>
                <w:szCs w:val="14"/>
              </w:rPr>
              <w:t>→ Classify</w:t>
            </w:r>
          </w:p>
        </w:tc>
        <w:tc>
          <w:tcPr>
            <w:tcW w:w="1560" w:type="dxa"/>
            <w:tcBorders>
              <w:top w:val="single" w:sz="1" w:space="0" w:color="0F2B46"/>
              <w:left w:val="single" w:sz="1" w:space="0" w:color="1A4268"/>
              <w:bottom w:val="single" w:sz="1" w:space="0" w:color="0F2B46"/>
              <w:right w:val="single" w:sz="1" w:space="0" w:color="1A4268"/>
            </w:tcBorders>
            <w:shd w:val="clear" w:color="auto" w:fill="0F2B4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40C03D" w14:textId="77777777" w:rsidR="00E46B7B" w:rsidRDefault="00C2595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Priority Alert</w:t>
            </w:r>
          </w:p>
          <w:p w14:paraId="441BDF58" w14:textId="77777777" w:rsidR="00E46B7B" w:rsidRDefault="00C2595D">
            <w:pPr>
              <w:spacing w:before="20"/>
              <w:jc w:val="center"/>
            </w:pPr>
            <w:r>
              <w:rPr>
                <w:i/>
                <w:iCs/>
                <w:color w:val="A8C4DE"/>
                <w:sz w:val="14"/>
                <w:szCs w:val="14"/>
              </w:rPr>
              <w:t>→ Action</w:t>
            </w:r>
          </w:p>
        </w:tc>
      </w:tr>
    </w:tbl>
    <w:p w14:paraId="3D48CC38" w14:textId="77777777" w:rsidR="00E46B7B" w:rsidRDefault="00C2595D">
      <w:pPr>
        <w:spacing w:before="80" w:after="60"/>
      </w:pPr>
      <w:r>
        <w:rPr>
          <w:color w:val="2D3748"/>
        </w:rPr>
        <w:t>The system monitors 10 distinct laundering patterns — from cash structuring below ₹10,000 reporting thresholds to complex hawala settlements across FATF-listed jurisdictions — covering the full spectrum of typologies required by Indian regulators.</w:t>
      </w:r>
    </w:p>
    <w:p w14:paraId="3801BD9A" w14:textId="77777777" w:rsidR="00E46B7B" w:rsidRPr="001D2298" w:rsidRDefault="00C2595D">
      <w:pPr>
        <w:pBdr>
          <w:bottom w:val="single" w:sz="4" w:space="4" w:color="D4E0ED"/>
        </w:pBdr>
        <w:spacing w:before="200" w:after="80"/>
        <w:rPr>
          <w:color w:val="C00000"/>
          <w:sz w:val="28"/>
          <w:szCs w:val="28"/>
        </w:rPr>
      </w:pPr>
      <w:r w:rsidRPr="001D2298">
        <w:rPr>
          <w:b/>
          <w:bCs/>
          <w:color w:val="C00000"/>
          <w:sz w:val="28"/>
          <w:szCs w:val="28"/>
        </w:rPr>
        <w:t xml:space="preserve">03  </w:t>
      </w:r>
      <w:r w:rsidRPr="001D2298">
        <w:rPr>
          <w:b/>
          <w:bCs/>
          <w:color w:val="C00000"/>
          <w:sz w:val="28"/>
          <w:szCs w:val="28"/>
        </w:rPr>
        <w:t xml:space="preserve">  Model Architecture</w:t>
      </w:r>
    </w:p>
    <w:p w14:paraId="35D38C4C" w14:textId="77777777" w:rsidR="00E46B7B" w:rsidRDefault="00C2595D">
      <w:pPr>
        <w:spacing w:after="60"/>
      </w:pPr>
      <w:r>
        <w:rPr>
          <w:b/>
          <w:bCs/>
          <w:color w:val="2D3748"/>
        </w:rPr>
        <w:t xml:space="preserve">The pipeline is built in six sequential modules, </w:t>
      </w:r>
      <w:r>
        <w:rPr>
          <w:color w:val="2D3748"/>
        </w:rPr>
        <w:t>each producing validated output consumed by the next stage. This modular design allows individual components to be upgraded without disrupting the full system.</w:t>
      </w:r>
    </w:p>
    <w:p w14:paraId="0FBA00CD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Synthetic Data Generator: </w:t>
      </w:r>
      <w:r>
        <w:rPr>
          <w:color w:val="2D3748"/>
        </w:rPr>
        <w:t>Creates ~390,000 transactions across 3,400 customers with realistic income-proportional spending patterns. AML scenarios are injected with dedicated account pools (one typology per account) ensuring clean training labels.</w:t>
      </w:r>
    </w:p>
    <w:p w14:paraId="6DBD6CFF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Graph-Based Typology Detector: </w:t>
      </w:r>
      <w:r>
        <w:rPr>
          <w:color w:val="2D3748"/>
        </w:rPr>
        <w:t xml:space="preserve">Constructs a directed transaction graph and runs 10 independent pattern-matching algorithms — DFS for circular loops, chain-tracing for layering, star-pattern matching for mule networks. Priority-based </w:t>
      </w:r>
      <w:proofErr w:type="spellStart"/>
      <w:r>
        <w:rPr>
          <w:color w:val="2D3748"/>
        </w:rPr>
        <w:t>dedup</w:t>
      </w:r>
      <w:proofErr w:type="spellEnd"/>
      <w:r>
        <w:rPr>
          <w:color w:val="2D3748"/>
        </w:rPr>
        <w:t xml:space="preserve"> ensures exactly one typology per transaction.</w:t>
      </w:r>
    </w:p>
    <w:p w14:paraId="170B5924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126-Rule Compliance Engine: </w:t>
      </w:r>
      <w:r>
        <w:rPr>
          <w:color w:val="2D3748"/>
        </w:rPr>
        <w:t>Encodes RBI, PMLA, FIU-IND, FEMA, and PPI regulatory requirements as vectorized rules across 13 functional groups. Each rule produces a binary flag and severity score (High/Medium/Low) used as ML features.</w:t>
      </w:r>
    </w:p>
    <w:p w14:paraId="29678023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Feature Engineering: </w:t>
      </w:r>
      <w:r>
        <w:rPr>
          <w:color w:val="2D3748"/>
        </w:rPr>
        <w:t xml:space="preserve">Computes 200+ </w:t>
      </w:r>
      <w:proofErr w:type="spellStart"/>
      <w:r>
        <w:rPr>
          <w:color w:val="2D3748"/>
        </w:rPr>
        <w:t>behavioral</w:t>
      </w:r>
      <w:proofErr w:type="spellEnd"/>
      <w:r>
        <w:rPr>
          <w:color w:val="2D3748"/>
        </w:rPr>
        <w:t xml:space="preserve"> features across four categories — sender/receiver velocity (1h to 30d windows), account balance tracking, IP/device risk scoring, and volume balance ratios — transforming raw transactions into ML-ready signals.</w:t>
      </w:r>
    </w:p>
    <w:p w14:paraId="02AB9230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lastRenderedPageBreak/>
        <w:t xml:space="preserve">Phase 1 — Binary Detection: </w:t>
      </w:r>
      <w:proofErr w:type="spellStart"/>
      <w:r>
        <w:rPr>
          <w:color w:val="2D3748"/>
        </w:rPr>
        <w:t>LightGBM</w:t>
      </w:r>
      <w:proofErr w:type="spellEnd"/>
      <w:r>
        <w:rPr>
          <w:color w:val="2D3748"/>
        </w:rPr>
        <w:t xml:space="preserve"> classifier with 12 hyperparameter configurations, SMOTE oversampling, and automated threshold calibration using a 99% F1-floor with maximum recall selection.</w:t>
      </w:r>
    </w:p>
    <w:p w14:paraId="0B13FC41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Phase 2 — Typology Classification: </w:t>
      </w:r>
      <w:proofErr w:type="spellStart"/>
      <w:r>
        <w:rPr>
          <w:color w:val="2D3748"/>
        </w:rPr>
        <w:t>LightGBM</w:t>
      </w:r>
      <w:proofErr w:type="spellEnd"/>
      <w:r>
        <w:rPr>
          <w:color w:val="2D3748"/>
        </w:rPr>
        <w:t xml:space="preserve"> multiclass model with typology-discriminating interaction features, gain-based feature selection, and rare-class weight boosting (up to 2.5× for underrepresented typologies like Hawala).</w:t>
      </w:r>
    </w:p>
    <w:p w14:paraId="18C101AA" w14:textId="77777777" w:rsidR="00E46B7B" w:rsidRPr="001D2298" w:rsidRDefault="00C2595D">
      <w:pPr>
        <w:pBdr>
          <w:bottom w:val="single" w:sz="4" w:space="4" w:color="D4E0ED"/>
        </w:pBdr>
        <w:spacing w:before="200" w:after="80"/>
        <w:rPr>
          <w:color w:val="C00000"/>
          <w:sz w:val="28"/>
          <w:szCs w:val="28"/>
        </w:rPr>
      </w:pPr>
      <w:r w:rsidRPr="001D2298">
        <w:rPr>
          <w:b/>
          <w:bCs/>
          <w:color w:val="C00000"/>
          <w:sz w:val="28"/>
          <w:szCs w:val="28"/>
        </w:rPr>
        <w:t xml:space="preserve">04  </w:t>
      </w:r>
      <w:r w:rsidRPr="001D2298">
        <w:rPr>
          <w:b/>
          <w:bCs/>
          <w:color w:val="C00000"/>
          <w:sz w:val="28"/>
          <w:szCs w:val="28"/>
        </w:rPr>
        <w:t xml:space="preserve">  Performance &amp; Effectiveness</w:t>
      </w:r>
    </w:p>
    <w:p w14:paraId="3F699C22" w14:textId="77777777" w:rsidR="00E46B7B" w:rsidRDefault="00C2595D">
      <w:pPr>
        <w:spacing w:after="60"/>
      </w:pPr>
      <w:r>
        <w:rPr>
          <w:color w:val="2D3748"/>
        </w:rPr>
        <w:t>The system was validated on a held-out test set of 77,719 transactions (20% of total data) that the model never saw during training.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3544"/>
        <w:gridCol w:w="3119"/>
      </w:tblGrid>
      <w:tr w:rsidR="001D2298" w14:paraId="0D43C61E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401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79696" w14:textId="77777777" w:rsidR="001D2298" w:rsidRDefault="001D2298">
            <w:pPr>
              <w:jc w:val="center"/>
            </w:pPr>
            <w:r>
              <w:rPr>
                <w:b/>
                <w:bCs/>
                <w:color w:val="0F2B46"/>
                <w:sz w:val="28"/>
                <w:szCs w:val="28"/>
              </w:rPr>
              <w:t>95%</w:t>
            </w:r>
          </w:p>
          <w:p w14:paraId="3F78CC90" w14:textId="77777777" w:rsidR="001D2298" w:rsidRDefault="001D2298">
            <w:pPr>
              <w:spacing w:before="20"/>
              <w:jc w:val="center"/>
            </w:pPr>
            <w:r>
              <w:rPr>
                <w:b/>
                <w:bCs/>
                <w:color w:val="5A6F85"/>
                <w:sz w:val="15"/>
                <w:szCs w:val="15"/>
              </w:rPr>
              <w:t>Detection Accuracy</w:t>
            </w:r>
          </w:p>
          <w:p w14:paraId="184C8283" w14:textId="77777777" w:rsidR="001D2298" w:rsidRDefault="001D2298">
            <w:pPr>
              <w:spacing w:before="20"/>
              <w:jc w:val="center"/>
            </w:pPr>
            <w:r>
              <w:rPr>
                <w:color w:val="5A6F85"/>
                <w:sz w:val="13"/>
                <w:szCs w:val="13"/>
              </w:rPr>
              <w:t>Ranks suspicious transactions correctly 95% of the time</w:t>
            </w:r>
          </w:p>
        </w:tc>
        <w:tc>
          <w:tcPr>
            <w:tcW w:w="3544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79908" w14:textId="77777777" w:rsidR="001D2298" w:rsidRDefault="001D2298">
            <w:pPr>
              <w:jc w:val="center"/>
            </w:pPr>
            <w:r>
              <w:rPr>
                <w:b/>
                <w:bCs/>
                <w:color w:val="0F2B46"/>
                <w:sz w:val="28"/>
                <w:szCs w:val="28"/>
              </w:rPr>
              <w:t>85%</w:t>
            </w:r>
          </w:p>
          <w:p w14:paraId="51F69FA6" w14:textId="77777777" w:rsidR="001D2298" w:rsidRDefault="001D2298">
            <w:pPr>
              <w:spacing w:before="20"/>
              <w:jc w:val="center"/>
            </w:pPr>
            <w:r>
              <w:rPr>
                <w:b/>
                <w:bCs/>
                <w:color w:val="5A6F85"/>
                <w:sz w:val="15"/>
                <w:szCs w:val="15"/>
              </w:rPr>
              <w:t>Catch Rate (Recall)</w:t>
            </w:r>
          </w:p>
          <w:p w14:paraId="7D5771AD" w14:textId="77777777" w:rsidR="001D2298" w:rsidRDefault="001D2298">
            <w:pPr>
              <w:spacing w:before="20"/>
              <w:jc w:val="center"/>
            </w:pPr>
            <w:r>
              <w:rPr>
                <w:color w:val="5A6F85"/>
                <w:sz w:val="13"/>
                <w:szCs w:val="13"/>
              </w:rPr>
              <w:t>Of all laundering, 85% is successfully flagged</w:t>
            </w:r>
          </w:p>
        </w:tc>
        <w:tc>
          <w:tcPr>
            <w:tcW w:w="3119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0F9E7" w14:textId="77777777" w:rsidR="001D2298" w:rsidRDefault="001D2298">
            <w:pPr>
              <w:jc w:val="center"/>
            </w:pPr>
            <w:r>
              <w:rPr>
                <w:b/>
                <w:bCs/>
                <w:color w:val="0F2B46"/>
                <w:sz w:val="28"/>
                <w:szCs w:val="28"/>
              </w:rPr>
              <w:t>79%</w:t>
            </w:r>
          </w:p>
          <w:p w14:paraId="066FD6BB" w14:textId="77777777" w:rsidR="001D2298" w:rsidRDefault="001D2298">
            <w:pPr>
              <w:spacing w:before="20"/>
              <w:jc w:val="center"/>
            </w:pPr>
            <w:r>
              <w:rPr>
                <w:b/>
                <w:bCs/>
                <w:color w:val="5A6F85"/>
                <w:sz w:val="15"/>
                <w:szCs w:val="15"/>
              </w:rPr>
              <w:t>Typology Accuracy</w:t>
            </w:r>
          </w:p>
          <w:p w14:paraId="0B8D862C" w14:textId="77777777" w:rsidR="001D2298" w:rsidRDefault="001D2298">
            <w:pPr>
              <w:spacing w:before="20"/>
              <w:jc w:val="center"/>
            </w:pPr>
            <w:r>
              <w:rPr>
                <w:color w:val="5A6F85"/>
                <w:sz w:val="13"/>
                <w:szCs w:val="13"/>
              </w:rPr>
              <w:t>Correctly identifies which of 10 patterns is being used</w:t>
            </w:r>
          </w:p>
        </w:tc>
      </w:tr>
    </w:tbl>
    <w:p w14:paraId="627F19C8" w14:textId="77777777" w:rsidR="001D2298" w:rsidRDefault="00C2595D">
      <w:pPr>
        <w:spacing w:after="80"/>
        <w:rPr>
          <w:b/>
          <w:bCs/>
          <w:color w:val="2D3748"/>
          <w:sz w:val="18"/>
          <w:szCs w:val="18"/>
        </w:rPr>
      </w:pPr>
      <w:r>
        <w:rPr>
          <w:b/>
          <w:bCs/>
          <w:color w:val="2D3748"/>
          <w:sz w:val="18"/>
          <w:szCs w:val="18"/>
        </w:rPr>
        <w:t xml:space="preserve"> </w:t>
      </w:r>
    </w:p>
    <w:p w14:paraId="7C1419C7" w14:textId="204DC4AE" w:rsidR="00E46B7B" w:rsidRDefault="00C2595D">
      <w:pPr>
        <w:spacing w:after="80"/>
        <w:rPr>
          <w:color w:val="2D3748"/>
          <w:sz w:val="18"/>
          <w:szCs w:val="18"/>
        </w:rPr>
      </w:pPr>
      <w:r w:rsidRPr="001D2298">
        <w:rPr>
          <w:b/>
          <w:bCs/>
          <w:color w:val="C00000"/>
          <w:sz w:val="18"/>
          <w:szCs w:val="18"/>
        </w:rPr>
        <w:t xml:space="preserve">What this means in practice: </w:t>
      </w:r>
      <w:r>
        <w:rPr>
          <w:color w:val="2D3748"/>
          <w:sz w:val="18"/>
          <w:szCs w:val="18"/>
        </w:rPr>
        <w:t>For every 100 laundering transactions, the system catches 85. Of every 10 alerts sent to investigators, approximately 8 are genuine cases. This represents a 4–8× improvement over rule-only systems where typically only 1–2 out of 10 alerts are real. The system auto-classifies each alert into a specific typology with a confidence score, eliminating the manual pattern identification step that currently consumes 40–60% of investigator time.</w:t>
      </w:r>
    </w:p>
    <w:p w14:paraId="2810F9B0" w14:textId="77777777" w:rsidR="001D2298" w:rsidRDefault="001D2298">
      <w:pPr>
        <w:spacing w:after="80"/>
      </w:pPr>
    </w:p>
    <w:tbl>
      <w:tblPr>
        <w:tblW w:w="8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2096"/>
        <w:gridCol w:w="2268"/>
      </w:tblGrid>
      <w:tr w:rsidR="001D2298" w14:paraId="3417D2C4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F2B46"/>
              <w:left w:val="single" w:sz="1" w:space="0" w:color="0F2B46"/>
              <w:bottom w:val="single" w:sz="1" w:space="0" w:color="0F2B46"/>
              <w:right w:val="single" w:sz="1" w:space="0" w:color="0F2B46"/>
            </w:tcBorders>
            <w:shd w:val="clear" w:color="auto" w:fill="0F2B4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DDFEE" w14:textId="77777777" w:rsidR="001D2298" w:rsidRDefault="001D2298">
            <w:r>
              <w:rPr>
                <w:b/>
                <w:bCs/>
                <w:color w:val="FFFFFF"/>
                <w:sz w:val="17"/>
                <w:szCs w:val="17"/>
              </w:rPr>
              <w:t>Typology</w:t>
            </w:r>
          </w:p>
        </w:tc>
        <w:tc>
          <w:tcPr>
            <w:tcW w:w="1200" w:type="dxa"/>
            <w:tcBorders>
              <w:top w:val="single" w:sz="1" w:space="0" w:color="0F2B46"/>
              <w:left w:val="single" w:sz="1" w:space="0" w:color="0F2B46"/>
              <w:bottom w:val="single" w:sz="1" w:space="0" w:color="0F2B46"/>
              <w:right w:val="single" w:sz="1" w:space="0" w:color="0F2B46"/>
            </w:tcBorders>
            <w:shd w:val="clear" w:color="auto" w:fill="0F2B4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47205" w14:textId="77777777" w:rsidR="001D2298" w:rsidRDefault="001D2298">
            <w:r>
              <w:rPr>
                <w:b/>
                <w:bCs/>
                <w:color w:val="FFFFFF"/>
                <w:sz w:val="17"/>
                <w:szCs w:val="17"/>
              </w:rPr>
              <w:t>Detection</w:t>
            </w:r>
          </w:p>
        </w:tc>
        <w:tc>
          <w:tcPr>
            <w:tcW w:w="2096" w:type="dxa"/>
            <w:tcBorders>
              <w:top w:val="single" w:sz="1" w:space="0" w:color="0F2B46"/>
              <w:left w:val="single" w:sz="1" w:space="0" w:color="0F2B46"/>
              <w:bottom w:val="single" w:sz="1" w:space="0" w:color="0F2B46"/>
              <w:right w:val="single" w:sz="1" w:space="0" w:color="0F2B46"/>
            </w:tcBorders>
            <w:shd w:val="clear" w:color="auto" w:fill="0F2B4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C2862" w14:textId="77777777" w:rsidR="001D2298" w:rsidRDefault="001D2298"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2268" w:type="dxa"/>
            <w:tcBorders>
              <w:top w:val="single" w:sz="1" w:space="0" w:color="0F2B46"/>
              <w:left w:val="single" w:sz="1" w:space="0" w:color="0F2B46"/>
              <w:bottom w:val="single" w:sz="1" w:space="0" w:color="0F2B46"/>
              <w:right w:val="single" w:sz="1" w:space="0" w:color="0F2B46"/>
            </w:tcBorders>
            <w:shd w:val="clear" w:color="auto" w:fill="0F2B4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60E86" w14:textId="77777777" w:rsidR="001D2298" w:rsidRDefault="001D2298">
            <w:r>
              <w:rPr>
                <w:b/>
                <w:bCs/>
                <w:color w:val="FFFFFF"/>
                <w:sz w:val="17"/>
                <w:szCs w:val="17"/>
              </w:rPr>
              <w:t>Implication</w:t>
            </w:r>
          </w:p>
        </w:tc>
      </w:tr>
      <w:tr w:rsidR="001D2298" w14:paraId="5D1E22D3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D89DD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High-Risk Corridor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EA2E6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99.8%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E544" w14:textId="77777777" w:rsidR="001D2298" w:rsidRDefault="001D2298">
            <w:r>
              <w:rPr>
                <w:color w:val="2D3748"/>
                <w:sz w:val="17"/>
                <w:szCs w:val="17"/>
              </w:rPr>
              <w:t>Auto-route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24642" w14:textId="77777777" w:rsidR="001D2298" w:rsidRDefault="001D2298">
            <w:r>
              <w:rPr>
                <w:color w:val="2D3748"/>
                <w:sz w:val="17"/>
                <w:szCs w:val="17"/>
              </w:rPr>
              <w:t>Direct STR queue</w:t>
            </w:r>
          </w:p>
        </w:tc>
      </w:tr>
      <w:tr w:rsidR="001D2298" w14:paraId="653A0D1E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AD21D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Structuring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B9E17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97.0%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2370D" w14:textId="77777777" w:rsidR="001D2298" w:rsidRDefault="001D2298">
            <w:r>
              <w:rPr>
                <w:color w:val="2D3748"/>
                <w:sz w:val="17"/>
                <w:szCs w:val="17"/>
              </w:rPr>
              <w:t>Auto-route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6A4B9" w14:textId="77777777" w:rsidR="001D2298" w:rsidRDefault="001D2298">
            <w:r>
              <w:rPr>
                <w:color w:val="2D3748"/>
                <w:sz w:val="17"/>
                <w:szCs w:val="17"/>
              </w:rPr>
              <w:t>CTR threshold review</w:t>
            </w:r>
          </w:p>
        </w:tc>
      </w:tr>
      <w:tr w:rsidR="001D2298" w14:paraId="50B7332D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635C6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Pass-Through Hub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9F321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96.1%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3CDB2" w14:textId="77777777" w:rsidR="001D2298" w:rsidRDefault="001D2298">
            <w:r>
              <w:rPr>
                <w:color w:val="2D3748"/>
                <w:sz w:val="17"/>
                <w:szCs w:val="17"/>
              </w:rPr>
              <w:t>Auto-route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6E760" w14:textId="77777777" w:rsidR="001D2298" w:rsidRDefault="001D2298">
            <w:r>
              <w:rPr>
                <w:color w:val="2D3748"/>
                <w:sz w:val="17"/>
                <w:szCs w:val="17"/>
              </w:rPr>
              <w:t>Immediate escalation</w:t>
            </w:r>
          </w:p>
        </w:tc>
      </w:tr>
      <w:tr w:rsidR="001D2298" w14:paraId="637470BF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3355E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Funnel Network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31FD5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80.9%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7138F" w14:textId="77777777" w:rsidR="001D2298" w:rsidRDefault="001D2298">
            <w:r>
              <w:rPr>
                <w:color w:val="2D3748"/>
                <w:sz w:val="17"/>
                <w:szCs w:val="17"/>
              </w:rPr>
              <w:t>Primary + alt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61A1B" w14:textId="77777777" w:rsidR="001D2298" w:rsidRDefault="001D2298">
            <w:r>
              <w:rPr>
                <w:color w:val="2D3748"/>
                <w:sz w:val="17"/>
                <w:szCs w:val="17"/>
              </w:rPr>
              <w:t>Trace inflow sources</w:t>
            </w:r>
          </w:p>
        </w:tc>
      </w:tr>
      <w:tr w:rsidR="001D2298" w14:paraId="4ACC0234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641A8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Third-Party Web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17D95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80.4%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D7BD6" w14:textId="77777777" w:rsidR="001D2298" w:rsidRDefault="001D2298">
            <w:r>
              <w:rPr>
                <w:color w:val="2D3748"/>
                <w:sz w:val="17"/>
                <w:szCs w:val="17"/>
              </w:rPr>
              <w:t>Primary + alt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48F58" w14:textId="77777777" w:rsidR="001D2298" w:rsidRDefault="001D2298">
            <w:r>
              <w:rPr>
                <w:color w:val="2D3748"/>
                <w:sz w:val="17"/>
                <w:szCs w:val="17"/>
              </w:rPr>
              <w:t>Verify payer relationships</w:t>
            </w:r>
          </w:p>
        </w:tc>
      </w:tr>
      <w:tr w:rsidR="001D2298" w14:paraId="2087F395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D5990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Layering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1A687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78.6%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18F44" w14:textId="77777777" w:rsidR="001D2298" w:rsidRDefault="001D2298">
            <w:r>
              <w:rPr>
                <w:color w:val="2D3748"/>
                <w:sz w:val="17"/>
                <w:szCs w:val="17"/>
              </w:rPr>
              <w:t>Primary + alt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1D5E8" w14:textId="77777777" w:rsidR="001D2298" w:rsidRDefault="001D2298">
            <w:r>
              <w:rPr>
                <w:color w:val="2D3748"/>
                <w:sz w:val="17"/>
                <w:szCs w:val="17"/>
              </w:rPr>
              <w:t>Chain-trace investigation</w:t>
            </w:r>
          </w:p>
        </w:tc>
      </w:tr>
      <w:tr w:rsidR="001D2298" w14:paraId="0D066A5C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86DDA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Money Mule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B0C0D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67.6%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F812E" w14:textId="77777777" w:rsidR="001D2298" w:rsidRDefault="001D2298">
            <w:r>
              <w:rPr>
                <w:color w:val="2D3748"/>
                <w:sz w:val="17"/>
                <w:szCs w:val="17"/>
              </w:rPr>
              <w:t>Primary + alt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BA931" w14:textId="77777777" w:rsidR="001D2298" w:rsidRDefault="001D2298">
            <w:r>
              <w:rPr>
                <w:color w:val="2D3748"/>
                <w:sz w:val="17"/>
                <w:szCs w:val="17"/>
              </w:rPr>
              <w:t>Star pattern verification</w:t>
            </w:r>
          </w:p>
        </w:tc>
      </w:tr>
      <w:tr w:rsidR="001D2298" w14:paraId="0872ACBE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B0FAE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Circular Loop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7241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58.1%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1397" w14:textId="77777777" w:rsidR="001D2298" w:rsidRDefault="001D2298">
            <w:r>
              <w:rPr>
                <w:color w:val="2D3748"/>
                <w:sz w:val="17"/>
                <w:szCs w:val="17"/>
              </w:rPr>
              <w:t>Multi-hypothesis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C4513" w14:textId="77777777" w:rsidR="001D2298" w:rsidRDefault="001D2298">
            <w:r>
              <w:rPr>
                <w:color w:val="2D3748"/>
                <w:sz w:val="17"/>
                <w:szCs w:val="17"/>
              </w:rPr>
              <w:t>Check loop closure</w:t>
            </w:r>
          </w:p>
        </w:tc>
      </w:tr>
      <w:tr w:rsidR="001D2298" w14:paraId="3DE61662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9A966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Charity Abuse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4869F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53.0%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54888" w14:textId="77777777" w:rsidR="001D2298" w:rsidRDefault="001D2298">
            <w:r>
              <w:rPr>
                <w:color w:val="2D3748"/>
                <w:sz w:val="17"/>
                <w:szCs w:val="17"/>
              </w:rPr>
              <w:t>Multi-hypothesis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C77A0" w14:textId="77777777" w:rsidR="001D2298" w:rsidRDefault="001D2298">
            <w:r>
              <w:rPr>
                <w:color w:val="2D3748"/>
                <w:sz w:val="17"/>
                <w:szCs w:val="17"/>
              </w:rPr>
              <w:t>Entity type review</w:t>
            </w:r>
          </w:p>
        </w:tc>
      </w:tr>
      <w:tr w:rsidR="001D2298" w14:paraId="55DF6D5C" w14:textId="77777777" w:rsidTr="001D229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57EC0" w14:textId="77777777" w:rsidR="001D2298" w:rsidRDefault="001D2298">
            <w:r>
              <w:rPr>
                <w:b/>
                <w:bCs/>
                <w:color w:val="2D3748"/>
                <w:sz w:val="17"/>
                <w:szCs w:val="17"/>
              </w:rPr>
              <w:t>Hawala</w:t>
            </w:r>
          </w:p>
        </w:tc>
        <w:tc>
          <w:tcPr>
            <w:tcW w:w="1200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C5AB9" w14:textId="77777777" w:rsidR="001D2298" w:rsidRPr="001D2298" w:rsidRDefault="001D2298">
            <w:pPr>
              <w:rPr>
                <w:color w:val="2F5496" w:themeColor="accent1" w:themeShade="BF"/>
              </w:rPr>
            </w:pPr>
            <w:r w:rsidRPr="001D2298">
              <w:rPr>
                <w:color w:val="2F5496" w:themeColor="accent1" w:themeShade="BF"/>
                <w:sz w:val="17"/>
                <w:szCs w:val="17"/>
              </w:rPr>
              <w:t>41.3%</w:t>
            </w:r>
          </w:p>
        </w:tc>
        <w:tc>
          <w:tcPr>
            <w:tcW w:w="2096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7D15C" w14:textId="77777777" w:rsidR="001D2298" w:rsidRDefault="001D2298">
            <w:r>
              <w:rPr>
                <w:color w:val="2D3748"/>
                <w:sz w:val="17"/>
                <w:szCs w:val="17"/>
              </w:rPr>
              <w:t>Multi-hypothesis</w:t>
            </w:r>
          </w:p>
        </w:tc>
        <w:tc>
          <w:tcPr>
            <w:tcW w:w="2268" w:type="dxa"/>
            <w:tcBorders>
              <w:top w:val="single" w:sz="1" w:space="0" w:color="D4E0ED"/>
              <w:left w:val="single" w:sz="1" w:space="0" w:color="D4E0ED"/>
              <w:bottom w:val="single" w:sz="1" w:space="0" w:color="D4E0ED"/>
              <w:right w:val="single" w:sz="1" w:space="0" w:color="D4E0ED"/>
            </w:tcBorders>
            <w:shd w:val="clear" w:color="auto" w:fill="F0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7A206" w14:textId="77777777" w:rsidR="001D2298" w:rsidRDefault="001D2298">
            <w:r>
              <w:rPr>
                <w:color w:val="2D3748"/>
                <w:sz w:val="17"/>
                <w:szCs w:val="17"/>
              </w:rPr>
              <w:t>Geographic corridor check</w:t>
            </w:r>
          </w:p>
        </w:tc>
      </w:tr>
    </w:tbl>
    <w:p w14:paraId="77735090" w14:textId="77777777" w:rsidR="00E46B7B" w:rsidRPr="001D2298" w:rsidRDefault="00C2595D">
      <w:pPr>
        <w:pBdr>
          <w:bottom w:val="single" w:sz="4" w:space="4" w:color="D4E0ED"/>
        </w:pBdr>
        <w:spacing w:before="200" w:after="80"/>
        <w:rPr>
          <w:color w:val="C00000"/>
          <w:sz w:val="28"/>
          <w:szCs w:val="28"/>
        </w:rPr>
      </w:pPr>
      <w:r w:rsidRPr="001D2298">
        <w:rPr>
          <w:b/>
          <w:bCs/>
          <w:color w:val="C00000"/>
          <w:sz w:val="28"/>
          <w:szCs w:val="28"/>
        </w:rPr>
        <w:t xml:space="preserve">05  </w:t>
      </w:r>
      <w:r w:rsidRPr="001D2298">
        <w:rPr>
          <w:b/>
          <w:bCs/>
          <w:color w:val="C00000"/>
          <w:sz w:val="28"/>
          <w:szCs w:val="28"/>
        </w:rPr>
        <w:t xml:space="preserve">  AI/ML Capabilities</w:t>
      </w:r>
    </w:p>
    <w:p w14:paraId="1DE6A4F7" w14:textId="77777777" w:rsidR="00E46B7B" w:rsidRDefault="00C2595D">
      <w:pPr>
        <w:spacing w:after="60"/>
      </w:pPr>
      <w:r>
        <w:rPr>
          <w:color w:val="2D3748"/>
        </w:rPr>
        <w:t>The system is designed to be intelligent, scalable, and continuously improvable. Key technical capabilities include:</w:t>
      </w:r>
    </w:p>
    <w:p w14:paraId="34536CED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Pattern learning: </w:t>
      </w:r>
      <w:r>
        <w:rPr>
          <w:color w:val="2D3748"/>
        </w:rPr>
        <w:t>The ML model learns complex multi-signal patterns that static rules cannot express — such as the combination of high velocity + new account + cross-border + VPN that together indicate account takeover for mule recruitment.</w:t>
      </w:r>
    </w:p>
    <w:p w14:paraId="7F8687BA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Anomaly adaptation: </w:t>
      </w:r>
      <w:r>
        <w:rPr>
          <w:color w:val="2D3748"/>
        </w:rPr>
        <w:t>Self-calibrating thresholds automatically adjust to changing transaction distributions. The model finds the optimal alert cutoff that maximizes detection within a quality constraint (99% of best achievable F1), without manual threshold tuning.</w:t>
      </w:r>
    </w:p>
    <w:p w14:paraId="6711DD49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Rare pattern detection: </w:t>
      </w:r>
      <w:r>
        <w:rPr>
          <w:color w:val="2D3748"/>
        </w:rPr>
        <w:t>Dynamic class weighting ensures uncommon typologies like Hawala (2,770 transactions) receive proportional model attention alongside common patterns like Funnel (21,068 transactions) — preventing the model from ignoring rare but high-risk schemes.</w:t>
      </w:r>
    </w:p>
    <w:p w14:paraId="336316F5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Scalable architecture: </w:t>
      </w:r>
      <w:r>
        <w:rPr>
          <w:color w:val="2D3748"/>
        </w:rPr>
        <w:t>Modular 6-notebook pipeline where each stage produces validated intermediate outputs. Individual components can be upgraded, retrained, or replaced without disrupting the full system.</w:t>
      </w:r>
    </w:p>
    <w:p w14:paraId="7B747BE2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Explainable outputs: </w:t>
      </w:r>
      <w:r>
        <w:rPr>
          <w:color w:val="2D3748"/>
        </w:rPr>
        <w:t>Every alert includes a fraud risk score (0–100), predicted typology with confidence, investigation priority (Critical/High/Medium/Low), and plain-English business explanation — enabling investigators to act immediately without manual pattern analysis.</w:t>
      </w:r>
    </w:p>
    <w:p w14:paraId="3EC186DC" w14:textId="77777777" w:rsidR="00E46B7B" w:rsidRPr="001D2298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Regulatory completeness: </w:t>
      </w:r>
      <w:r>
        <w:rPr>
          <w:color w:val="2D3748"/>
        </w:rPr>
        <w:t>126 rules cover RBI Master Direction on KYC, PMLA 2002, FIU-IND reporting, FEMA foreign exchange monitoring, FCRA NPO oversight, and RBI PPI guidelines — providing both ML-based and rule-based compliance in a single system.</w:t>
      </w:r>
    </w:p>
    <w:p w14:paraId="6D0060B1" w14:textId="77777777" w:rsidR="001D2298" w:rsidRDefault="001D2298" w:rsidP="001D2298">
      <w:pPr>
        <w:spacing w:after="50"/>
      </w:pPr>
    </w:p>
    <w:p w14:paraId="1A979CF0" w14:textId="77777777" w:rsidR="001D2298" w:rsidRDefault="001D2298" w:rsidP="001D2298">
      <w:pPr>
        <w:spacing w:after="50"/>
      </w:pPr>
    </w:p>
    <w:p w14:paraId="215F8635" w14:textId="77777777" w:rsidR="00E46B7B" w:rsidRPr="001D2298" w:rsidRDefault="00C2595D">
      <w:pPr>
        <w:pBdr>
          <w:bottom w:val="single" w:sz="4" w:space="4" w:color="D4E0ED"/>
        </w:pBdr>
        <w:spacing w:before="200" w:after="80"/>
        <w:rPr>
          <w:color w:val="C00000"/>
          <w:sz w:val="28"/>
          <w:szCs w:val="28"/>
        </w:rPr>
      </w:pPr>
      <w:r w:rsidRPr="001D2298">
        <w:rPr>
          <w:b/>
          <w:bCs/>
          <w:color w:val="C00000"/>
          <w:sz w:val="28"/>
          <w:szCs w:val="28"/>
        </w:rPr>
        <w:lastRenderedPageBreak/>
        <w:t>0</w:t>
      </w:r>
      <w:r w:rsidRPr="001D2298">
        <w:rPr>
          <w:b/>
          <w:bCs/>
          <w:color w:val="C00000"/>
          <w:sz w:val="28"/>
          <w:szCs w:val="28"/>
        </w:rPr>
        <w:t xml:space="preserve">6  </w:t>
      </w:r>
      <w:r w:rsidRPr="001D2298">
        <w:rPr>
          <w:b/>
          <w:bCs/>
          <w:color w:val="C00000"/>
          <w:sz w:val="28"/>
          <w:szCs w:val="28"/>
        </w:rPr>
        <w:t xml:space="preserve">  Current Effectiveness</w:t>
      </w:r>
    </w:p>
    <w:p w14:paraId="68AC6263" w14:textId="77777777" w:rsidR="00E46B7B" w:rsidRDefault="00C2595D">
      <w:pPr>
        <w:spacing w:after="60"/>
      </w:pPr>
      <w:r>
        <w:rPr>
          <w:color w:val="2D3748"/>
        </w:rPr>
        <w:t>The system has been validated on synthetic data designed to mirror production banking transaction patterns. Key effectiveness indicators:</w:t>
      </w:r>
    </w:p>
    <w:p w14:paraId="38476694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4–8× improvement in alert quality </w:t>
      </w:r>
      <w:r>
        <w:rPr>
          <w:color w:val="2D3748"/>
        </w:rPr>
        <w:t>over rule-only systems (77% precision vs industry-typical 5–20%).</w:t>
      </w:r>
    </w:p>
    <w:p w14:paraId="263703D9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85% detection rate </w:t>
      </w:r>
      <w:r>
        <w:rPr>
          <w:color w:val="2D3748"/>
        </w:rPr>
        <w:t>across all 10 typologies, exceeding the 80% recall benchmark expected by RBI for risk-based monitoring.</w:t>
      </w:r>
    </w:p>
    <w:p w14:paraId="279B6BA2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Three typologies at 95%+ accuracy </w:t>
      </w:r>
      <w:r>
        <w:rPr>
          <w:color w:val="2D3748"/>
        </w:rPr>
        <w:t>(Corridor, Structuring, Pass-Through) — suitable for fully automated alert routing without human pre-screening.</w:t>
      </w:r>
    </w:p>
    <w:p w14:paraId="107CEA7D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Dual-signal validation: </w:t>
      </w:r>
      <w:r>
        <w:rPr>
          <w:color w:val="2D3748"/>
        </w:rPr>
        <w:t>Transactions flagged by both rules AND ML ('Rule + ML Confirmed') represent the highest-confidence tier, enabling tiered investigation workflows.</w:t>
      </w:r>
    </w:p>
    <w:p w14:paraId="233C7F93" w14:textId="77777777" w:rsidR="00E46B7B" w:rsidRDefault="00C2595D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D3748"/>
        </w:rPr>
        <w:t xml:space="preserve">Production-ready outputs: </w:t>
      </w:r>
      <w:r>
        <w:rPr>
          <w:color w:val="2D3748"/>
        </w:rPr>
        <w:t>Combined Phase 1 + Phase 2 output tables in Parquet format with all fields required for STR filing, investigation assignment, and regulatory reporting.</w:t>
      </w:r>
    </w:p>
    <w:sectPr w:rsidR="00E46B7B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3F0C" w14:textId="77777777" w:rsidR="00C2595D" w:rsidRDefault="00C2595D">
      <w:r>
        <w:separator/>
      </w:r>
    </w:p>
  </w:endnote>
  <w:endnote w:type="continuationSeparator" w:id="0">
    <w:p w14:paraId="4331255C" w14:textId="77777777" w:rsidR="00C2595D" w:rsidRDefault="00C2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024D" w14:textId="77777777" w:rsidR="00E46B7B" w:rsidRDefault="00C2595D">
    <w:pPr>
      <w:pBdr>
        <w:top w:val="single" w:sz="2" w:space="4" w:color="0F2B46"/>
      </w:pBdr>
      <w:jc w:val="center"/>
    </w:pPr>
    <w:r>
      <w:rPr>
        <w:color w:val="5A6F85"/>
        <w:sz w:val="13"/>
        <w:szCs w:val="13"/>
      </w:rPr>
      <w:t xml:space="preserve">SmartSentry AML v1.0 — Built with </w:t>
    </w:r>
    <w:proofErr w:type="spellStart"/>
    <w:r>
      <w:rPr>
        <w:color w:val="5A6F85"/>
        <w:sz w:val="13"/>
        <w:szCs w:val="13"/>
      </w:rPr>
      <w:t>LightGBM</w:t>
    </w:r>
    <w:proofErr w:type="spellEnd"/>
    <w:r>
      <w:rPr>
        <w:color w:val="5A6F85"/>
        <w:sz w:val="13"/>
        <w:szCs w:val="13"/>
      </w:rPr>
      <w:t xml:space="preserve">, 126 Rules, 10 Typologies, 390K+ Training </w:t>
    </w:r>
    <w:proofErr w:type="gramStart"/>
    <w:r>
      <w:rPr>
        <w:color w:val="5A6F85"/>
        <w:sz w:val="13"/>
        <w:szCs w:val="13"/>
      </w:rPr>
      <w:t>Transactions  |</w:t>
    </w:r>
    <w:proofErr w:type="gramEnd"/>
    <w:r>
      <w:rPr>
        <w:color w:val="5A6F85"/>
        <w:sz w:val="13"/>
        <w:szCs w:val="13"/>
      </w:rPr>
      <w:t xml:space="preserve">  Page </w:t>
    </w:r>
    <w:r>
      <w:rPr>
        <w:color w:val="5A6F85"/>
        <w:sz w:val="13"/>
        <w:szCs w:val="13"/>
      </w:rPr>
      <w:fldChar w:fldCharType="begin"/>
    </w:r>
    <w:r>
      <w:rPr>
        <w:color w:val="5A6F85"/>
        <w:sz w:val="13"/>
        <w:szCs w:val="13"/>
      </w:rPr>
      <w:instrText>PAGE</w:instrText>
    </w:r>
    <w:r>
      <w:rPr>
        <w:color w:val="5A6F85"/>
        <w:sz w:val="13"/>
        <w:szCs w:val="13"/>
      </w:rPr>
      <w:fldChar w:fldCharType="separate"/>
    </w:r>
    <w:r w:rsidR="00413BC9">
      <w:rPr>
        <w:noProof/>
        <w:color w:val="5A6F85"/>
        <w:sz w:val="13"/>
        <w:szCs w:val="13"/>
      </w:rPr>
      <w:t>1</w:t>
    </w:r>
    <w:r>
      <w:rPr>
        <w:color w:val="5A6F85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C02D" w14:textId="77777777" w:rsidR="00C2595D" w:rsidRDefault="00C2595D">
      <w:r>
        <w:separator/>
      </w:r>
    </w:p>
  </w:footnote>
  <w:footnote w:type="continuationSeparator" w:id="0">
    <w:p w14:paraId="540B48D1" w14:textId="77777777" w:rsidR="00C2595D" w:rsidRDefault="00C2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E2F2" w14:textId="1B5E735A" w:rsidR="00E46B7B" w:rsidRDefault="00C2595D">
    <w:pPr>
      <w:jc w:val="right"/>
    </w:pPr>
    <w:r>
      <w:rPr>
        <w:i/>
        <w:iCs/>
        <w:color w:val="5A6F85"/>
        <w:sz w:val="14"/>
        <w:szCs w:val="14"/>
      </w:rPr>
      <w:t>SmartSentry AML — 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80"/>
    <w:multiLevelType w:val="hybridMultilevel"/>
    <w:tmpl w:val="B1F0E124"/>
    <w:lvl w:ilvl="0" w:tplc="ADAAF8F8">
      <w:start w:val="1"/>
      <w:numFmt w:val="bullet"/>
      <w:lvlText w:val="●"/>
      <w:lvlJc w:val="left"/>
      <w:pPr>
        <w:ind w:left="720" w:hanging="360"/>
      </w:pPr>
    </w:lvl>
    <w:lvl w:ilvl="1" w:tplc="E1BA2F32">
      <w:start w:val="1"/>
      <w:numFmt w:val="bullet"/>
      <w:lvlText w:val="○"/>
      <w:lvlJc w:val="left"/>
      <w:pPr>
        <w:ind w:left="1440" w:hanging="360"/>
      </w:pPr>
    </w:lvl>
    <w:lvl w:ilvl="2" w:tplc="E6E45D54">
      <w:start w:val="1"/>
      <w:numFmt w:val="bullet"/>
      <w:lvlText w:val="■"/>
      <w:lvlJc w:val="left"/>
      <w:pPr>
        <w:ind w:left="2160" w:hanging="360"/>
      </w:pPr>
    </w:lvl>
    <w:lvl w:ilvl="3" w:tplc="F95C0A7C">
      <w:start w:val="1"/>
      <w:numFmt w:val="bullet"/>
      <w:lvlText w:val="●"/>
      <w:lvlJc w:val="left"/>
      <w:pPr>
        <w:ind w:left="2880" w:hanging="360"/>
      </w:pPr>
    </w:lvl>
    <w:lvl w:ilvl="4" w:tplc="B692B064">
      <w:start w:val="1"/>
      <w:numFmt w:val="bullet"/>
      <w:lvlText w:val="○"/>
      <w:lvlJc w:val="left"/>
      <w:pPr>
        <w:ind w:left="3600" w:hanging="360"/>
      </w:pPr>
    </w:lvl>
    <w:lvl w:ilvl="5" w:tplc="6A40B49E">
      <w:start w:val="1"/>
      <w:numFmt w:val="bullet"/>
      <w:lvlText w:val="■"/>
      <w:lvlJc w:val="left"/>
      <w:pPr>
        <w:ind w:left="4320" w:hanging="360"/>
      </w:pPr>
    </w:lvl>
    <w:lvl w:ilvl="6" w:tplc="94F868C4">
      <w:start w:val="1"/>
      <w:numFmt w:val="bullet"/>
      <w:lvlText w:val="●"/>
      <w:lvlJc w:val="left"/>
      <w:pPr>
        <w:ind w:left="5040" w:hanging="360"/>
      </w:pPr>
    </w:lvl>
    <w:lvl w:ilvl="7" w:tplc="8B64E28A">
      <w:start w:val="1"/>
      <w:numFmt w:val="bullet"/>
      <w:lvlText w:val="●"/>
      <w:lvlJc w:val="left"/>
      <w:pPr>
        <w:ind w:left="5760" w:hanging="360"/>
      </w:pPr>
    </w:lvl>
    <w:lvl w:ilvl="8" w:tplc="53846E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10FFE"/>
    <w:multiLevelType w:val="hybridMultilevel"/>
    <w:tmpl w:val="4732BAFE"/>
    <w:lvl w:ilvl="0" w:tplc="58EA6E10">
      <w:start w:val="1"/>
      <w:numFmt w:val="bullet"/>
      <w:lvlText w:val="•"/>
      <w:lvlJc w:val="left"/>
      <w:pPr>
        <w:ind w:left="540" w:hanging="260"/>
      </w:pPr>
    </w:lvl>
    <w:lvl w:ilvl="1" w:tplc="DF0EC6D6">
      <w:numFmt w:val="decimal"/>
      <w:lvlText w:val=""/>
      <w:lvlJc w:val="left"/>
    </w:lvl>
    <w:lvl w:ilvl="2" w:tplc="A9C2EA8C">
      <w:numFmt w:val="decimal"/>
      <w:lvlText w:val=""/>
      <w:lvlJc w:val="left"/>
    </w:lvl>
    <w:lvl w:ilvl="3" w:tplc="8B16548E">
      <w:numFmt w:val="decimal"/>
      <w:lvlText w:val=""/>
      <w:lvlJc w:val="left"/>
    </w:lvl>
    <w:lvl w:ilvl="4" w:tplc="3BE04958">
      <w:numFmt w:val="decimal"/>
      <w:lvlText w:val=""/>
      <w:lvlJc w:val="left"/>
    </w:lvl>
    <w:lvl w:ilvl="5" w:tplc="05F25CA0">
      <w:numFmt w:val="decimal"/>
      <w:lvlText w:val=""/>
      <w:lvlJc w:val="left"/>
    </w:lvl>
    <w:lvl w:ilvl="6" w:tplc="E2A2DAE2">
      <w:numFmt w:val="decimal"/>
      <w:lvlText w:val=""/>
      <w:lvlJc w:val="left"/>
    </w:lvl>
    <w:lvl w:ilvl="7" w:tplc="B00C5858">
      <w:numFmt w:val="decimal"/>
      <w:lvlText w:val=""/>
      <w:lvlJc w:val="left"/>
    </w:lvl>
    <w:lvl w:ilvl="8" w:tplc="AD982C2A">
      <w:numFmt w:val="decimal"/>
      <w:lvlText w:val=""/>
      <w:lvlJc w:val="left"/>
    </w:lvl>
  </w:abstractNum>
  <w:num w:numId="1" w16cid:durableId="422579449">
    <w:abstractNumId w:val="0"/>
    <w:lvlOverride w:ilvl="0">
      <w:startOverride w:val="1"/>
    </w:lvlOverride>
  </w:num>
  <w:num w:numId="2" w16cid:durableId="8515302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7B"/>
    <w:rsid w:val="000B7DFB"/>
    <w:rsid w:val="001D2298"/>
    <w:rsid w:val="00413BC9"/>
    <w:rsid w:val="0093493B"/>
    <w:rsid w:val="00C2595D"/>
    <w:rsid w:val="00E4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69B7"/>
  <w15:docId w15:val="{282BA1A5-F471-467A-B614-EF7FEBA6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B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BC9"/>
  </w:style>
  <w:style w:type="paragraph" w:styleId="Footer">
    <w:name w:val="footer"/>
    <w:basedOn w:val="Normal"/>
    <w:link w:val="FooterChar"/>
    <w:uiPriority w:val="99"/>
    <w:unhideWhenUsed/>
    <w:rsid w:val="00413B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917036180999</cp:lastModifiedBy>
  <cp:revision>2</cp:revision>
  <dcterms:created xsi:type="dcterms:W3CDTF">2026-05-03T18:32:00Z</dcterms:created>
  <dcterms:modified xsi:type="dcterms:W3CDTF">2026-05-03T18:32:00Z</dcterms:modified>
</cp:coreProperties>
</file>