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065D" w14:textId="0BCEE7C2" w:rsidR="00A02F73" w:rsidRPr="00445B4E" w:rsidRDefault="00445B4E">
      <w:pPr>
        <w:rPr>
          <w:sz w:val="28"/>
          <w:szCs w:val="28"/>
        </w:rPr>
      </w:pPr>
      <w:r w:rsidRPr="00445B4E">
        <w:rPr>
          <w:sz w:val="28"/>
          <w:szCs w:val="28"/>
        </w:rPr>
        <w:t xml:space="preserve">A construction company, </w:t>
      </w:r>
      <w:proofErr w:type="spellStart"/>
      <w:r w:rsidRPr="00445B4E">
        <w:rPr>
          <w:sz w:val="28"/>
          <w:szCs w:val="28"/>
        </w:rPr>
        <w:t>BuildRight</w:t>
      </w:r>
      <w:proofErr w:type="spellEnd"/>
      <w:r w:rsidRPr="00445B4E">
        <w:rPr>
          <w:sz w:val="28"/>
          <w:szCs w:val="28"/>
        </w:rPr>
        <w:t xml:space="preserve"> Ltd., was contracted to renovate a commercial property owned by Prestige Enterprises. The contract specified that the work should be completed within six months, but </w:t>
      </w:r>
      <w:proofErr w:type="spellStart"/>
      <w:r w:rsidRPr="00445B4E">
        <w:rPr>
          <w:sz w:val="28"/>
          <w:szCs w:val="28"/>
        </w:rPr>
        <w:t>BuildRight</w:t>
      </w:r>
      <w:proofErr w:type="spellEnd"/>
      <w:r w:rsidRPr="00445B4E">
        <w:rPr>
          <w:sz w:val="28"/>
          <w:szCs w:val="28"/>
        </w:rPr>
        <w:t xml:space="preserve"> failed to meet the deadline, resulting in a delay of over three months. Prestige Enterprises sued </w:t>
      </w:r>
      <w:proofErr w:type="spellStart"/>
      <w:r w:rsidRPr="00445B4E">
        <w:rPr>
          <w:sz w:val="28"/>
          <w:szCs w:val="28"/>
        </w:rPr>
        <w:t>BuildRight</w:t>
      </w:r>
      <w:proofErr w:type="spellEnd"/>
      <w:r w:rsidRPr="00445B4E">
        <w:rPr>
          <w:sz w:val="28"/>
          <w:szCs w:val="28"/>
        </w:rPr>
        <w:t xml:space="preserve"> for breach of contract, claiming that the delay caused financial losses and operational disruptions. The court had to determine whether </w:t>
      </w:r>
      <w:proofErr w:type="spellStart"/>
      <w:r w:rsidRPr="00445B4E">
        <w:rPr>
          <w:sz w:val="28"/>
          <w:szCs w:val="28"/>
        </w:rPr>
        <w:t>BuildRight's</w:t>
      </w:r>
      <w:proofErr w:type="spellEnd"/>
      <w:r w:rsidRPr="00445B4E">
        <w:rPr>
          <w:sz w:val="28"/>
          <w:szCs w:val="28"/>
        </w:rPr>
        <w:t xml:space="preserve"> delays constituted a material breach and, if so, the extent of the damages owed to Prestige Enterprises.</w:t>
      </w:r>
    </w:p>
    <w:sectPr w:rsidR="00A02F73" w:rsidRPr="0044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4E"/>
    <w:rsid w:val="00445B4E"/>
    <w:rsid w:val="00A02F73"/>
    <w:rsid w:val="00AA5E00"/>
    <w:rsid w:val="00C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1F6D"/>
  <w15:chartTrackingRefBased/>
  <w15:docId w15:val="{38C60D28-B94E-4463-9F03-FE814A8C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 B</dc:creator>
  <cp:keywords/>
  <dc:description/>
  <cp:lastModifiedBy>Pradeep T B</cp:lastModifiedBy>
  <cp:revision>1</cp:revision>
  <dcterms:created xsi:type="dcterms:W3CDTF">2024-09-12T06:34:00Z</dcterms:created>
  <dcterms:modified xsi:type="dcterms:W3CDTF">2024-09-12T06:35:00Z</dcterms:modified>
</cp:coreProperties>
</file>