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800"/>
        <w:jc w:val="center"/>
      </w:pPr>
      <w:r>
        <w:rPr>
          <w:rFonts w:ascii="Arial" w:cs="Arial" w:eastAsia="Arial" w:hAnsi="Arial"/>
          <w:b/>
          <w:bCs/>
          <w:color w:val="1A2B3C"/>
          <w:sz w:val="52"/>
          <w:szCs w:val="52"/>
        </w:rPr>
        <w:t xml:space="preserve">⚡ BESS OPTIMISATION TOOL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E4A6B"/>
          <w:sz w:val="30"/>
          <w:szCs w:val="30"/>
        </w:rPr>
        <w:t xml:space="preserve">Logic, Data Flow &amp; System Architecture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0A6E6E"/>
          <w:sz w:val="22"/>
          <w:szCs w:val="22"/>
        </w:rPr>
        <w:t xml:space="preserve">For AI-Assisted Codebase Modification</w:t>
      </w:r>
    </w:p>
    <w:p>
      <w:pPr>
        <w:spacing w:after="1200" w:before="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React (Vite)  +  FastAPI (Python)  +  PostgreSQL  +  Docker Compose</w:t>
      </w:r>
    </w:p>
    <w:p>
      <w:pPr>
        <w:pStyle w:val="Heading1"/>
        <w:pBdr>
          <w:bottom w:val="single" w:color="0A6E6E" w:sz="10"/>
        </w:pBdr>
        <w:spacing w:after="140" w:before="400"/>
      </w:pPr>
      <w:r>
        <w:rPr>
          <w:rFonts w:ascii="Arial" w:cs="Arial" w:eastAsia="Arial" w:hAnsi="Arial"/>
          <w:b/>
          <w:bCs/>
          <w:color w:val="1A2B3C"/>
          <w:sz w:val="34"/>
          <w:szCs w:val="34"/>
        </w:rPr>
        <w:t xml:space="preserve">1.  Big Picture — How The System Works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The BESS tool is a multi-scenario ROI calculator for Battery Energy Storage Systems. A user creates a project, defines scenarios with different inputs, and the system calculates 13 categories of financial output and stores them in PostgreSQL. The frontend never does maths — it only displays stored results.</w:t>
      </w:r>
    </w:p>
    <w:p>
      <w:pPr>
        <w:spacing w:after="30" w:before="3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Style w:val="Heading2"/>
        <w:pBdr>
          <w:bottom w:val="single" w:color="D8E2EC" w:sz="4"/>
        </w:pBdr>
        <w:spacing w:after="100" w:before="280"/>
      </w:pPr>
      <w:r>
        <w:rPr>
          <w:rFonts w:ascii="Arial" w:cs="Arial" w:eastAsia="Arial" w:hAnsi="Arial"/>
          <w:b/>
          <w:bCs/>
          <w:color w:val="2E4A6B"/>
          <w:sz w:val="26"/>
          <w:szCs w:val="26"/>
        </w:rPr>
        <w:t xml:space="preserve">1.1  Three-Layer Architecture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5960"/>
      </w:tblGrid>
      <w:tr>
        <w:trPr>
          <w:tblHeader/>
        </w:trPr>
        <w:tc>
          <w:tcPr>
            <w:tcW w:type="dxa" w:w="2000"/>
            <w:tcBorders>
              <w:top w:val="single" w:color="0A6E6E" w:sz="4"/>
              <w:left w:val="single" w:color="0A6E6E" w:sz="4"/>
              <w:bottom w:val="single" w:color="0A6E6E" w:sz="4"/>
              <w:right w:val="single" w:color="0A6E6E" w:sz="4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0A6E6E" w:sz="4"/>
              <w:left w:val="single" w:color="0A6E6E" w:sz="4"/>
              <w:bottom w:val="single" w:color="0A6E6E" w:sz="4"/>
              <w:right w:val="single" w:color="0A6E6E" w:sz="4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5960"/>
            <w:tcBorders>
              <w:top w:val="single" w:color="0A6E6E" w:sz="4"/>
              <w:left w:val="single" w:color="0A6E6E" w:sz="4"/>
              <w:bottom w:val="single" w:color="0A6E6E" w:sz="4"/>
              <w:right w:val="single" w:color="0A6E6E" w:sz="4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PostgreSQL 16</w:t>
            </w:r>
          </w:p>
        </w:tc>
        <w:tc>
          <w:tcPr>
            <w:tcW w:type="dxa" w:w="5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Persist projects, scenarios, BOM items, and calculated results as JSON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FastAPI + Python 3.12</w:t>
            </w:r>
          </w:p>
        </w:tc>
        <w:tc>
          <w:tcPr>
            <w:tcW w:type="dxa" w:w="5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Validate inputs, run all calculations, serve REST API, generate Excel exports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React 18 + Vite</w:t>
            </w:r>
          </w:p>
        </w:tc>
        <w:tc>
          <w:tcPr>
            <w:tcW w:type="dxa" w:w="5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Collect user inputs, display calculated results, trigger API calls</w:t>
            </w:r>
          </w:p>
        </w:tc>
      </w:tr>
    </w:tbl>
    <w:p>
      <w:pPr>
        <w:spacing w:after="30" w:before="3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Style w:val="Heading2"/>
        <w:pBdr>
          <w:bottom w:val="single" w:color="D8E2EC" w:sz="4"/>
        </w:pBdr>
        <w:spacing w:after="100" w:before="280"/>
      </w:pPr>
      <w:r>
        <w:rPr>
          <w:rFonts w:ascii="Arial" w:cs="Arial" w:eastAsia="Arial" w:hAnsi="Arial"/>
          <w:b/>
          <w:bCs/>
          <w:color w:val="2E4A6B"/>
          <w:sz w:val="26"/>
          <w:szCs w:val="26"/>
        </w:rPr>
        <w:t xml:space="preserve">1.2  The Single Most Important Rule</w:t>
      </w:r>
    </w:p>
    <w:p>
      <w:pPr>
        <w:pBdr>
          <w:left w:val="single" w:color="E6A800" w:sz="20"/>
        </w:pBdr>
        <w:shd w:fill="FFF8E1" w:val="clear"/>
        <w:spacing w:after="100" w:before="100"/>
        <w:ind w:left="320" w:right="320"/>
      </w:pPr>
      <w:r>
        <w:rPr>
          <w:rFonts w:ascii="Arial" w:cs="Arial" w:eastAsia="Arial" w:hAnsi="Arial"/>
          <w:color w:val="7A4A00"/>
          <w:sz w:val="19"/>
          <w:szCs w:val="19"/>
        </w:rPr>
        <w:t xml:space="preserve">ALL financial and engineering calculations are performed in backend/calculations.py — one function: calculate(). The frontend NEVER computes any number. The database NEVER runs any formula. Only Python calculates.</w:t>
      </w:r>
    </w:p>
    <w:p>
      <w:pPr>
        <w:spacing w:after="30" w:before="3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Style w:val="Heading2"/>
        <w:pBdr>
          <w:bottom w:val="single" w:color="D8E2EC" w:sz="4"/>
        </w:pBdr>
        <w:spacing w:after="100" w:before="280"/>
      </w:pPr>
      <w:r>
        <w:rPr>
          <w:rFonts w:ascii="Arial" w:cs="Arial" w:eastAsia="Arial" w:hAnsi="Arial"/>
          <w:b/>
          <w:bCs/>
          <w:color w:val="2E4A6B"/>
          <w:sz w:val="26"/>
          <w:szCs w:val="26"/>
        </w:rPr>
        <w:t xml:space="preserve">1.3  End-to-End Request Flow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When a user saves a scenario, this exact sequence happens:</w:t>
      </w:r>
    </w:p>
    <w:p>
      <w:pPr>
        <w:spacing w:after="30" w:before="3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User fills inputs in ScenarioEditor.jsx and clicks Save.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Frontend calls POST /projects/{pid}/scenarios via api.js (axios).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FastAPI route in main.py receives the request body, validates it with Pydantic schema.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Route writes the Scenario row to PostgreSQL via SQLAlchemy.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Route writes all BOM items to bom_items table.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Route calls calculate(scenario, bom_items) from calculations.py.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calculate() returns a large Python dict with all outputs.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Route stores that dict as JSON in scenarios.results column.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Route returns the full ScenarioOut response (including results JSON) to the frontend.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Frontend navigates to ScenarioResults.jsx which reads from scenario.results — no second API call needed.</w:t>
      </w:r>
    </w:p>
    <w:p>
      <w:pPr>
        <w:spacing w:after="30" w:before="3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Bdr>
          <w:bottom w:val="single" w:color="D8E2EC" w:sz="4"/>
        </w:pBd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Style w:val="Heading1"/>
        <w:pBdr>
          <w:bottom w:val="single" w:color="0A6E6E" w:sz="10"/>
        </w:pBdr>
        <w:spacing w:after="140" w:before="400"/>
      </w:pPr>
      <w:r>
        <w:rPr>
          <w:rFonts w:ascii="Arial" w:cs="Arial" w:eastAsia="Arial" w:hAnsi="Arial"/>
          <w:b/>
          <w:bCs/>
          <w:color w:val="1A2B3C"/>
          <w:sz w:val="34"/>
          <w:szCs w:val="34"/>
        </w:rPr>
        <w:t xml:space="preserve">2.  Data Model &amp; Flow</w:t>
      </w:r>
    </w:p>
    <w:p>
      <w:pPr>
        <w:pStyle w:val="Heading2"/>
        <w:pBdr>
          <w:bottom w:val="single" w:color="D8E2EC" w:sz="4"/>
        </w:pBdr>
        <w:spacing w:after="100" w:before="280"/>
      </w:pPr>
      <w:r>
        <w:rPr>
          <w:rFonts w:ascii="Arial" w:cs="Arial" w:eastAsia="Arial" w:hAnsi="Arial"/>
          <w:b/>
          <w:bCs/>
          <w:color w:val="2E4A6B"/>
          <w:sz w:val="26"/>
          <w:szCs w:val="26"/>
        </w:rPr>
        <w:t xml:space="preserve">2.1  Entity Relationships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Three tables, two foreign key relationships:</w:t>
      </w:r>
    </w:p>
    <w:p>
      <w:pPr>
        <w:spacing w:after="30" w:before="3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projects (1) ──&lt; scenarios (1) ──&lt; bom_items</w:t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|</w:t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results JSON (stored in scenarios.results column)</w:t>
      </w:r>
    </w:p>
    <w:p>
      <w:pPr>
        <w:spacing w:after="30" w:before="3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One project holds many scenarios (different sizing configurations, use cases, locations).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One scenario holds many bom_items (the 63-component Bill of Materials with prices).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Deleting a project cascades to delete all its scenarios and their BOM items.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Deleting a scenario cascades to delete all its BOM items.</w:t>
      </w:r>
    </w:p>
    <w:p>
      <w:pPr>
        <w:spacing w:after="30" w:before="3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Style w:val="Heading2"/>
        <w:pBdr>
          <w:bottom w:val="single" w:color="D8E2EC" w:sz="4"/>
        </w:pBdr>
        <w:spacing w:after="100" w:before="280"/>
      </w:pPr>
      <w:r>
        <w:rPr>
          <w:rFonts w:ascii="Arial" w:cs="Arial" w:eastAsia="Arial" w:hAnsi="Arial"/>
          <w:b/>
          <w:bCs/>
          <w:color w:val="2E4A6B"/>
          <w:sz w:val="26"/>
          <w:szCs w:val="26"/>
        </w:rPr>
        <w:t xml:space="preserve">2.2  Input Data Journey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Inputs flow from UI → validation → database → calculation:</w:t>
      </w:r>
    </w:p>
    <w:p>
      <w:pPr>
        <w:spacing w:after="30" w:before="3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2400"/>
        <w:gridCol w:w="3360"/>
      </w:tblGrid>
      <w:tr>
        <w:trPr>
          <w:tblHeader/>
        </w:trPr>
        <w:tc>
          <w:tcPr>
            <w:tcW w:type="dxa" w:w="1600"/>
            <w:tcBorders>
              <w:top w:val="single" w:color="0A6E6E" w:sz="4"/>
              <w:left w:val="single" w:color="0A6E6E" w:sz="4"/>
              <w:bottom w:val="single" w:color="0A6E6E" w:sz="4"/>
              <w:right w:val="single" w:color="0A6E6E" w:sz="4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Group</w:t>
            </w:r>
          </w:p>
        </w:tc>
        <w:tc>
          <w:tcPr>
            <w:tcW w:type="dxa" w:w="3000"/>
            <w:tcBorders>
              <w:top w:val="single" w:color="0A6E6E" w:sz="4"/>
              <w:left w:val="single" w:color="0A6E6E" w:sz="4"/>
              <w:bottom w:val="single" w:color="0A6E6E" w:sz="4"/>
              <w:right w:val="single" w:color="0A6E6E" w:sz="4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Fields</w:t>
            </w:r>
          </w:p>
        </w:tc>
        <w:tc>
          <w:tcPr>
            <w:tcW w:type="dxa" w:w="2400"/>
            <w:tcBorders>
              <w:top w:val="single" w:color="0A6E6E" w:sz="4"/>
              <w:left w:val="single" w:color="0A6E6E" w:sz="4"/>
              <w:bottom w:val="single" w:color="0A6E6E" w:sz="4"/>
              <w:right w:val="single" w:color="0A6E6E" w:sz="4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entered</w:t>
            </w:r>
          </w:p>
        </w:tc>
        <w:tc>
          <w:tcPr>
            <w:tcW w:type="dxa" w:w="3360"/>
            <w:tcBorders>
              <w:top w:val="single" w:color="0A6E6E" w:sz="4"/>
              <w:left w:val="single" w:color="0A6E6E" w:sz="4"/>
              <w:bottom w:val="single" w:color="0A6E6E" w:sz="4"/>
              <w:right w:val="single" w:color="0A6E6E" w:sz="4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used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A. Customer Load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peak_demand_kw, daily_energy_kwh, num_sites, backup_hours, peak_tariff, offpeak_tariff, cycles_per_day, project_life_years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ScenarioEditor Section A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Sizing, LCOS, Savings, Cash Flow, Sensitivity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B. Battery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dod_pct, module_capacity_kwh, cycle_life, round_trip_efficiency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ScenarioEditor Section B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Sizing (modules), LCOS energy throughput, LCOS matrix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C. Solar PV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solar_capacity_kwp, solar_cuf, solar_capex_per_kwp, solar_om_per_kwp, solar_degradation_pct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ScenarioEditor Section C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LCOS comparison (Solar Only, BESS+Solar, Full Hybrid)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D. Diesel Generator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dg_capacity_kva, dg_power_factor, dg_hours_per_day, dg_fuel_lkwh, diesel_price, dg_annual_maintenance, dg_capex, dg_fuel_escalation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ScenarioEditor Section D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LCOS comparison (DG Only, Full Hybrid), DG displacement saving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E. Cost %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install_labour_pct, commissioning_pct, contingency_pct, annual_om_pct, insurance_pct, remote_monitoring_annual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ScenarioEditor Section E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CAPEX build-up, OPEX calculation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F. Degradation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annual_degradation_pct, tariff_escalation_pct, md_escalation_pct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ScenarioEditor Section F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Degradation-adjusted cash flow (cashflow_deg)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G. Savings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monthly_md_saving, dg_displacement_saving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ScenarioEditor Section G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Annual savings, ROI, payback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BOM Prices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unit_price per component (63 items)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ScenarioEditor BOM tab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bom_total which drives entire CAPEX</w:t>
            </w:r>
          </w:p>
        </w:tc>
      </w:tr>
    </w:tbl>
    <w:p>
      <w:pPr>
        <w:spacing w:after="30" w:before="3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Style w:val="Heading2"/>
        <w:pBdr>
          <w:bottom w:val="single" w:color="D8E2EC" w:sz="4"/>
        </w:pBdr>
        <w:spacing w:after="100" w:before="280"/>
      </w:pPr>
      <w:r>
        <w:rPr>
          <w:rFonts w:ascii="Arial" w:cs="Arial" w:eastAsia="Arial" w:hAnsi="Arial"/>
          <w:b/>
          <w:bCs/>
          <w:color w:val="2E4A6B"/>
          <w:sz w:val="26"/>
          <w:szCs w:val="26"/>
        </w:rPr>
        <w:t xml:space="preserve">2.3  Output Data Journey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calculate() produces one dict. Every key maps to a UI element:</w:t>
      </w:r>
    </w:p>
    <w:p>
      <w:pPr>
        <w:spacing w:after="30" w:before="3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5160"/>
      </w:tblGrid>
      <w:tr>
        <w:trPr>
          <w:tblHeader/>
        </w:trPr>
        <w:tc>
          <w:tcPr>
            <w:tcW w:type="dxa" w:w="3000"/>
            <w:tcBorders>
              <w:top w:val="single" w:color="0A6E6E" w:sz="4"/>
              <w:left w:val="single" w:color="0A6E6E" w:sz="4"/>
              <w:bottom w:val="single" w:color="0A6E6E" w:sz="4"/>
              <w:right w:val="single" w:color="0A6E6E" w:sz="4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Key</w:t>
            </w:r>
          </w:p>
        </w:tc>
        <w:tc>
          <w:tcPr>
            <w:tcW w:type="dxa" w:w="2200"/>
            <w:tcBorders>
              <w:top w:val="single" w:color="0A6E6E" w:sz="4"/>
              <w:left w:val="single" w:color="0A6E6E" w:sz="4"/>
              <w:bottom w:val="single" w:color="0A6E6E" w:sz="4"/>
              <w:right w:val="single" w:color="0A6E6E" w:sz="4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0A6E6E" w:sz="4"/>
              <w:left w:val="single" w:color="0A6E6E" w:sz="4"/>
              <w:bottom w:val="single" w:color="0A6E6E" w:sz="4"/>
              <w:right w:val="single" w:color="0A6E6E" w:sz="4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Displayed in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modules_required, actual_capacity_kwh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numbers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Overview KPIs, scenario card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bom_total, cost_per_kwh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numbers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Overview CAPEX card, BOM tab footer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install_labour, commissioning_cost, contingency, total_capex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numbers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Overview CAPEX breakdown card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annual_om, annual_insurance, annual_opex, lifetime_opex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numbers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Overview OPEX section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lcos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number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Overview KPI, LCOS tab comparison table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annual_arbitrage, annual_md_saving, annual_dg_saving, total_annual_savings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numbers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Overview savings bar chart + breakdown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net_annual_benefit, simple_payback_years, roi_10yr_pct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numbers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Overview KPIs, scenario card, optimality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cashflow_flat[]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array of {year, net_benefit, cumulative}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Cash Flow tab — line chart + table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cashflow_deg[]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array of {year, soh_pct, usable_kwh, …, cumulative_deg}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Cash Flow tab — second line + table columns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sensitivity[]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array of {tariff, values{mult: payback}}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Sensitivity tab — 6×6 heatmap table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lcos_matrix[]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array of {cycles, values{dod: lcos}}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LCOS tab — 5×5 matrix table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lcos_comparison[]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array of {config, simple_lcos, total_cost, …}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LCOS tab — comparison table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optimality{}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dict of {key: {value, benchmark, pass}}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Overview optimality check grid (6 tiles)</w:t>
            </w:r>
          </w:p>
        </w:tc>
      </w:tr>
    </w:tbl>
    <w:p>
      <w:pPr>
        <w:spacing w:after="30" w:before="3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Bdr>
          <w:bottom w:val="single" w:color="D8E2EC" w:sz="4"/>
        </w:pBd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Style w:val="Heading1"/>
        <w:pBdr>
          <w:bottom w:val="single" w:color="0A6E6E" w:sz="10"/>
        </w:pBdr>
        <w:spacing w:after="140" w:before="400"/>
      </w:pPr>
      <w:r>
        <w:rPr>
          <w:rFonts w:ascii="Arial" w:cs="Arial" w:eastAsia="Arial" w:hAnsi="Arial"/>
          <w:b/>
          <w:bCs/>
          <w:color w:val="1A2B3C"/>
          <w:sz w:val="34"/>
          <w:szCs w:val="34"/>
        </w:rPr>
        <w:t xml:space="preserve">3.  Calculation Logic — Step by Step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This section documents every formula inside calculations.py. When modifying calculations, follow this exact order — later steps depend on earlier ones.</w:t>
      </w:r>
    </w:p>
    <w:p>
      <w:pPr>
        <w:spacing w:after="30" w:before="3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Style w:val="Heading2"/>
        <w:pBdr>
          <w:bottom w:val="single" w:color="D8E2EC" w:sz="4"/>
        </w:pBdr>
        <w:spacing w:after="100" w:before="280"/>
      </w:pPr>
      <w:r>
        <w:rPr>
          <w:rFonts w:ascii="Arial" w:cs="Arial" w:eastAsia="Arial" w:hAnsi="Arial"/>
          <w:b/>
          <w:bCs/>
          <w:color w:val="2E4A6B"/>
          <w:sz w:val="26"/>
          <w:szCs w:val="26"/>
        </w:rPr>
        <w:t xml:space="preserve">Step 1 — Sizing</w:t>
      </w:r>
    </w:p>
    <w:p>
      <w:pPr>
        <w:pBdr>
          <w:left w:val="single" w:color="0A6E6E" w:sz="20"/>
        </w:pBdr>
        <w:shd w:fill="F2F5F8" w:val="clear"/>
        <w:spacing w:after="100" w:before="100"/>
        <w:ind w:left="320" w:right="320"/>
      </w:pPr>
      <w:r>
        <w:rPr>
          <w:rFonts w:ascii="Arial" w:cs="Arial" w:eastAsia="Arial" w:hAnsi="Arial"/>
          <w:color w:val="1A2B3C"/>
          <w:sz w:val="19"/>
          <w:szCs w:val="19"/>
        </w:rPr>
        <w:t xml:space="preserve">Input: peak_demand_kw, backup_hours, dod_pct, module_capacity_kwh, round_trip_efficiency</w:t>
      </w:r>
    </w:p>
    <w:p>
      <w:pPr>
        <w:spacing w:after="30" w:before="3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required_energy_kwh    = peak_demand_kw × backup_hours</w:t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installed_cap_required = required_energy_kwh ÷ dod_pct</w:t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modules_required       = CEILING(installed_cap_required ÷ module_capacity_kwh)</w:t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actual_capacity_kwh    = modules_required × module_capacity_kwh</w:t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dg_effective_kw        = dg_capacity_kva × dg_power_factor</w:t>
      </w:r>
    </w:p>
    <w:p>
      <w:pPr>
        <w:spacing w:after="30" w:before="3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Bdr>
          <w:left w:val="single" w:color="E6A800" w:sz="20"/>
        </w:pBdr>
        <w:shd w:fill="FFF3CD" w:val="clear"/>
        <w:spacing w:after="100" w:before="100"/>
        <w:ind w:left="320" w:right="320"/>
      </w:pPr>
      <w:r>
        <w:rPr>
          <w:rFonts w:ascii="Arial" w:cs="Arial" w:eastAsia="Arial" w:hAnsi="Arial"/>
          <w:color w:val="7A4A00"/>
          <w:sz w:val="19"/>
          <w:szCs w:val="19"/>
        </w:rPr>
        <w:t xml:space="preserve">Why ceiling? You cannot install a fraction of a module. Always round UP.</w:t>
      </w:r>
    </w:p>
    <w:p>
      <w:pPr>
        <w:spacing w:after="30" w:before="3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Style w:val="Heading2"/>
        <w:pBdr>
          <w:bottom w:val="single" w:color="D8E2EC" w:sz="4"/>
        </w:pBdr>
        <w:spacing w:after="100" w:before="280"/>
      </w:pPr>
      <w:r>
        <w:rPr>
          <w:rFonts w:ascii="Arial" w:cs="Arial" w:eastAsia="Arial" w:hAnsi="Arial"/>
          <w:b/>
          <w:bCs/>
          <w:color w:val="2E4A6B"/>
          <w:sz w:val="26"/>
          <w:szCs w:val="26"/>
        </w:rPr>
        <w:t xml:space="preserve">Step 2 — BOM Cost</w:t>
      </w:r>
    </w:p>
    <w:p>
      <w:pPr>
        <w:pBdr>
          <w:left w:val="single" w:color="0A6E6E" w:sz="20"/>
        </w:pBdr>
        <w:shd w:fill="F2F5F8" w:val="clear"/>
        <w:spacing w:after="100" w:before="100"/>
        <w:ind w:left="320" w:right="320"/>
      </w:pPr>
      <w:r>
        <w:rPr>
          <w:rFonts w:ascii="Arial" w:cs="Arial" w:eastAsia="Arial" w:hAnsi="Arial"/>
          <w:color w:val="1A2B3C"/>
          <w:sz w:val="19"/>
          <w:szCs w:val="19"/>
        </w:rPr>
        <w:t xml:space="preserve">Input: list of {qty, unit_price} from bom_items table</w:t>
      </w:r>
    </w:p>
    <w:p>
      <w:pPr>
        <w:spacing w:after="30" w:before="3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bom_total     = SUM(item.qty × item.unit_price)  for all BOM items</w:t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cost_per_kwh  = bom_total ÷ actual_capacity_kwh</w:t>
      </w:r>
    </w:p>
    <w:p>
      <w:pPr>
        <w:spacing w:after="30" w:before="3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If no BOM items provided, DEFAULT_BOM list inside calculations.py is used. The default has 63 components with standard Elektron RE prices.</w:t>
      </w:r>
    </w:p>
    <w:p>
      <w:pPr>
        <w:spacing w:after="30" w:before="3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Style w:val="Heading2"/>
        <w:pBdr>
          <w:bottom w:val="single" w:color="D8E2EC" w:sz="4"/>
        </w:pBdr>
        <w:spacing w:after="100" w:before="280"/>
      </w:pPr>
      <w:r>
        <w:rPr>
          <w:rFonts w:ascii="Arial" w:cs="Arial" w:eastAsia="Arial" w:hAnsi="Arial"/>
          <w:b/>
          <w:bCs/>
          <w:color w:val="2E4A6B"/>
          <w:sz w:val="26"/>
          <w:szCs w:val="26"/>
        </w:rPr>
        <w:t xml:space="preserve">Step 3 — CAPEX Build-up</w:t>
      </w:r>
    </w:p>
    <w:p>
      <w:pPr>
        <w:pBdr>
          <w:left w:val="single" w:color="0A6E6E" w:sz="20"/>
        </w:pBdr>
        <w:shd w:fill="F2F5F8" w:val="clear"/>
        <w:spacing w:after="100" w:before="100"/>
        <w:ind w:left="320" w:right="320"/>
      </w:pPr>
      <w:r>
        <w:rPr>
          <w:rFonts w:ascii="Arial" w:cs="Arial" w:eastAsia="Arial" w:hAnsi="Arial"/>
          <w:color w:val="1A2B3C"/>
          <w:sz w:val="19"/>
          <w:szCs w:val="19"/>
        </w:rPr>
        <w:t xml:space="preserve">Input: bom_total, install_labour_pct, commissioning_pct, contingency_pct</w:t>
      </w:r>
    </w:p>
    <w:p>
      <w:pPr>
        <w:spacing w:after="30" w:before="3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install_labour    = bom_total × install_labour_pct          (default 8%)</w:t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commissioning     = bom_total × commissioning_pct            (default 3%)</w:t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contingency       = (bom_total + labour + commissioning) × contingency_pct  (default 5%)</w:t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total_capex       = bom_total + labour + commissioning + contingency</w:t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total_capex_lakhs = total_capex ÷ 100,000</w:t>
      </w:r>
    </w:p>
    <w:p>
      <w:pPr>
        <w:spacing w:after="30" w:before="3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Style w:val="Heading2"/>
        <w:pBdr>
          <w:bottom w:val="single" w:color="D8E2EC" w:sz="4"/>
        </w:pBdr>
        <w:spacing w:after="100" w:before="280"/>
      </w:pPr>
      <w:r>
        <w:rPr>
          <w:rFonts w:ascii="Arial" w:cs="Arial" w:eastAsia="Arial" w:hAnsi="Arial"/>
          <w:b/>
          <w:bCs/>
          <w:color w:val="2E4A6B"/>
          <w:sz w:val="26"/>
          <w:szCs w:val="26"/>
        </w:rPr>
        <w:t xml:space="preserve">Step 4 — Annual OPEX</w:t>
      </w:r>
    </w:p>
    <w:p>
      <w:pPr>
        <w:pBdr>
          <w:left w:val="single" w:color="0A6E6E" w:sz="20"/>
        </w:pBdr>
        <w:shd w:fill="F2F5F8" w:val="clear"/>
        <w:spacing w:after="100" w:before="100"/>
        <w:ind w:left="320" w:right="320"/>
      </w:pPr>
      <w:r>
        <w:rPr>
          <w:rFonts w:ascii="Arial" w:cs="Arial" w:eastAsia="Arial" w:hAnsi="Arial"/>
          <w:color w:val="1A2B3C"/>
          <w:sz w:val="19"/>
          <w:szCs w:val="19"/>
        </w:rPr>
        <w:t xml:space="preserve">Input: total_capex, annual_om_pct, insurance_pct, remote_monitoring_annual, project_life_years</w:t>
      </w:r>
    </w:p>
    <w:p>
      <w:pPr>
        <w:spacing w:after="30" w:before="3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annual_om       = total_capex × annual_om_pct         (default 1.5%/yr)</w:t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annual_insurance= total_capex × insurance_pct          (default 0.5%/yr)</w:t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annual_opex     = annual_om + annual_insurance + remote_monitoring_annual</w:t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lifetime_opex   = annual_opex × project_life_years</w:t>
      </w:r>
    </w:p>
    <w:p>
      <w:pPr>
        <w:spacing w:after="30" w:before="3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Style w:val="Heading2"/>
        <w:pBdr>
          <w:bottom w:val="single" w:color="D8E2EC" w:sz="4"/>
        </w:pBdr>
        <w:spacing w:after="100" w:before="280"/>
      </w:pPr>
      <w:r>
        <w:rPr>
          <w:rFonts w:ascii="Arial" w:cs="Arial" w:eastAsia="Arial" w:hAnsi="Arial"/>
          <w:b/>
          <w:bCs/>
          <w:color w:val="2E4A6B"/>
          <w:sz w:val="26"/>
          <w:szCs w:val="26"/>
        </w:rPr>
        <w:t xml:space="preserve">Step 5 — LCOS (Levelised Cost of Storage)</w:t>
      </w:r>
    </w:p>
    <w:p>
      <w:pPr>
        <w:pBdr>
          <w:left w:val="single" w:color="0A6E6E" w:sz="20"/>
        </w:pBdr>
        <w:shd w:fill="F2F5F8" w:val="clear"/>
        <w:spacing w:after="100" w:before="100"/>
        <w:ind w:left="320" w:right="320"/>
      </w:pPr>
      <w:r>
        <w:rPr>
          <w:rFonts w:ascii="Arial" w:cs="Arial" w:eastAsia="Arial" w:hAnsi="Arial"/>
          <w:color w:val="1A2B3C"/>
          <w:sz w:val="19"/>
          <w:szCs w:val="19"/>
        </w:rPr>
        <w:t xml:space="preserve">Input: actual_capacity_kwh, dod_pct, round_trip_efficiency, cycles_per_day, project_life_years, total_capex, lifetime_opex</w:t>
      </w:r>
    </w:p>
    <w:p>
      <w:pPr>
        <w:spacing w:after="30" w:before="3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annual_cycles         = cycles_per_day × 365</w:t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total_cycles          = annual_cycles × project_life_years</w:t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total_throughput_kwh  = actual_capacity_kwh × dod_pct × rte × total_cycles</w:t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lcos                  = (total_capex + lifetime_opex) ÷ total_throughput_kwh</w:t>
      </w:r>
    </w:p>
    <w:p>
      <w:pPr>
        <w:spacing w:after="30" w:before="3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Bdr>
          <w:left w:val="single" w:color="0A6E6E" w:sz="20"/>
        </w:pBdr>
        <w:shd w:fill="E8F4F8" w:val="clear"/>
        <w:spacing w:after="100" w:before="100"/>
        <w:ind w:left="320" w:right="320"/>
      </w:pPr>
      <w:r>
        <w:rPr>
          <w:rFonts w:ascii="Arial" w:cs="Arial" w:eastAsia="Arial" w:hAnsi="Arial"/>
          <w:color w:val="0A6E6E"/>
          <w:sz w:val="19"/>
          <w:szCs w:val="19"/>
        </w:rPr>
        <w:t xml:space="preserve">LCOS is the 'true cost per kWh delivered' over the system lifetime. A lower LCOS than the grid peak tariff means the BESS is economically viable.</w:t>
      </w:r>
    </w:p>
    <w:p>
      <w:pPr>
        <w:spacing w:after="30" w:before="3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Style w:val="Heading2"/>
        <w:pBdr>
          <w:bottom w:val="single" w:color="D8E2EC" w:sz="4"/>
        </w:pBdr>
        <w:spacing w:after="100" w:before="280"/>
      </w:pPr>
      <w:r>
        <w:rPr>
          <w:rFonts w:ascii="Arial" w:cs="Arial" w:eastAsia="Arial" w:hAnsi="Arial"/>
          <w:b/>
          <w:bCs/>
          <w:color w:val="2E4A6B"/>
          <w:sz w:val="26"/>
          <w:szCs w:val="26"/>
        </w:rPr>
        <w:t xml:space="preserve">Step 6 — Annual Savings (Flat Model)</w:t>
      </w:r>
    </w:p>
    <w:p>
      <w:pPr>
        <w:pBdr>
          <w:left w:val="single" w:color="0A6E6E" w:sz="20"/>
        </w:pBdr>
        <w:shd w:fill="F2F5F8" w:val="clear"/>
        <w:spacing w:after="100" w:before="100"/>
        <w:ind w:left="320" w:right="320"/>
      </w:pPr>
      <w:r>
        <w:rPr>
          <w:rFonts w:ascii="Arial" w:cs="Arial" w:eastAsia="Arial" w:hAnsi="Arial"/>
          <w:color w:val="1A2B3C"/>
          <w:sz w:val="19"/>
          <w:szCs w:val="19"/>
        </w:rPr>
        <w:t xml:space="preserve">Input: actual_capacity_kwh, dod_pct, round_trip_efficiency, peak_tariff, offpeak_tariff, monthly_md_saving, dg_displacement_saving</w:t>
      </w:r>
    </w:p>
    <w:p>
      <w:pPr>
        <w:spacing w:after="30" w:before="3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daily_dischargeable_kwh = actual_capacity_kwh × dod_pct × round_trip_efficiency</w:t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arbitrage_per_kwh       = peak_tariff − offpeak_tariff</w:t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daily_arbitrage         = daily_dischargeable_kwh × arbitrage_per_kwh</w:t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annual_arbitrage        = daily_arbitrage × 365</w:t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annual_md_saving        = monthly_md_saving × 12</w:t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annual_dg_saving        = dg_displacement_saving  (user input, annual)</w:t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total_annual_savings    = annual_arbitrage + annual_md_saving + annual_dg_saving</w:t>
      </w:r>
    </w:p>
    <w:p>
      <w:pPr>
        <w:spacing w:after="30" w:before="3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Style w:val="Heading2"/>
        <w:pBdr>
          <w:bottom w:val="single" w:color="D8E2EC" w:sz="4"/>
        </w:pBdr>
        <w:spacing w:after="100" w:before="280"/>
      </w:pPr>
      <w:r>
        <w:rPr>
          <w:rFonts w:ascii="Arial" w:cs="Arial" w:eastAsia="Arial" w:hAnsi="Arial"/>
          <w:b/>
          <w:bCs/>
          <w:color w:val="2E4A6B"/>
          <w:sz w:val="26"/>
          <w:szCs w:val="26"/>
        </w:rPr>
        <w:t xml:space="preserve">Step 7 — ROI &amp; Payback</w:t>
      </w:r>
    </w:p>
    <w:p>
      <w:pPr>
        <w:pBdr>
          <w:left w:val="single" w:color="0A6E6E" w:sz="20"/>
        </w:pBdr>
        <w:shd w:fill="F2F5F8" w:val="clear"/>
        <w:spacing w:after="100" w:before="100"/>
        <w:ind w:left="320" w:right="320"/>
      </w:pPr>
      <w:r>
        <w:rPr>
          <w:rFonts w:ascii="Arial" w:cs="Arial" w:eastAsia="Arial" w:hAnsi="Arial"/>
          <w:color w:val="1A2B3C"/>
          <w:sz w:val="19"/>
          <w:szCs w:val="19"/>
        </w:rPr>
        <w:t xml:space="preserve">Input: total_capex, annual_opex, total_annual_savings</w:t>
      </w:r>
    </w:p>
    <w:p>
      <w:pPr>
        <w:spacing w:after="30" w:before="3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net_annual_benefit      = total_annual_savings − annual_opex</w:t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simple_payback_years    = total_capex ÷ net_annual_benefit</w:t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cumulative_10yr         = net_annual_benefit × 10</w:t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net_10yr_after_capex    = cumulative_10yr − total_capex</w:t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roi_10yr_pct            = net_10yr_after_capex ÷ total_capex × 100</w:t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annual_roi_pct          = roi_10yr_pct ÷ 10</w:t>
      </w:r>
    </w:p>
    <w:p>
      <w:pPr>
        <w:spacing w:after="30" w:before="3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Style w:val="Heading2"/>
        <w:pBdr>
          <w:bottom w:val="single" w:color="D8E2EC" w:sz="4"/>
        </w:pBdr>
        <w:spacing w:after="100" w:before="280"/>
      </w:pPr>
      <w:r>
        <w:rPr>
          <w:rFonts w:ascii="Arial" w:cs="Arial" w:eastAsia="Arial" w:hAnsi="Arial"/>
          <w:b/>
          <w:bCs/>
          <w:color w:val="2E4A6B"/>
          <w:sz w:val="26"/>
          <w:szCs w:val="26"/>
        </w:rPr>
        <w:t xml:space="preserve">Step 8 — Year-by-Year Cash Flow (Flat Model)</w:t>
      </w:r>
    </w:p>
    <w:p>
      <w:pPr>
        <w:pBdr>
          <w:left w:val="single" w:color="0A6E6E" w:sz="20"/>
        </w:pBdr>
        <w:shd w:fill="F2F5F8" w:val="clear"/>
        <w:spacing w:after="100" w:before="100"/>
        <w:ind w:left="320" w:right="320"/>
      </w:pPr>
      <w:r>
        <w:rPr>
          <w:rFonts w:ascii="Arial" w:cs="Arial" w:eastAsia="Arial" w:hAnsi="Arial"/>
          <w:color w:val="1A2B3C"/>
          <w:sz w:val="19"/>
          <w:szCs w:val="19"/>
        </w:rPr>
        <w:t xml:space="preserve">Input: net_annual_benefit, total_capex, project_life_years</w:t>
      </w:r>
    </w:p>
    <w:p>
      <w:pPr>
        <w:spacing w:after="30" w:before="3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Iterates year 1 to project_life_years. Savings are constant (no degradation, no escalation).</w:t>
      </w:r>
    </w:p>
    <w:p>
      <w:pPr>
        <w:spacing w:after="30" w:before="3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cumulative = −total_capex   (starts negative — you've invested CAPEX on day 1)</w:t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 each year:</w:t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cumulative += net_annual_benefit</w:t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append {year, net_benefit: net_annual_benefit, cumulative}</w:t>
      </w:r>
    </w:p>
    <w:p>
      <w:pPr>
        <w:spacing w:after="30" w:before="3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The year when cumulative first turns positive is the flat-model payback year.</w:t>
      </w:r>
    </w:p>
    <w:p>
      <w:pPr>
        <w:spacing w:after="30" w:before="3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Style w:val="Heading2"/>
        <w:pBdr>
          <w:bottom w:val="single" w:color="D8E2EC" w:sz="4"/>
        </w:pBdr>
        <w:spacing w:after="100" w:before="280"/>
      </w:pPr>
      <w:r>
        <w:rPr>
          <w:rFonts w:ascii="Arial" w:cs="Arial" w:eastAsia="Arial" w:hAnsi="Arial"/>
          <w:b/>
          <w:bCs/>
          <w:color w:val="2E4A6B"/>
          <w:sz w:val="26"/>
          <w:szCs w:val="26"/>
        </w:rPr>
        <w:t xml:space="preserve">Step 9 — Degradation-Adjusted Cash Flow</w:t>
      </w:r>
    </w:p>
    <w:p>
      <w:pPr>
        <w:pBdr>
          <w:left w:val="single" w:color="0A6E6E" w:sz="20"/>
        </w:pBdr>
        <w:shd w:fill="F2F5F8" w:val="clear"/>
        <w:spacing w:after="100" w:before="100"/>
        <w:ind w:left="320" w:right="320"/>
      </w:pPr>
      <w:r>
        <w:rPr>
          <w:rFonts w:ascii="Arial" w:cs="Arial" w:eastAsia="Arial" w:hAnsi="Arial"/>
          <w:color w:val="1A2B3C"/>
          <w:sz w:val="19"/>
          <w:szCs w:val="19"/>
        </w:rPr>
        <w:t xml:space="preserve">Input: actual_capacity_kwh, annual_degradation_pct, tariff_escalation_pct, md_escalation_pct, annual_opex, total_capex, project_life_years</w:t>
      </w:r>
    </w:p>
    <w:p>
      <w:pPr>
        <w:spacing w:after="30" w:before="3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This is the realistic model. Battery capacity shrinks each year, but tariffs grow.</w:t>
      </w:r>
    </w:p>
    <w:p>
      <w:pPr>
        <w:spacing w:after="30" w:before="3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soh = 1.0  (State of Health starts at 100%)</w:t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 each year (1 to project_life_years):</w:t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soh              = soh × (1 − annual_degradation_pct)</w:t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usable_kwh       = actual_capacity_kwh × soh</w:t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degraded_arb     = usable_kwh × dod × rte × arbitrage_per_kwh</w:t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× (1 + tariff_escalation_pct)^year × 365</w:t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md_dg_escalated  = (annual_md + annual_dg) × (1 + md_escalation_pct)^year</w:t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total_deg_saving = degraded_arb + md_dg_escalated</w:t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net_deg          = total_deg_saving − annual_opex</w:t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cumulative_deg   += net_deg</w:t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vs_flat_delta    = cumulative_deg − cashflow_flat[year].cumulative</w:t>
      </w:r>
    </w:p>
    <w:p>
      <w:pPr>
        <w:spacing w:after="30" w:before="3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Bdr>
          <w:left w:val="single" w:color="1A5C36" w:sz="20"/>
        </w:pBdr>
        <w:shd w:fill="E8F8EE" w:val="clear"/>
        <w:spacing w:after="100" w:before="100"/>
        <w:ind w:left="320" w:right="320"/>
      </w:pPr>
      <w:r>
        <w:rPr>
          <w:rFonts w:ascii="Arial" w:cs="Arial" w:eastAsia="Arial" w:hAnsi="Arial"/>
          <w:color w:val="1A5C36"/>
          <w:sz w:val="19"/>
          <w:szCs w:val="19"/>
        </w:rPr>
        <w:t xml:space="preserve">Degradation-adjusted payback year = first year where cumulative_deg &gt; 0</w:t>
      </w:r>
    </w:p>
    <w:p>
      <w:pPr>
        <w:spacing w:after="30" w:before="3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Style w:val="Heading2"/>
        <w:pBdr>
          <w:bottom w:val="single" w:color="D8E2EC" w:sz="4"/>
        </w:pBdr>
        <w:spacing w:after="100" w:before="280"/>
      </w:pPr>
      <w:r>
        <w:rPr>
          <w:rFonts w:ascii="Arial" w:cs="Arial" w:eastAsia="Arial" w:hAnsi="Arial"/>
          <w:b/>
          <w:bCs/>
          <w:color w:val="2E4A6B"/>
          <w:sz w:val="26"/>
          <w:szCs w:val="26"/>
        </w:rPr>
        <w:t xml:space="preserve">Step 10 — Sensitivity Analysis (6×6 Grid)</w:t>
      </w:r>
    </w:p>
    <w:p>
      <w:pPr>
        <w:pBdr>
          <w:left w:val="single" w:color="0A6E6E" w:sz="20"/>
        </w:pBdr>
        <w:shd w:fill="F2F5F8" w:val="clear"/>
        <w:spacing w:after="100" w:before="100"/>
        <w:ind w:left="320" w:right="320"/>
      </w:pPr>
      <w:r>
        <w:rPr>
          <w:rFonts w:ascii="Arial" w:cs="Arial" w:eastAsia="Arial" w:hAnsi="Arial"/>
          <w:color w:val="1A2B3C"/>
          <w:sz w:val="19"/>
          <w:szCs w:val="19"/>
        </w:rPr>
        <w:t xml:space="preserve">Input: bom_total, offpeak_tariff, monthly_md_saving, dg_displacement_saving, project_life_years, all cost percentages</w:t>
      </w:r>
    </w:p>
    <w:p>
      <w:pPr>
        <w:spacing w:after="30" w:before="3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Nested loop over 6 tariff levels × 6 BOM cost multipliers. For each combination:</w:t>
      </w:r>
    </w:p>
    <w:p>
      <w:pPr>
        <w:spacing w:after="30" w:before="3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tariffs    = [8, 10, 12, 14, 16, 18]  (₹/kWh)</w:t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multipliers= [0.80, 0.90, 1.00, 1.10, 1.20, 1.30]</w:t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 each (tariff, multiplier):</w:t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adj_bom    = bom_total × multiplier</w:t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adj_capex  = adj_bom + labour + commissioning + contingency  (same %)</w:t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adj_opex   = adj_capex × (om_pct + ins_pct) + monitoring</w:t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adj_arb    = daily_kwh × (tariff − offpeak_tariff) × 365</w:t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adj_savings= adj_arb + annual_md + annual_dg</w:t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adj_net    = adj_savings − adj_opex</w:t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payback    = adj_capex ÷ adj_net  (or None if adj_net ≤ 0)</w:t>
      </w:r>
    </w:p>
    <w:p>
      <w:pPr>
        <w:spacing w:after="30" w:before="3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Result: sensitivity[] — array of 6 rows, each with a tariff value and a values dict keyed by multiplier string.</w:t>
      </w:r>
    </w:p>
    <w:p>
      <w:pPr>
        <w:spacing w:after="30" w:before="3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Style w:val="Heading2"/>
        <w:pBdr>
          <w:bottom w:val="single" w:color="D8E2EC" w:sz="4"/>
        </w:pBdr>
        <w:spacing w:after="100" w:before="280"/>
      </w:pPr>
      <w:r>
        <w:rPr>
          <w:rFonts w:ascii="Arial" w:cs="Arial" w:eastAsia="Arial" w:hAnsi="Arial"/>
          <w:b/>
          <w:bCs/>
          <w:color w:val="2E4A6B"/>
          <w:sz w:val="26"/>
          <w:szCs w:val="26"/>
        </w:rPr>
        <w:t xml:space="preserve">Step 11 — LCOS Matrix (5×5 Grid)</w:t>
      </w:r>
    </w:p>
    <w:p>
      <w:pPr>
        <w:pBdr>
          <w:left w:val="single" w:color="0A6E6E" w:sz="20"/>
        </w:pBdr>
        <w:shd w:fill="F2F5F8" w:val="clear"/>
        <w:spacing w:after="100" w:before="100"/>
        <w:ind w:left="320" w:right="320"/>
      </w:pPr>
      <w:r>
        <w:rPr>
          <w:rFonts w:ascii="Arial" w:cs="Arial" w:eastAsia="Arial" w:hAnsi="Arial"/>
          <w:color w:val="1A2B3C"/>
          <w:sz w:val="19"/>
          <w:szCs w:val="19"/>
        </w:rPr>
        <w:t xml:space="preserve">Input: actual_capacity_kwh, round_trip_efficiency, total_capex, lifetime_opex</w:t>
      </w:r>
    </w:p>
    <w:p>
      <w:pPr>
        <w:spacing w:after="30" w:before="3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dod_levels = [0.70, 0.80, 0.85, 0.90, 0.95]</w:t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cycle_counts = [2000, 3000, 4000, 5000, 6000]</w:t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 each (cycles, dod):</w:t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throughput = actual_capacity_kwh × dod × rte × cycles</w:t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lcos_val   = (total_capex + lifetime_opex) ÷ throughput</w:t>
      </w:r>
    </w:p>
    <w:p>
      <w:pPr>
        <w:spacing w:after="30" w:before="3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Result: lcos_matrix[] — array of 5 rows (one per cycle count), each with a values dict keyed by DoD string.</w:t>
      </w:r>
    </w:p>
    <w:p>
      <w:pPr>
        <w:spacing w:after="30" w:before="3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Style w:val="Heading2"/>
        <w:pBdr>
          <w:bottom w:val="single" w:color="D8E2EC" w:sz="4"/>
        </w:pBdr>
        <w:spacing w:after="100" w:before="280"/>
      </w:pPr>
      <w:r>
        <w:rPr>
          <w:rFonts w:ascii="Arial" w:cs="Arial" w:eastAsia="Arial" w:hAnsi="Arial"/>
          <w:b/>
          <w:bCs/>
          <w:color w:val="2E4A6B"/>
          <w:sz w:val="26"/>
          <w:szCs w:val="26"/>
        </w:rPr>
        <w:t xml:space="preserve">Step 12 — LCOS Comparison (5 Configurations)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Computes LCOS for each configuration using the scenario inputs:</w:t>
      </w:r>
    </w:p>
    <w:p>
      <w:pPr>
        <w:spacing w:after="30" w:before="3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0A6E6E" w:sz="4"/>
              <w:left w:val="single" w:color="0A6E6E" w:sz="4"/>
              <w:bottom w:val="single" w:color="0A6E6E" w:sz="4"/>
              <w:right w:val="single" w:color="0A6E6E" w:sz="4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</w:t>
            </w:r>
          </w:p>
        </w:tc>
        <w:tc>
          <w:tcPr>
            <w:tcW w:type="dxa" w:w="2800"/>
            <w:tcBorders>
              <w:top w:val="single" w:color="0A6E6E" w:sz="4"/>
              <w:left w:val="single" w:color="0A6E6E" w:sz="4"/>
              <w:bottom w:val="single" w:color="0A6E6E" w:sz="4"/>
              <w:right w:val="single" w:color="0A6E6E" w:sz="4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is included</w:t>
            </w:r>
          </w:p>
        </w:tc>
        <w:tc>
          <w:tcPr>
            <w:tcW w:type="dxa" w:w="5560"/>
            <w:tcBorders>
              <w:top w:val="single" w:color="0A6E6E" w:sz="4"/>
              <w:left w:val="single" w:color="0A6E6E" w:sz="4"/>
              <w:bottom w:val="single" w:color="0A6E6E" w:sz="4"/>
              <w:right w:val="single" w:color="0A6E6E" w:sz="4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formula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BESS Only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Battery + inverter + BOM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(total_capex + lifetime_opex) ÷ bess_throughput_kwh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Solar Only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Solar panels + installation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(solar_capex + solar_lifetime_opex) ÷ total_solar_gen_kwh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DG Only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Diesel generator + fuel (NPV escalated)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(dg_capex + fuel_PV + maintenance) ÷ dg_total_gen_kwh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BESS + Solar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Combined CAPEX and OPEX of both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(bess_capex + solar_capex + both_opex) ÷ (bess + solar throughput)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BESS+Solar+DG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All three systems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(all CAPEX + all OPEX + fuel PV) ÷ (all throughput combined)</w:t>
            </w:r>
          </w:p>
        </w:tc>
      </w:tr>
    </w:tbl>
    <w:p>
      <w:pPr>
        <w:spacing w:after="30" w:before="3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DG fuel cost uses Present Value of escalating annuity:</w:t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dg_fuel_PV = annual_fuel_yr1 × [(1 − (1+esc)^life) ÷ (−esc)]  if esc &gt; 0</w:t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= annual_fuel_yr1 × life                              if esc = 0</w:t>
      </w:r>
    </w:p>
    <w:p>
      <w:pPr>
        <w:spacing w:after="30" w:before="3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Style w:val="Heading2"/>
        <w:pBdr>
          <w:bottom w:val="single" w:color="D8E2EC" w:sz="4"/>
        </w:pBdr>
        <w:spacing w:after="100" w:before="280"/>
      </w:pPr>
      <w:r>
        <w:rPr>
          <w:rFonts w:ascii="Arial" w:cs="Arial" w:eastAsia="Arial" w:hAnsi="Arial"/>
          <w:b/>
          <w:bCs/>
          <w:color w:val="2E4A6B"/>
          <w:sz w:val="26"/>
          <w:szCs w:val="26"/>
        </w:rPr>
        <w:t xml:space="preserve">Step 13 — Optimality Checks (6 Pass/Fail)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0A6E6E" w:sz="4"/>
              <w:left w:val="single" w:color="0A6E6E" w:sz="4"/>
              <w:bottom w:val="single" w:color="0A6E6E" w:sz="4"/>
              <w:right w:val="single" w:color="0A6E6E" w:sz="4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3000"/>
            <w:tcBorders>
              <w:top w:val="single" w:color="0A6E6E" w:sz="4"/>
              <w:left w:val="single" w:color="0A6E6E" w:sz="4"/>
              <w:bottom w:val="single" w:color="0A6E6E" w:sz="4"/>
              <w:right w:val="single" w:color="0A6E6E" w:sz="4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Calculation</w:t>
            </w:r>
          </w:p>
        </w:tc>
        <w:tc>
          <w:tcPr>
            <w:tcW w:type="dxa" w:w="4960"/>
            <w:tcBorders>
              <w:top w:val="single" w:color="0A6E6E" w:sz="4"/>
              <w:left w:val="single" w:color="0A6E6E" w:sz="4"/>
              <w:bottom w:val="single" w:color="0A6E6E" w:sz="4"/>
              <w:right w:val="single" w:color="0A6E6E" w:sz="4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condition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LCOS vs Grid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peak_tariff − lcos</w:t>
            </w:r>
          </w:p>
        </w:tc>
        <w:tc>
          <w:tcPr>
            <w:tcW w:type="dxa" w:w="4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Value &gt; 0 (LCOS cheaper than grid)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Payback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simple_payback_years</w:t>
            </w:r>
          </w:p>
        </w:tc>
        <w:tc>
          <w:tcPr>
            <w:tcW w:type="dxa" w:w="4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 5 years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10-yr Net Return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net_10yr_after_capex</w:t>
            </w:r>
          </w:p>
        </w:tc>
        <w:tc>
          <w:tcPr>
            <w:tcW w:type="dxa" w:w="4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&gt; 0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DoD Range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dod_pct × 100</w:t>
            </w:r>
          </w:p>
        </w:tc>
        <w:tc>
          <w:tcPr>
            <w:tcW w:type="dxa" w:w="4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Between 80% and 95%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Cost per kWh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cost_per_kwh</w:t>
            </w:r>
          </w:p>
        </w:tc>
        <w:tc>
          <w:tcPr>
            <w:tcW w:type="dxa" w:w="4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 ₹13,500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Modules Valid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modules_required</w:t>
            </w:r>
          </w:p>
        </w:tc>
        <w:tc>
          <w:tcPr>
            <w:tcW w:type="dxa" w:w="4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≥ 1</w:t>
            </w:r>
          </w:p>
        </w:tc>
      </w:tr>
    </w:tbl>
    <w:p>
      <w:pPr>
        <w:spacing w:after="30" w:before="3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Bdr>
          <w:bottom w:val="single" w:color="D8E2EC" w:sz="4"/>
        </w:pBd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Style w:val="Heading1"/>
        <w:pBdr>
          <w:bottom w:val="single" w:color="0A6E6E" w:sz="10"/>
        </w:pBdr>
        <w:spacing w:after="140" w:before="400"/>
      </w:pPr>
      <w:r>
        <w:rPr>
          <w:rFonts w:ascii="Arial" w:cs="Arial" w:eastAsia="Arial" w:hAnsi="Arial"/>
          <w:b/>
          <w:bCs/>
          <w:color w:val="1A2B3C"/>
          <w:sz w:val="34"/>
          <w:szCs w:val="34"/>
        </w:rPr>
        <w:t xml:space="preserve">4.  Frontend Page Logic</w:t>
      </w:r>
    </w:p>
    <w:p>
      <w:pPr>
        <w:pStyle w:val="Heading2"/>
        <w:pBdr>
          <w:bottom w:val="single" w:color="D8E2EC" w:sz="4"/>
        </w:pBdr>
        <w:spacing w:after="100" w:before="280"/>
      </w:pPr>
      <w:r>
        <w:rPr>
          <w:rFonts w:ascii="Arial" w:cs="Arial" w:eastAsia="Arial" w:hAnsi="Arial"/>
          <w:b/>
          <w:bCs/>
          <w:color w:val="2E4A6B"/>
          <w:sz w:val="26"/>
          <w:szCs w:val="26"/>
        </w:rPr>
        <w:t xml:space="preserve">4.1  ProjectList.jsx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Responsibilities: display project cards, create new project, delete project.</w:t>
      </w:r>
    </w:p>
    <w:p>
      <w:pPr>
        <w:spacing w:after="30" w:before="3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0A6E6E"/>
          <w:sz w:val="20"/>
          <w:szCs w:val="20"/>
        </w:rPr>
        <w:t xml:space="preserve">On mount → calls getProjects() → renders cards from state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0A6E6E"/>
          <w:sz w:val="20"/>
          <w:szCs w:val="20"/>
        </w:rPr>
        <w:t xml:space="preserve">New project form → calls createProject({name, description}) → navigates to /projects/{id}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0A6E6E"/>
          <w:sz w:val="20"/>
          <w:szCs w:val="20"/>
        </w:rPr>
        <w:t xml:space="preserve">Delete button → calls deleteProject(id) → reloads list</w:t>
      </w:r>
    </w:p>
    <w:p>
      <w:pPr>
        <w:spacing w:after="30" w:before="3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Style w:val="Heading2"/>
        <w:pBdr>
          <w:bottom w:val="single" w:color="D8E2EC" w:sz="4"/>
        </w:pBdr>
        <w:spacing w:after="100" w:before="280"/>
      </w:pPr>
      <w:r>
        <w:rPr>
          <w:rFonts w:ascii="Arial" w:cs="Arial" w:eastAsia="Arial" w:hAnsi="Arial"/>
          <w:b/>
          <w:bCs/>
          <w:color w:val="2E4A6B"/>
          <w:sz w:val="26"/>
          <w:szCs w:val="26"/>
        </w:rPr>
        <w:t xml:space="preserve">4.2  ProjectDetail.jsx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Responsibilities: show all scenarios for a project, side-by-side comparison if &gt;1 scenario.</w:t>
      </w:r>
    </w:p>
    <w:p>
      <w:pPr>
        <w:spacing w:after="30" w:before="3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0A6E6E"/>
          <w:sz w:val="20"/>
          <w:szCs w:val="20"/>
        </w:rPr>
        <w:t xml:space="preserve">On mount → calls getProject(projectId) AND compareScenarios(projectId) in parallel (Promise.all)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0A6E6E"/>
          <w:sz w:val="20"/>
          <w:szCs w:val="20"/>
        </w:rPr>
        <w:t xml:space="preserve">Renders comparison table only if comparison.length &gt; 1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0A6E6E"/>
          <w:sz w:val="20"/>
          <w:szCs w:val="20"/>
        </w:rPr>
        <w:t xml:space="preserve">Each scenario card shows 4 mini-KPIs from scenario.results (loaded from DB, no recalc)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0A6E6E"/>
          <w:sz w:val="20"/>
          <w:szCs w:val="20"/>
        </w:rPr>
        <w:t xml:space="preserve">Edit icon → navigates to /projects/{pid}/scenarios/{sid}/edit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0A6E6E"/>
          <w:sz w:val="20"/>
          <w:szCs w:val="20"/>
        </w:rPr>
        <w:t xml:space="preserve">Delete icon → calls deleteScenario(projectId, sid) → reloads project</w:t>
      </w:r>
    </w:p>
    <w:p>
      <w:pPr>
        <w:spacing w:after="30" w:before="3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Style w:val="Heading2"/>
        <w:pBdr>
          <w:bottom w:val="single" w:color="D8E2EC" w:sz="4"/>
        </w:pBdr>
        <w:spacing w:after="100" w:before="280"/>
      </w:pPr>
      <w:r>
        <w:rPr>
          <w:rFonts w:ascii="Arial" w:cs="Arial" w:eastAsia="Arial" w:hAnsi="Arial"/>
          <w:b/>
          <w:bCs/>
          <w:color w:val="2E4A6B"/>
          <w:sz w:val="26"/>
          <w:szCs w:val="26"/>
        </w:rPr>
        <w:t xml:space="preserve">4.3  ScenarioEditor.jsx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Responsibilities: collect all inputs, allow BOM price editing, submit to backend.</w:t>
      </w:r>
    </w:p>
    <w:p>
      <w:pPr>
        <w:spacing w:after="30" w:before="3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Two tabs: Inputs (sections A–G) and BOM &amp; Pricing.</w:t>
      </w:r>
    </w:p>
    <w:p>
      <w:pPr>
        <w:spacing w:after="30" w:before="3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0A6E6E"/>
          <w:sz w:val="20"/>
          <w:szCs w:val="20"/>
        </w:rPr>
        <w:t xml:space="preserve">Mount (new scenario) → calls getDefaultBOM() to pre-populate BOM tab with 63 items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0A6E6E"/>
          <w:sz w:val="20"/>
          <w:szCs w:val="20"/>
        </w:rPr>
        <w:t xml:space="preserve">Mount (edit) → calls getScenario() → spreads response into form state + bom state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0A6E6E"/>
          <w:sz w:val="20"/>
          <w:szCs w:val="20"/>
        </w:rPr>
        <w:t xml:space="preserve">onChange handler → updates form[name] = parseFloat(value) for number inputs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0A6E6E"/>
          <w:sz w:val="20"/>
          <w:szCs w:val="20"/>
        </w:rPr>
        <w:t xml:space="preserve">BOM price edit → updates bom[idx].unit_price in array copy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0A6E6E"/>
          <w:sz w:val="20"/>
          <w:szCs w:val="20"/>
        </w:rPr>
        <w:t xml:space="preserve">Save → builds payload {…form, bom_items: bom} → calls createScenario or updateScenario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0A6E6E"/>
          <w:sz w:val="20"/>
          <w:szCs w:val="20"/>
        </w:rPr>
        <w:t xml:space="preserve">On success → navigates to /projects/{pid}/scenarios/{sid} (results page)</w:t>
      </w:r>
    </w:p>
    <w:p>
      <w:pPr>
        <w:spacing w:after="30" w:before="3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Bdr>
          <w:left w:val="single" w:color="E6A800" w:sz="20"/>
        </w:pBdr>
        <w:shd w:fill="FFF3CD" w:val="clear"/>
        <w:spacing w:after="100" w:before="100"/>
        <w:ind w:left="320" w:right="320"/>
      </w:pPr>
      <w:r>
        <w:rPr>
          <w:rFonts w:ascii="Arial" w:cs="Arial" w:eastAsia="Arial" w:hAnsi="Arial"/>
          <w:color w:val="7A4A00"/>
          <w:sz w:val="19"/>
          <w:szCs w:val="19"/>
        </w:rPr>
        <w:t xml:space="preserve">The BOM tab shows a live line total (qty × unit_price) and grand total as user edits prices. This is the ONLY calculation the frontend does — it is purely cosmetic and is not used by the backend.</w:t>
      </w:r>
    </w:p>
    <w:p>
      <w:pPr>
        <w:spacing w:after="30" w:before="3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Style w:val="Heading2"/>
        <w:pBdr>
          <w:bottom w:val="single" w:color="D8E2EC" w:sz="4"/>
        </w:pBdr>
        <w:spacing w:after="100" w:before="280"/>
      </w:pPr>
      <w:r>
        <w:rPr>
          <w:rFonts w:ascii="Arial" w:cs="Arial" w:eastAsia="Arial" w:hAnsi="Arial"/>
          <w:b/>
          <w:bCs/>
          <w:color w:val="2E4A6B"/>
          <w:sz w:val="26"/>
          <w:szCs w:val="26"/>
        </w:rPr>
        <w:t xml:space="preserve">4.4  ScenarioResults.jsx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Responsibilities: display all calculation outputs across 5 tabs.</w:t>
      </w:r>
    </w:p>
    <w:p>
      <w:pPr>
        <w:spacing w:after="30" w:before="3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0A6E6E"/>
          <w:sz w:val="20"/>
          <w:szCs w:val="20"/>
        </w:rPr>
        <w:t xml:space="preserve">On mount → calls getScenario() once → all data comes from scenario.results JSON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0A6E6E"/>
          <w:sz w:val="20"/>
          <w:szCs w:val="20"/>
        </w:rPr>
        <w:t xml:space="preserve">Excel export → calls exportExcel(projectId, scenarioId) with responseType: 'blob' → creates download link</w:t>
      </w:r>
    </w:p>
    <w:p>
      <w:pPr>
        <w:spacing w:after="30" w:before="3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5760"/>
      </w:tblGrid>
      <w:tr>
        <w:trPr>
          <w:tblHeader/>
        </w:trPr>
        <w:tc>
          <w:tcPr>
            <w:tcW w:type="dxa" w:w="1400"/>
            <w:tcBorders>
              <w:top w:val="single" w:color="0A6E6E" w:sz="4"/>
              <w:left w:val="single" w:color="0A6E6E" w:sz="4"/>
              <w:bottom w:val="single" w:color="0A6E6E" w:sz="4"/>
              <w:right w:val="single" w:color="0A6E6E" w:sz="4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</w:t>
            </w:r>
          </w:p>
        </w:tc>
        <w:tc>
          <w:tcPr>
            <w:tcW w:type="dxa" w:w="3200"/>
            <w:tcBorders>
              <w:top w:val="single" w:color="0A6E6E" w:sz="4"/>
              <w:left w:val="single" w:color="0A6E6E" w:sz="4"/>
              <w:bottom w:val="single" w:color="0A6E6E" w:sz="4"/>
              <w:right w:val="single" w:color="0A6E6E" w:sz="4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shows</w:t>
            </w:r>
          </w:p>
        </w:tc>
        <w:tc>
          <w:tcPr>
            <w:tcW w:type="dxa" w:w="5760"/>
            <w:tcBorders>
              <w:top w:val="single" w:color="0A6E6E" w:sz="4"/>
              <w:left w:val="single" w:color="0A6E6E" w:sz="4"/>
              <w:bottom w:val="single" w:color="0A6E6E" w:sz="4"/>
              <w:right w:val="single" w:color="0A6E6E" w:sz="4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data source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Overview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6 KPI tiles, CAPEX breakdown, savings bar chart, 6 optimality tiles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results.total_capex, results.optimality, results.total_annual_savings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Cash Flow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Line chart (flat vs deg cumulative), year-by-year detail table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results.cashflow_flat, results.cashflow_deg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Sensitivity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6×6 payback heatmap, green/amber/red colour coding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results.sensitivity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LCOS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5-config comparison table, 5×5 LCOS matrix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results.lcos_comparison, results.lcos_matrix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BOM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Full BOM line items table with totals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scenario.bom_items (separate field, not in results)</w:t>
            </w:r>
          </w:p>
        </w:tc>
      </w:tr>
    </w:tbl>
    <w:p>
      <w:pPr>
        <w:spacing w:after="30" w:before="3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Bdr>
          <w:bottom w:val="single" w:color="D8E2EC" w:sz="4"/>
        </w:pBd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Style w:val="Heading1"/>
        <w:pBdr>
          <w:bottom w:val="single" w:color="0A6E6E" w:sz="10"/>
        </w:pBdr>
        <w:spacing w:after="140" w:before="400"/>
      </w:pPr>
      <w:r>
        <w:rPr>
          <w:rFonts w:ascii="Arial" w:cs="Arial" w:eastAsia="Arial" w:hAnsi="Arial"/>
          <w:b/>
          <w:bCs/>
          <w:color w:val="1A2B3C"/>
          <w:sz w:val="34"/>
          <w:szCs w:val="34"/>
        </w:rPr>
        <w:t xml:space="preserve">5.  API Request/Response Shapes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These are the exact JSON shapes the frontend sends and expects. Any backend change must preserve these shapes.</w:t>
      </w:r>
    </w:p>
    <w:p>
      <w:pPr>
        <w:spacing w:after="30" w:before="3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Style w:val="Heading2"/>
        <w:pBdr>
          <w:bottom w:val="single" w:color="D8E2EC" w:sz="4"/>
        </w:pBdr>
        <w:spacing w:after="100" w:before="280"/>
      </w:pPr>
      <w:r>
        <w:rPr>
          <w:rFonts w:ascii="Arial" w:cs="Arial" w:eastAsia="Arial" w:hAnsi="Arial"/>
          <w:b/>
          <w:bCs/>
          <w:color w:val="2E4A6B"/>
          <w:sz w:val="26"/>
          <w:szCs w:val="26"/>
        </w:rPr>
        <w:t xml:space="preserve">5.1  POST /projects/{pid}/scenarios — Request Body</w:t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"name": "Mumbai EV Hub",</w:t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"peak_demand_kw": 400,</w:t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"daily_energy_kwh": 350,</w:t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"num_sites": 1,</w:t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"backup_hours": 2.0,</w:t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"peak_tariff": 12.0,</w:t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"offpeak_tariff": 6.0,</w:t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"cycles_per_day": 2.0,</w:t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"project_life_years": 12,</w:t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"dod_pct": 0.85,</w:t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"module_capacity_kwh": 52.25,</w:t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"round_trip_efficiency": 0.90,</w:t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"monthly_md_saving": 150000,</w:t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"dg_displacement_saving": 50000,</w:t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...all other fields with defaults...</w:t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"bom_items": [</w:t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{"bom_number":1,"category":"Battery System","description":"Battery Module","qty":19,"unit":"system","unit_price":520000},</w:t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...63 total items...</w:t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]</w:t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30" w:before="3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Style w:val="Heading2"/>
        <w:pBdr>
          <w:bottom w:val="single" w:color="D8E2EC" w:sz="4"/>
        </w:pBdr>
        <w:spacing w:after="100" w:before="280"/>
      </w:pPr>
      <w:r>
        <w:rPr>
          <w:rFonts w:ascii="Arial" w:cs="Arial" w:eastAsia="Arial" w:hAnsi="Arial"/>
          <w:b/>
          <w:bCs/>
          <w:color w:val="2E4A6B"/>
          <w:sz w:val="26"/>
          <w:szCs w:val="26"/>
        </w:rPr>
        <w:t xml:space="preserve">5.2  ScenarioOut Response (GET/POST/PUT)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Every scenario response includes the full results JSON:</w:t>
      </w:r>
    </w:p>
    <w:p>
      <w:pPr>
        <w:spacing w:after="30" w:before="3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"id": 1,</w:t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"project_id": 1,</w:t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"name": "Mumbai EV Hub",</w:t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"peak_demand_kw": 400,</w:t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...all input fields...</w:t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"results": {</w:t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"modules_required": 19,</w:t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"actual_capacity_kwh": 992.75,</w:t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"total_capex": 13957317,</w:t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"lcos": 2.62,</w:t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"simple_payback_years": 4.33,</w:t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"cashflow_flat": [{year:1, net_benefit:3224058, cumulative:-10733259}, ...],</w:t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"cashflow_deg": [{year:1, soh_pct:98.0, usable_kwh:972.9, ...}, ...],</w:t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"sensitivity": [{tariff:8, values:{"0.8":4.0, "0.9":4.5, ...}}, ...],</w:t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"lcos_matrix": [{cycles:2000, values:{"0.7":18.48, ...}}, ...],</w:t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"lcos_comparison": [{config:"BESS Only", simple_lcos:2.62, ...}, ...],</w:t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"optimality": {lcos_vs_grid:{value:9.38, benchmark:12, pass:true}, ...}</w:t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},</w:t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"bom_items": [{"id":1,"scenario_id":1,"bom_number":1,...}, ...]</w:t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30" w:before="3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Style w:val="Heading2"/>
        <w:pBdr>
          <w:bottom w:val="single" w:color="D8E2EC" w:sz="4"/>
        </w:pBdr>
        <w:spacing w:after="100" w:before="280"/>
      </w:pPr>
      <w:r>
        <w:rPr>
          <w:rFonts w:ascii="Arial" w:cs="Arial" w:eastAsia="Arial" w:hAnsi="Arial"/>
          <w:b/>
          <w:bCs/>
          <w:color w:val="2E4A6B"/>
          <w:sz w:val="26"/>
          <w:szCs w:val="26"/>
        </w:rPr>
        <w:t xml:space="preserve">5.3  GET /projects/{pid}/compare Response</w:t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</w:t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{id:1, name:"Scenario A", total_capex:13957317, simple_payback_years:4.33,</w:t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lcos:2.62, roi_10yr_pct:130.99, actual_capacity_kwh:992.75, total_annual_savings:3513204},</w:t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{id:2, name:"Scenario B", ...}</w:t>
      </w:r>
    </w:p>
    <w:p>
      <w:pPr>
        <w:shd w:fill="E8EEF4" w:val="clear"/>
        <w:spacing w:after="40" w:before="40"/>
        <w:ind w:left="360" w:right="1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]</w:t>
      </w:r>
    </w:p>
    <w:p>
      <w:pPr>
        <w:spacing w:after="30" w:before="3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Bdr>
          <w:bottom w:val="single" w:color="D8E2EC" w:sz="4"/>
        </w:pBd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Style w:val="Heading1"/>
        <w:pBdr>
          <w:bottom w:val="single" w:color="0A6E6E" w:sz="10"/>
        </w:pBdr>
        <w:spacing w:after="140" w:before="400"/>
      </w:pPr>
      <w:r>
        <w:rPr>
          <w:rFonts w:ascii="Arial" w:cs="Arial" w:eastAsia="Arial" w:hAnsi="Arial"/>
          <w:b/>
          <w:bCs/>
          <w:color w:val="1A2B3C"/>
          <w:sz w:val="34"/>
          <w:szCs w:val="34"/>
        </w:rPr>
        <w:t xml:space="preserve">6.  State Management in Frontend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There is no global state manager (no Redux, no Zustand). Each page manages its own local state with useState and useEffect. Data flows down via props only when a parent renders a child directly.</w:t>
      </w:r>
    </w:p>
    <w:p>
      <w:pPr>
        <w:spacing w:after="30" w:before="3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5000"/>
      </w:tblGrid>
      <w:tr>
        <w:trPr>
          <w:tblHeader/>
        </w:trPr>
        <w:tc>
          <w:tcPr>
            <w:tcW w:type="dxa" w:w="2200"/>
            <w:tcBorders>
              <w:top w:val="single" w:color="0A6E6E" w:sz="4"/>
              <w:left w:val="single" w:color="0A6E6E" w:sz="4"/>
              <w:bottom w:val="single" w:color="0A6E6E" w:sz="4"/>
              <w:right w:val="single" w:color="0A6E6E" w:sz="4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3200"/>
            <w:tcBorders>
              <w:top w:val="single" w:color="0A6E6E" w:sz="4"/>
              <w:left w:val="single" w:color="0A6E6E" w:sz="4"/>
              <w:bottom w:val="single" w:color="0A6E6E" w:sz="4"/>
              <w:right w:val="single" w:color="0A6E6E" w:sz="4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state variables</w:t>
            </w:r>
          </w:p>
        </w:tc>
        <w:tc>
          <w:tcPr>
            <w:tcW w:type="dxa" w:w="5000"/>
            <w:tcBorders>
              <w:top w:val="single" w:color="0A6E6E" w:sz="4"/>
              <w:left w:val="single" w:color="0A6E6E" w:sz="4"/>
              <w:bottom w:val="single" w:color="0A6E6E" w:sz="4"/>
              <w:right w:val="single" w:color="0A6E6E" w:sz="4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Triggers re-render when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ProjectList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projects[], loading, showNew, form{}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getProjects() resolves, form field changes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ProjectDetail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project{}, comparison[], loading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getProject() + compareScenarios() resolve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ScenarioEditor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form{}, bom[], loading, saving, activeTab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Any input onChange, tab click, save completes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ScenarioResults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scenario{}, loading, tab, exporting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getScenario() resolves, tab click, export done</w:t>
            </w:r>
          </w:p>
        </w:tc>
      </w:tr>
    </w:tbl>
    <w:p>
      <w:pPr>
        <w:spacing w:after="30" w:before="3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Bdr>
          <w:bottom w:val="single" w:color="D8E2EC" w:sz="4"/>
        </w:pBd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Style w:val="Heading1"/>
        <w:pBdr>
          <w:bottom w:val="single" w:color="0A6E6E" w:sz="10"/>
        </w:pBdr>
        <w:spacing w:after="140" w:before="400"/>
      </w:pPr>
      <w:r>
        <w:rPr>
          <w:rFonts w:ascii="Arial" w:cs="Arial" w:eastAsia="Arial" w:hAnsi="Arial"/>
          <w:b/>
          <w:bCs/>
          <w:color w:val="1A2B3C"/>
          <w:sz w:val="34"/>
          <w:szCs w:val="34"/>
        </w:rPr>
        <w:t xml:space="preserve">7.  Excel Export Flow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The Excel export is generated server-side and streamed as a binary download. It does NOT recalculate — it reads from scenario.results already stored in the database.</w:t>
      </w:r>
    </w:p>
    <w:p>
      <w:pPr>
        <w:spacing w:after="30" w:before="3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0A6E6E"/>
          <w:sz w:val="20"/>
          <w:szCs w:val="20"/>
        </w:rPr>
        <w:t xml:space="preserve">User clicks Export Excel button in ScenarioResults.jsx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0A6E6E"/>
          <w:sz w:val="20"/>
          <w:szCs w:val="20"/>
        </w:rPr>
        <w:t xml:space="preserve">Frontend calls exportExcel(projectId, scenarioId) with axios responseType: 'blob'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0A6E6E"/>
          <w:sz w:val="20"/>
          <w:szCs w:val="20"/>
        </w:rPr>
        <w:t xml:space="preserve">Backend GET /export/excel route reads scenario from DB, checks results exist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0A6E6E"/>
          <w:sz w:val="20"/>
          <w:szCs w:val="20"/>
        </w:rPr>
        <w:t xml:space="preserve">Calls generate_excel(scenario, scenario.results) from excel_export.py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0A6E6E"/>
          <w:sz w:val="20"/>
          <w:szCs w:val="20"/>
        </w:rPr>
        <w:t xml:space="preserve">openpyxl builds a 4-sheet workbook (Summary, Cash Flow, Sensitivity, LCOS Comparison)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0A6E6E"/>
          <w:sz w:val="20"/>
          <w:szCs w:val="20"/>
        </w:rPr>
        <w:t xml:space="preserve">Route returns StreamingResponse with application/vnd.openxmlformats-officedocument.spreadsheetml.sheet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0A6E6E"/>
          <w:sz w:val="20"/>
          <w:szCs w:val="20"/>
        </w:rPr>
        <w:t xml:space="preserve">Frontend creates a temporary object URL and triggers &lt;a&gt; click to download</w:t>
      </w:r>
    </w:p>
    <w:p>
      <w:pPr>
        <w:spacing w:after="30" w:before="3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Excel sheets generated: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5000"/>
      </w:tblGrid>
      <w:tr>
        <w:trPr>
          <w:tblHeader/>
        </w:trPr>
        <w:tc>
          <w:tcPr>
            <w:tcW w:type="dxa" w:w="1800"/>
            <w:tcBorders>
              <w:top w:val="single" w:color="0A6E6E" w:sz="4"/>
              <w:left w:val="single" w:color="0A6E6E" w:sz="4"/>
              <w:bottom w:val="single" w:color="0A6E6E" w:sz="4"/>
              <w:right w:val="single" w:color="0A6E6E" w:sz="4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Sheet</w:t>
            </w:r>
          </w:p>
        </w:tc>
        <w:tc>
          <w:tcPr>
            <w:tcW w:type="dxa" w:w="3600"/>
            <w:tcBorders>
              <w:top w:val="single" w:color="0A6E6E" w:sz="4"/>
              <w:left w:val="single" w:color="0A6E6E" w:sz="4"/>
              <w:bottom w:val="single" w:color="0A6E6E" w:sz="4"/>
              <w:right w:val="single" w:color="0A6E6E" w:sz="4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dxa" w:w="5000"/>
            <w:tcBorders>
              <w:top w:val="single" w:color="0A6E6E" w:sz="4"/>
              <w:left w:val="single" w:color="0A6E6E" w:sz="4"/>
              <w:bottom w:val="single" w:color="0A6E6E" w:sz="4"/>
              <w:right w:val="single" w:color="0A6E6E" w:sz="4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data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Summary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CAPEX, OPEX, LCOS, savings, ROI in a formatted table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results keys: total_capex, annual_opex, lcos, etc.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Cash Flow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Year-by-year table with flat + degradation columns, colour-coded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results.cashflow_flat + cashflow_deg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Sensitivity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6×6 payback heatmap (green/yellow/red cells)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results.sensitivity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LCOS Comparison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5-row comparison table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results.lcos_comparison</w:t>
            </w:r>
          </w:p>
        </w:tc>
      </w:tr>
    </w:tbl>
    <w:p>
      <w:pPr>
        <w:spacing w:after="30" w:before="3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Bdr>
          <w:bottom w:val="single" w:color="D8E2EC" w:sz="4"/>
        </w:pBd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Style w:val="Heading1"/>
        <w:pBdr>
          <w:bottom w:val="single" w:color="0A6E6E" w:sz="10"/>
        </w:pBdr>
        <w:spacing w:after="140" w:before="400"/>
      </w:pPr>
      <w:r>
        <w:rPr>
          <w:rFonts w:ascii="Arial" w:cs="Arial" w:eastAsia="Arial" w:hAnsi="Arial"/>
          <w:b/>
          <w:bCs/>
          <w:color w:val="1A2B3C"/>
          <w:sz w:val="34"/>
          <w:szCs w:val="34"/>
        </w:rPr>
        <w:t xml:space="preserve">8.  Making Changes — Decision Tree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Use this decision tree before touching any file:</w:t>
      </w:r>
    </w:p>
    <w:p>
      <w:pPr>
        <w:spacing w:after="30" w:before="3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A6E6E"/>
          <w:sz w:val="22"/>
          <w:szCs w:val="22"/>
        </w:rPr>
        <w:t xml:space="preserve">I want to add a new input field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models.py → add Column to Scenario class with default value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schemas.py → add field to ScenarioBase with Field() and default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ScenarioEditor.jsx → add &lt;F /&gt; component in correct Section, add to DEFAULT_FORM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calculations.py → use scenario.new_field in the relevant calculation step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Restart backend: docker compose restart backend</w:t>
      </w:r>
    </w:p>
    <w:p>
      <w:pPr>
        <w:spacing w:after="30" w:before="3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A6E6E"/>
          <w:sz w:val="22"/>
          <w:szCs w:val="22"/>
        </w:rPr>
        <w:t xml:space="preserve">I want to add a new calculated output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calculations.py → compute the value, add to the return dict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ScenarioResults.jsx → add to the relevant tab (new KPI, table row, or card)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excel_export.py → add a row to the Summary sheet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If it should appear on scenario cards → add to ProjectDetail.jsx scenario card</w:t>
      </w:r>
    </w:p>
    <w:p>
      <w:pPr>
        <w:spacing w:after="30" w:before="3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A6E6E"/>
          <w:sz w:val="22"/>
          <w:szCs w:val="22"/>
        </w:rPr>
        <w:t xml:space="preserve">I want to change a calculation formula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Edit only calculations.py — specifically the calculate() function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Run docker compose restart backend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Existing saved scenarios will NOT update — they keep old results in DB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Call PUT /projects/{pid}/scenarios/{sid} or POST .../recalculate to refresh a scenario</w:t>
      </w:r>
    </w:p>
    <w:p>
      <w:pPr>
        <w:spacing w:after="30" w:before="3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A6E6E"/>
          <w:sz w:val="22"/>
          <w:szCs w:val="22"/>
        </w:rPr>
        <w:t xml:space="preserve">I want to add a new BOM component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Add a tuple to DEFAULT_BOM list in calculations.py: (num, category, desc, qty, unit, spec, price)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New scenarios will include it automatically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Existing scenarios are NOT affected (their bom_items are already in DB)</w:t>
      </w:r>
    </w:p>
    <w:p>
      <w:pPr>
        <w:spacing w:after="30" w:before="3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A6E6E"/>
          <w:sz w:val="22"/>
          <w:szCs w:val="22"/>
        </w:rPr>
        <w:t xml:space="preserve">I want to add a new API endpoint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Add route function to main.py with response_model type annotation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Add exported async function to frontend/src/api.js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If new response shape needed — add/update schema in schemas.py</w:t>
      </w:r>
    </w:p>
    <w:p>
      <w:pPr>
        <w:spacing w:after="30" w:before="3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A6E6E"/>
          <w:sz w:val="22"/>
          <w:szCs w:val="22"/>
        </w:rPr>
        <w:t xml:space="preserve">I want to change the UI look of a results tab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Edit the relevant tab block in ScenarioResults.jsx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Use only recharts for new charts (LineChart, BarChart, etc.)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Use C.* for colours — never hardcode hex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Use inr(), pct(), num() from ui.jsx for number formatting</w:t>
      </w:r>
    </w:p>
    <w:p>
      <w:pPr>
        <w:spacing w:after="30" w:before="3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Bdr>
          <w:bottom w:val="single" w:color="D8E2EC" w:sz="4"/>
        </w:pBd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Style w:val="Heading1"/>
        <w:pBdr>
          <w:bottom w:val="single" w:color="0A6E6E" w:sz="10"/>
        </w:pBdr>
        <w:spacing w:after="140" w:before="400"/>
      </w:pPr>
      <w:r>
        <w:rPr>
          <w:rFonts w:ascii="Arial" w:cs="Arial" w:eastAsia="Arial" w:hAnsi="Arial"/>
          <w:b/>
          <w:bCs/>
          <w:color w:val="1A2B3C"/>
          <w:sz w:val="34"/>
          <w:szCs w:val="34"/>
        </w:rPr>
        <w:t xml:space="preserve">9.  Error Handling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5200"/>
      </w:tblGrid>
      <w:tr>
        <w:trPr>
          <w:tblHeader/>
        </w:trPr>
        <w:tc>
          <w:tcPr>
            <w:tcW w:type="dxa" w:w="2400"/>
            <w:tcBorders>
              <w:top w:val="single" w:color="0A6E6E" w:sz="4"/>
              <w:left w:val="single" w:color="0A6E6E" w:sz="4"/>
              <w:bottom w:val="single" w:color="0A6E6E" w:sz="4"/>
              <w:right w:val="single" w:color="0A6E6E" w:sz="4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800"/>
            <w:tcBorders>
              <w:top w:val="single" w:color="0A6E6E" w:sz="4"/>
              <w:left w:val="single" w:color="0A6E6E" w:sz="4"/>
              <w:bottom w:val="single" w:color="0A6E6E" w:sz="4"/>
              <w:right w:val="single" w:color="0A6E6E" w:sz="4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handled</w:t>
            </w:r>
          </w:p>
        </w:tc>
        <w:tc>
          <w:tcPr>
            <w:tcW w:type="dxa" w:w="5200"/>
            <w:tcBorders>
              <w:top w:val="single" w:color="0A6E6E" w:sz="4"/>
              <w:left w:val="single" w:color="0A6E6E" w:sz="4"/>
              <w:bottom w:val="single" w:color="0A6E6E" w:sz="4"/>
              <w:right w:val="single" w:color="0A6E6E" w:sz="4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API call fails (network error)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ScenarioEditor.jsx onSubmit try/catch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alert() with error message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Scenario has no results yet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ScenarioResults.jsx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 = scenario.results || {} prevents crash; UI shows '—'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Excel export — no results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main.py /export/excel route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Returns HTTP 400 with detail message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Project not found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main.py all project routes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Returns HTTP 404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Scenario not found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main.py all scenario routes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Returns HTTP 404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Invalid input (validation)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Pydantic schemas in schemas.py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FastAPI returns HTTP 422 with field errors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DB connection fails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database.py get_db()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SQLAlchemy raises OperationalError — FastAPI returns 500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Division by zero in calc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calculations.py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Guard: use 'if denominator else 0' pattern throughout</w:t>
            </w:r>
          </w:p>
        </w:tc>
      </w:tr>
    </w:tbl>
    <w:p>
      <w:pPr>
        <w:spacing w:after="30" w:before="3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Bdr>
          <w:bottom w:val="single" w:color="D8E2EC" w:sz="4"/>
        </w:pBd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Style w:val="Heading1"/>
        <w:pBdr>
          <w:bottom w:val="single" w:color="0A6E6E" w:sz="10"/>
        </w:pBdr>
        <w:spacing w:after="140" w:before="400"/>
      </w:pPr>
      <w:r>
        <w:rPr>
          <w:rFonts w:ascii="Arial" w:cs="Arial" w:eastAsia="Arial" w:hAnsi="Arial"/>
          <w:b/>
          <w:bCs/>
          <w:color w:val="1A2B3C"/>
          <w:sz w:val="34"/>
          <w:szCs w:val="34"/>
        </w:rPr>
        <w:t xml:space="preserve">10.  Startup Sequence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When docker compose up --build runs:</w:t>
      </w:r>
    </w:p>
    <w:p>
      <w:pPr>
        <w:spacing w:after="30" w:before="3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shd w:fill="1A2B3C" w:val="clear"/>
        <w:spacing w:after="0" w:before="120"/>
        <w:ind w:left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1  </w:t>
      </w:r>
      <w:r>
        <w:rPr>
          <w:rFonts w:ascii="Arial" w:cs="Arial" w:eastAsia="Arial" w:hAnsi="Arial"/>
          <w:b/>
          <w:bCs/>
          <w:color w:val="1A2B3C"/>
          <w:sz w:val="22"/>
          <w:szCs w:val="22"/>
        </w:rPr>
        <w:t xml:space="preserve">  PostgreSQL starts</w:t>
      </w:r>
    </w:p>
    <w:p>
      <w:pPr>
        <w:pBdr>
          <w:left w:val="single" w:color="0A6E6E" w:sz="16"/>
        </w:pBdr>
        <w:shd w:fill="E8F4F8" w:val="clear"/>
        <w:spacing w:after="120" w:before="0"/>
        <w:ind w:left="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postgres:16 container starts. Health check (pg_isready) runs every 5s. Backend waits for healthy status.</w:t>
      </w:r>
    </w:p>
    <w:p>
      <w:pPr>
        <w:shd w:fill="1A2B3C" w:val="clear"/>
        <w:spacing w:after="0" w:before="120"/>
        <w:ind w:left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2  </w:t>
      </w:r>
      <w:r>
        <w:rPr>
          <w:rFonts w:ascii="Arial" w:cs="Arial" w:eastAsia="Arial" w:hAnsi="Arial"/>
          <w:b/>
          <w:bCs/>
          <w:color w:val="1A2B3C"/>
          <w:sz w:val="22"/>
          <w:szCs w:val="22"/>
        </w:rPr>
        <w:t xml:space="preserve">  Backend starts (after DB healthy)</w:t>
      </w:r>
    </w:p>
    <w:p>
      <w:pPr>
        <w:pBdr>
          <w:left w:val="single" w:color="0A6E6E" w:sz="16"/>
        </w:pBdr>
        <w:shd w:fill="E8F8EE" w:val="clear"/>
        <w:spacing w:after="120" w:before="0"/>
        <w:ind w:left="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uvicorn launches main.py. on_startup() event fires → calls init_db() → SQLAlchemy runs Base.metadata.create_all() → creates tables if they do not exist.</w:t>
      </w:r>
    </w:p>
    <w:p>
      <w:pPr>
        <w:shd w:fill="1A2B3C" w:val="clear"/>
        <w:spacing w:after="0" w:before="120"/>
        <w:ind w:left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3  </w:t>
      </w:r>
      <w:r>
        <w:rPr>
          <w:rFonts w:ascii="Arial" w:cs="Arial" w:eastAsia="Arial" w:hAnsi="Arial"/>
          <w:b/>
          <w:bCs/>
          <w:color w:val="1A2B3C"/>
          <w:sz w:val="22"/>
          <w:szCs w:val="22"/>
        </w:rPr>
        <w:t xml:space="preserve">  Frontend build</w:t>
      </w:r>
    </w:p>
    <w:p>
      <w:pPr>
        <w:pBdr>
          <w:left w:val="single" w:color="0A6E6E" w:sz="16"/>
        </w:pBdr>
        <w:shd w:fill="F5F0FF" w:val="clear"/>
        <w:spacing w:after="120" w:before="0"/>
        <w:ind w:left="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Node 20 container runs npm run build → Vite bundles React app into dist/.</w:t>
      </w:r>
    </w:p>
    <w:p>
      <w:pPr>
        <w:shd w:fill="1A2B3C" w:val="clear"/>
        <w:spacing w:after="0" w:before="120"/>
        <w:ind w:left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4  </w:t>
      </w:r>
      <w:r>
        <w:rPr>
          <w:rFonts w:ascii="Arial" w:cs="Arial" w:eastAsia="Arial" w:hAnsi="Arial"/>
          <w:b/>
          <w:bCs/>
          <w:color w:val="1A2B3C"/>
          <w:sz w:val="22"/>
          <w:szCs w:val="22"/>
        </w:rPr>
        <w:t xml:space="preserve">  nginx serves frontend</w:t>
      </w:r>
    </w:p>
    <w:p>
      <w:pPr>
        <w:pBdr>
          <w:left w:val="single" w:color="0A6E6E" w:sz="16"/>
        </w:pBdr>
        <w:shd w:fill="FFF8E1" w:val="clear"/>
        <w:spacing w:after="120" w:before="0"/>
        <w:ind w:left="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nginx:alpine serves dist/ at port 5173. /api/* requests are proxied to backend:8000 (strips /api prefix).</w:t>
      </w:r>
    </w:p>
    <w:p>
      <w:pPr>
        <w:spacing w:after="30" w:before="3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On subsequent runs (docker compose up without --build), the build step is skipped — containers start from cached images.</w:t>
      </w:r>
    </w:p>
    <w:p>
      <w:pPr>
        <w:spacing w:after="30" w:before="3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Bdr>
          <w:bottom w:val="single" w:color="D8E2EC" w:sz="4"/>
        </w:pBd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Style w:val="Heading1"/>
        <w:pBdr>
          <w:bottom w:val="single" w:color="0A6E6E" w:sz="10"/>
        </w:pBdr>
        <w:spacing w:after="140" w:before="400"/>
      </w:pPr>
      <w:r>
        <w:rPr>
          <w:rFonts w:ascii="Arial" w:cs="Arial" w:eastAsia="Arial" w:hAnsi="Arial"/>
          <w:b/>
          <w:bCs/>
          <w:color w:val="1A2B3C"/>
          <w:sz w:val="34"/>
          <w:szCs w:val="34"/>
        </w:rPr>
        <w:t xml:space="preserve">11.  What NOT To Change</w:t>
      </w:r>
    </w:p>
    <w:p>
      <w:pPr>
        <w:pBdr>
          <w:left w:val="single" w:color="CC0000" w:sz="20"/>
        </w:pBdr>
        <w:shd w:fill="FFF0F0" w:val="clear"/>
        <w:spacing w:after="100" w:before="100"/>
        <w:ind w:left="320" w:right="320"/>
      </w:pPr>
      <w:r>
        <w:rPr>
          <w:rFonts w:ascii="Arial" w:cs="Arial" w:eastAsia="Arial" w:hAnsi="Arial"/>
          <w:color w:val="7A1A1A"/>
          <w:sz w:val="19"/>
          <w:szCs w:val="19"/>
        </w:rPr>
        <w:t xml:space="preserve">These things must not be changed without a full impact assessment:</w:t>
      </w:r>
    </w:p>
    <w:p>
      <w:pPr>
        <w:spacing w:after="30" w:before="3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7A1A1A"/>
          <w:sz w:val="20"/>
          <w:szCs w:val="20"/>
        </w:rPr>
        <w:t xml:space="preserve">The calculate() function signature — it takes (scenario, bom_items). Do not add required arguments.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7A1A1A"/>
          <w:sz w:val="20"/>
          <w:szCs w:val="20"/>
        </w:rPr>
        <w:t xml:space="preserve">The return dict keys of calculate() — the frontend and Excel export depend on exact key names.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7A1A1A"/>
          <w:sz w:val="20"/>
          <w:szCs w:val="20"/>
        </w:rPr>
        <w:t xml:space="preserve">The DEFAULT_BOM tuple field order (index 0=bom_number, 1=category, 2=description, 3=qty, 4=unit, 5=spec, 6=price).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7A1A1A"/>
          <w:sz w:val="20"/>
          <w:szCs w:val="20"/>
        </w:rPr>
        <w:t xml:space="preserve">The ScenarioOut Pydantic schema structure — removing fields breaks existing API consumers.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7A1A1A"/>
          <w:sz w:val="20"/>
          <w:szCs w:val="20"/>
        </w:rPr>
        <w:t xml:space="preserve">The bom_items cascade delete on Scenario — removing it will orphan BOM rows.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7A1A1A"/>
          <w:sz w:val="20"/>
          <w:szCs w:val="20"/>
        </w:rPr>
        <w:t xml:space="preserve">The results JSON column — do not rename to result or outputs.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7A1A1A"/>
          <w:sz w:val="20"/>
          <w:szCs w:val="20"/>
        </w:rPr>
        <w:t xml:space="preserve">The /api prefix convention in nginx.conf and vite.config.js proxy — all frontend calls use /api.</w:t>
      </w:r>
    </w:p>
    <w:p>
      <w:pPr>
        <w:spacing w:after="30" w:before="3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Bdr>
          <w:bottom w:val="single" w:color="D8E2EC" w:sz="4"/>
        </w:pBd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Bdr>
          <w:top w:val="single" w:color="0A6E6E" w:sz="6"/>
        </w:pBdr>
        <w:spacing w:after="0" w:before="480"/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BESS Optimisation Tool — Logic &amp; Flow Document  |  Elektron RE  |  v1.0</w:t>
      </w:r>
    </w:p>
    <w:sectPr>
      <w:pgSz w:w="12240" w:h="15840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00"/>
      <w:outlineLvl w:val="0"/>
    </w:pPr>
    <w:rPr>
      <w:rFonts w:ascii="Arial" w:cs="Arial" w:eastAsia="Arial" w:hAnsi="Arial"/>
      <w:b/>
      <w:bCs/>
      <w:color w:val="1A2B3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4A6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A6E6E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Arial" w:cs="Arial" w:eastAsia="Arial" w:hAnsi="Arial"/>
      <w:b/>
      <w:bCs/>
      <w:color w:val="1A2B3C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2026-04-07T14:15:53.442Z</dcterms:created>
  <dcterms:modified xsi:type="dcterms:W3CDTF">2026-04-07T14:15:53.443Z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