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jc w:val="both"/>
      </w:pPr>
      <w:bookmarkStart w:colFirst="0" w:colLast="0" w:name="h.pvftan2dii4o" w:id="0"/>
      <w:bookmarkEnd w:id="0"/>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Fonts w:ascii="Verdana" w:cs="Verdana" w:eastAsia="Verdana" w:hAnsi="Verdana"/>
          <w:sz w:val="18"/>
          <w:szCs w:val="18"/>
          <w:rtl w:val="0"/>
        </w:rPr>
        <w:t xml:space="preserve">Our paper describes the system design of a wide network of smartphone sensors deployed in buildings to detect their falling during earthquakes. Our server is cloud based for robustness and to dynamically handle the load. The main product of our network is a ??? . &lt;what is the output of the system&gt;</w:t>
      </w:r>
    </w:p>
    <w:p w:rsidR="00000000" w:rsidDel="00000000" w:rsidP="00000000" w:rsidRDefault="00000000" w:rsidRPr="00000000">
      <w:pPr>
        <w:pStyle w:val="Heading3"/>
        <w:contextualSpacing w:val="0"/>
        <w:jc w:val="both"/>
      </w:pPr>
      <w:bookmarkStart w:colFirst="0" w:colLast="0" w:name="h.nqarcvhi1ef5" w:id="1"/>
      <w:bookmarkEnd w:id="1"/>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The definition of stakeholder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Stakeholder is defined as any group or individual who can effect or is effected by the achievement of the firm’s objective by Freeman [1]. Stakeholders have been pointed out to be anyone and </w:t>
      </w:r>
      <w:r w:rsidDel="00000000" w:rsidR="00000000" w:rsidRPr="00000000">
        <w:rPr>
          <w:rFonts w:ascii="Verdana" w:cs="Verdana" w:eastAsia="Verdana" w:hAnsi="Verdana"/>
          <w:sz w:val="18"/>
          <w:szCs w:val="18"/>
          <w:rtl w:val="0"/>
        </w:rPr>
        <w:t xml:space="preserve">anything[2].For general business activity,  there is now an increasingly consensus for the </w:t>
      </w:r>
      <w:r w:rsidDel="00000000" w:rsidR="00000000" w:rsidRPr="00000000">
        <w:rPr>
          <w:rFonts w:ascii="Verdana" w:cs="Verdana" w:eastAsia="Verdana" w:hAnsi="Verdana"/>
          <w:sz w:val="18"/>
          <w:szCs w:val="18"/>
          <w:rtl w:val="0"/>
        </w:rPr>
        <w:t xml:space="preserve">stakeholders as following: employees, suppliers and contractors, government(including governance), creditors, insurers and shareholders, consumers, trade unions, local communities, competitors, media and NGOs[2][3,4].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In this system, stakeholders include safety government, rescue organization, ordinary people who lives within a sphere of seismic effect, researchers who are interested in what happens while the earthquake causes the building to collapse, commercial companies and the media. For the safety government, it meets the requirement of keeping people safety. Citizen needs to know in which region has been influenced by the earthquake so that they could decide </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zone or not. Meanwhile, researchers need to analysis and process the data captured from the sensors, and make communications through phones. Rescue organization has to know in which region had damaged and the level about the damaging in the first place. Commercial companies pay their attention to the commercialisation and provide the information to other organizations or customers as a business method. The media can courage people to donation.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Reference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1.Jia Wang,Jiaoju Ge,Qiang Lu,A Review of Stakeholder Analysis.2012 3rd International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Conference,Vol.2,2012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2.R.E.Freeman,Strategic Management:A Stakeholder Approach,Pitman,USA,1984.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3.E.Jansson,The stakeholder model:the influence of the ownership and governance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structures,Journal of Business Ethics,Vol.56(1),pp. 1-13,January 2005.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4.D.C. Sprengel and T. Busch,Stakeholder engagement and environmental strategy:The case of climate change,Business Strategy and the Environment,Vol.20,pp.351-364,July 2011.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xr6hgl66m1vr" w:id="2"/>
      <w:bookmarkEnd w:id="2"/>
      <w:r w:rsidDel="00000000" w:rsidR="00000000" w:rsidRPr="00000000">
        <w:rPr>
          <w:rtl w:val="0"/>
        </w:rPr>
        <w:t xml:space="preserve">A brief overview of Earthquake</w:t>
      </w:r>
    </w:p>
    <w:p w:rsidR="00000000" w:rsidDel="00000000" w:rsidP="00000000" w:rsidRDefault="00000000" w:rsidRPr="00000000">
      <w:pPr>
        <w:contextualSpacing w:val="0"/>
        <w:jc w:val="both"/>
      </w:pPr>
      <w:r w:rsidDel="00000000" w:rsidR="00000000" w:rsidRPr="00000000">
        <w:rPr>
          <w:rFonts w:ascii="Verdana" w:cs="Verdana" w:eastAsia="Verdana" w:hAnsi="Verdana"/>
          <w:color w:val="333333"/>
          <w:sz w:val="18"/>
          <w:szCs w:val="18"/>
          <w:rtl w:val="0"/>
        </w:rPr>
        <w:t xml:space="preserve">[BBC. (n.d.). </w:t>
      </w:r>
      <w:r w:rsidDel="00000000" w:rsidR="00000000" w:rsidRPr="00000000">
        <w:rPr>
          <w:rFonts w:ascii="Verdana" w:cs="Verdana" w:eastAsia="Verdana" w:hAnsi="Verdana"/>
          <w:i w:val="1"/>
          <w:color w:val="333333"/>
          <w:sz w:val="18"/>
          <w:szCs w:val="18"/>
          <w:rtl w:val="0"/>
        </w:rPr>
        <w:t xml:space="preserve">Earthquake</w:t>
      </w:r>
      <w:r w:rsidDel="00000000" w:rsidR="00000000" w:rsidRPr="00000000">
        <w:rPr>
          <w:rFonts w:ascii="Verdana" w:cs="Verdana" w:eastAsia="Verdana" w:hAnsi="Verdana"/>
          <w:color w:val="333333"/>
          <w:sz w:val="18"/>
          <w:szCs w:val="18"/>
          <w:rtl w:val="0"/>
        </w:rPr>
        <w:t xml:space="preserve">. Retrieved November 14, 2014, from http://www.bbc.co.uk/schools/gcsebitesize/geography/natural_hazards/earthquakes_rev1.shtml]</w:t>
      </w:r>
      <w:r w:rsidDel="00000000" w:rsidR="00000000" w:rsidRPr="00000000">
        <w:rPr>
          <w:rtl w:val="0"/>
        </w:rPr>
      </w:r>
    </w:p>
    <w:p w:rsidR="00000000" w:rsidDel="00000000" w:rsidP="00000000" w:rsidRDefault="00000000" w:rsidRPr="00000000">
      <w:pPr>
        <w:spacing w:after="120" w:line="335.46237945556675" w:lineRule="auto"/>
        <w:contextualSpacing w:val="0"/>
        <w:jc w:val="both"/>
      </w:pPr>
      <w:r w:rsidDel="00000000" w:rsidR="00000000" w:rsidRPr="00000000">
        <w:rPr>
          <w:rtl w:val="0"/>
        </w:rPr>
      </w:r>
    </w:p>
    <w:p w:rsidR="00000000" w:rsidDel="00000000" w:rsidP="00000000" w:rsidRDefault="00000000" w:rsidRPr="00000000">
      <w:pPr>
        <w:spacing w:after="120" w:line="335.46237945556675" w:lineRule="auto"/>
        <w:contextualSpacing w:val="0"/>
        <w:jc w:val="both"/>
      </w:pPr>
      <w:r w:rsidDel="00000000" w:rsidR="00000000" w:rsidRPr="00000000">
        <w:rPr>
          <w:rFonts w:ascii="Verdana" w:cs="Verdana" w:eastAsia="Verdana" w:hAnsi="Verdana"/>
          <w:color w:val="333333"/>
          <w:sz w:val="18"/>
          <w:szCs w:val="18"/>
          <w:rtl w:val="0"/>
        </w:rPr>
        <w:t xml:space="preserve">An earthquake is the </w:t>
      </w:r>
      <w:r w:rsidDel="00000000" w:rsidR="00000000" w:rsidRPr="00000000">
        <w:rPr>
          <w:rFonts w:ascii="Verdana" w:cs="Verdana" w:eastAsia="Verdana" w:hAnsi="Verdana"/>
          <w:i w:val="1"/>
          <w:color w:val="333333"/>
          <w:sz w:val="18"/>
          <w:szCs w:val="18"/>
          <w:rtl w:val="0"/>
        </w:rPr>
        <w:t xml:space="preserve">shaking</w:t>
      </w:r>
      <w:r w:rsidDel="00000000" w:rsidR="00000000" w:rsidRPr="00000000">
        <w:rPr>
          <w:rFonts w:ascii="Verdana" w:cs="Verdana" w:eastAsia="Verdana" w:hAnsi="Verdana"/>
          <w:color w:val="333333"/>
          <w:sz w:val="18"/>
          <w:szCs w:val="18"/>
          <w:rtl w:val="0"/>
        </w:rPr>
        <w:t xml:space="preserve"> and </w:t>
      </w:r>
      <w:r w:rsidDel="00000000" w:rsidR="00000000" w:rsidRPr="00000000">
        <w:rPr>
          <w:rFonts w:ascii="Verdana" w:cs="Verdana" w:eastAsia="Verdana" w:hAnsi="Verdana"/>
          <w:i w:val="1"/>
          <w:color w:val="333333"/>
          <w:sz w:val="18"/>
          <w:szCs w:val="18"/>
          <w:rtl w:val="0"/>
        </w:rPr>
        <w:t xml:space="preserve">vibration</w:t>
      </w:r>
      <w:r w:rsidDel="00000000" w:rsidR="00000000" w:rsidRPr="00000000">
        <w:rPr>
          <w:rFonts w:ascii="Verdana" w:cs="Verdana" w:eastAsia="Verdana" w:hAnsi="Verdana"/>
          <w:color w:val="333333"/>
          <w:sz w:val="18"/>
          <w:szCs w:val="18"/>
          <w:rtl w:val="0"/>
        </w:rPr>
        <w:t xml:space="preserve"> of the Earth's crust due to movement of the Earth's plates (plate tectonics). Plates do not always move smoothly alongside each other and sometimes get stuck. When this happens pressure builds up. When this pressure is eventually released, an earthquake tends to occur. The point inside the crust where the pressure is released is called the focus. The point on the Earth's surface above the focus is called the epicentre.</w:t>
      </w:r>
    </w:p>
    <w:p w:rsidR="00000000" w:rsidDel="00000000" w:rsidP="00000000" w:rsidRDefault="00000000" w:rsidRPr="00000000">
      <w:pPr>
        <w:spacing w:after="120" w:line="335.46237945556675" w:lineRule="auto"/>
        <w:contextualSpacing w:val="0"/>
        <w:jc w:val="both"/>
      </w:pPr>
      <w:r w:rsidDel="00000000" w:rsidR="00000000" w:rsidRPr="00000000">
        <w:rPr>
          <w:rFonts w:ascii="Verdana" w:cs="Verdana" w:eastAsia="Verdana" w:hAnsi="Verdana"/>
          <w:color w:val="333333"/>
          <w:sz w:val="18"/>
          <w:szCs w:val="18"/>
          <w:rtl w:val="0"/>
        </w:rPr>
        <w:t xml:space="preserve">Earthquake energy is released in seismic waves. These waves spread out from the focus. The waves are felt most strongly at the epicentre, becoming less strong as they travel further away. The most severe damage caused by an earthquake will happen close to the epicentre.</w:t>
      </w:r>
      <w:r w:rsidDel="00000000" w:rsidR="00000000" w:rsidRPr="00000000">
        <w:drawing>
          <wp:inline distB="114300" distT="114300" distL="114300" distR="114300">
            <wp:extent cx="5943600" cy="4000500"/>
            <wp:effectExtent b="0" l="0" r="0" t="0"/>
            <wp:docPr descr="Diagram of an earthquake" id="1" name="image01.gif" title="Diagram of an earthquake"/>
            <a:graphic>
              <a:graphicData uri="http://schemas.openxmlformats.org/drawingml/2006/picture">
                <pic:pic>
                  <pic:nvPicPr>
                    <pic:cNvPr descr="Diagram of an earthquake" id="0" name="image01.gif" title="Diagram of an earthquake"/>
                    <pic:cNvPicPr preferRelativeResize="0"/>
                  </pic:nvPicPr>
                  <pic:blipFill>
                    <a:blip r:embed="rId5"/>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An earthquake's power is measured on the Richter scale (a logarithmic scale) using an instrument called a 'seismometer'.The Richter scale is numbered 0-10. Earthquakes measuring just one or two on the scale are very common and can happen everyday in places like San Francisco. These earthquakes are so small that people cannot feel them, they can only be picked up by a seismometer. Meanwhile, earthquakes measuring around 7 or 8 on the Richter scale can be devastating. For instance, the earthquake in China's south-western Sichuan province in May 2008 measured 7.8 on the Richter scale.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Nearly 70,000 people were killed and around 4.8 million people were rendered homeless due to collapse of massive buildings. [ 2008 Sichuan earthquake. (n.d.). Retrieved November 28, 2014, from </w:t>
      </w:r>
      <w:hyperlink r:id="rId6">
        <w:r w:rsidDel="00000000" w:rsidR="00000000" w:rsidRPr="00000000">
          <w:rPr>
            <w:rFonts w:ascii="Verdana" w:cs="Verdana" w:eastAsia="Verdana" w:hAnsi="Verdana"/>
            <w:color w:val="1155cc"/>
            <w:sz w:val="18"/>
            <w:szCs w:val="18"/>
            <w:u w:val="single"/>
            <w:rtl w:val="0"/>
          </w:rPr>
          <w:t xml:space="preserve">http://en.wikipedia.org/wiki/2008_Sichuan_earthquake</w:t>
        </w:r>
      </w:hyperlink>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&lt;Case study to justify the need for fall detection of buildings during an earthquake.&gt;</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&lt;Name of the Earthquake&gt;</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&lt;Summary&gt;</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&lt;Overall Damage Report&gt;</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&lt;People affected&gt; &lt;Displacement effect (how people react during an earthquake) &gt;</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&lt;Reason for death&gt; &lt;Stats on Buildings affected&gt;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January 17 at 5:46 a.m. 1995, The Kobe Earthquake hit a highly populated area of about two million population while most people were sleeping. It is known as “The great Hanshin earthquake” and was the first time in the world that a densely populated modern city area was directly hit by very strong ground shaking. Over five thousand people were killed mostly due to collapse of houses. This disaster underpins Coburn’s and Shiono’s argument (Coburn et al., 1992; Shiono et al., 1991) “The primary cause of deaths in the world is still collapse of buildings” moreover, an important lesson from the Kobe Earthquake is the influence of the earthquake occurrence time on casualties. If the Kobe event had occurred in a daytime, many more fatalities might be expected due to collapse of other facilities such as office building and railways (regarding to this, more will be discussed later by comparison between two events in California). As building became stronger, building contents became major causes of human injuries in recent moderate earthquake. </w:t>
      </w:r>
      <w:r w:rsidDel="00000000" w:rsidR="00000000" w:rsidRPr="00000000">
        <w:rPr>
          <w:rFonts w:ascii="Verdana" w:cs="Verdana" w:eastAsia="Verdana" w:hAnsi="Verdana"/>
          <w:b w:val="1"/>
          <w:sz w:val="18"/>
          <w:szCs w:val="18"/>
          <w:rtl w:val="0"/>
        </w:rPr>
        <w:t xml:space="preserve">Table 1</w:t>
      </w:r>
      <w:r w:rsidDel="00000000" w:rsidR="00000000" w:rsidRPr="00000000">
        <w:rPr>
          <w:rFonts w:ascii="Verdana" w:cs="Verdana" w:eastAsia="Verdana" w:hAnsi="Verdana"/>
          <w:sz w:val="18"/>
          <w:szCs w:val="18"/>
          <w:rtl w:val="0"/>
        </w:rPr>
        <w:t xml:space="preserve"> briefly shows details and damages of major earthquakes until 2000, and data in detail of housing units lost is in </w:t>
      </w:r>
      <w:r w:rsidDel="00000000" w:rsidR="00000000" w:rsidRPr="00000000">
        <w:rPr>
          <w:rFonts w:ascii="Verdana" w:cs="Verdana" w:eastAsia="Verdana" w:hAnsi="Verdana"/>
          <w:b w:val="1"/>
          <w:sz w:val="18"/>
          <w:szCs w:val="18"/>
          <w:rtl w:val="0"/>
        </w:rPr>
        <w:t xml:space="preserve">Table 3</w:t>
      </w:r>
      <w:r w:rsidDel="00000000" w:rsidR="00000000" w:rsidRPr="00000000">
        <w:rPr>
          <w:rFonts w:ascii="Verdana" w:cs="Verdana" w:eastAsia="Verdana" w:hAnsi="Verdana"/>
          <w:sz w:val="18"/>
          <w:szCs w:val="18"/>
          <w:rtl w:val="0"/>
        </w:rPr>
        <w:t xml:space="preserve">. The number of units lost in the city was 79,283 (15%). The damage was concentrated in the densely populated urban area. The number of units lost in the urban wards was 74,234 and the ratio was as much as 24%. The damage was especially heavy in old houses, wooden multi-family rental housing and wooden terraced housing structures. The ratio of housing units lost in urban wards was 56% in those built before 1945, 45% in wooden multi-family housing, and 58% in wooden terraced housing. The residents affected were mainly of low-income households and the aged. The data by ward show that the proportion of units lost was particularly high in Ngata-ward with 39%, followed by 25% in Higashi-Nada-ward and 23% in Nada-ward. according to the data in </w:t>
      </w:r>
      <w:r w:rsidDel="00000000" w:rsidR="00000000" w:rsidRPr="00000000">
        <w:rPr>
          <w:rFonts w:ascii="Verdana" w:cs="Verdana" w:eastAsia="Verdana" w:hAnsi="Verdana"/>
          <w:b w:val="1"/>
          <w:sz w:val="18"/>
          <w:szCs w:val="18"/>
          <w:rtl w:val="0"/>
        </w:rPr>
        <w:t xml:space="preserve">Table 3</w:t>
      </w:r>
      <w:r w:rsidDel="00000000" w:rsidR="00000000" w:rsidRPr="00000000">
        <w:rPr>
          <w:rFonts w:ascii="Verdana" w:cs="Verdana" w:eastAsia="Verdana" w:hAnsi="Verdana"/>
          <w:sz w:val="18"/>
          <w:szCs w:val="18"/>
          <w:rtl w:val="0"/>
        </w:rPr>
        <w:t xml:space="preserve">, more than 95% of deaths were directly caused by the collapse and/or the catching fire of their houses. </w:t>
      </w:r>
      <w:r w:rsidDel="00000000" w:rsidR="00000000" w:rsidRPr="00000000">
        <w:rPr>
          <w:rFonts w:ascii="Verdana" w:cs="Verdana" w:eastAsia="Verdana" w:hAnsi="Verdana"/>
          <w:sz w:val="18"/>
          <w:szCs w:val="18"/>
          <w:rtl w:val="0"/>
        </w:rPr>
        <w:t xml:space="preserve">Damage data for residential buildings were shown in four categories: “totally collapsed (including burnt for the Kobe event)”, “burnt”, “heavily damaged”, and “lightly damaged”. “Totally collapsed” means, in most cases, more than half of the value of a building was lost, not totally torn down. The number of directly earthquake related deaths was reported as 5,519 according to the Fire-Defense Agency of Japan as of December 27, 1995 shown in </w:t>
      </w:r>
      <w:r w:rsidDel="00000000" w:rsidR="00000000" w:rsidRPr="00000000">
        <w:rPr>
          <w:rFonts w:ascii="Verdana" w:cs="Verdana" w:eastAsia="Verdana" w:hAnsi="Verdana"/>
          <w:b w:val="1"/>
          <w:sz w:val="18"/>
          <w:szCs w:val="18"/>
          <w:rtl w:val="0"/>
        </w:rPr>
        <w:t xml:space="preserve">Table 2</w:t>
      </w:r>
      <w:r w:rsidDel="00000000" w:rsidR="00000000" w:rsidRPr="00000000">
        <w:rPr>
          <w:rFonts w:ascii="Verdana" w:cs="Verdana" w:eastAsia="Verdana" w:hAnsi="Verdana"/>
          <w:sz w:val="18"/>
          <w:szCs w:val="18"/>
          <w:rtl w:val="0"/>
        </w:rPr>
        <w:t xml:space="preserve">. At this time, 789 indirectly earthquake related deaths were also recognized. Hence the official number of deaths became 6,308. A breakdown of cause of deaths compiled by the Ministry of Health and Welfare (1995) was based on the population statistics and the survey was conducted by collecting death certificates with a description of earthquake related death hence, the total number of deaths was different from the one announced by the Fire Defense Agency. Major cause of deaths in the breakdown was building collapse related (Asphyxia and body compression: 4,224 of deaths, 77% of total fatality; Head and cervical spine injury: 282 of deaths, 5.1% of total fatality; Organ injury: 55 of deaths, 1.8% of total fatality; Traumatic shock: 68 of deaths, 1.2% of total fatality; Blunt trauma injury: 45 of deaths, 0.8% of total fatality; Crush syndrome: 15 of deaths, 0.3% of total fatality). Fire related deaths (Thermal burns and smoke inhalation: 504 of deaths, 9.2% of total fatality) could not escape because they were mostly trapped by collapsed houses. Many of event caused to injuries and deaths were not identified (others: 128 of deaths, 2.3% of total fatality; unidentified: 124 of deaths, 2.3% of total fatality) because of too many victims in confused situations and in addition, many injured people did not go to hospitals. Even the case they went, doctors could not take care for all the patients or did not have time to write medical reports.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contextualSpacing w:val="0"/>
        <w:jc w:val="both"/>
      </w:pPr>
      <w:r w:rsidDel="00000000" w:rsidR="00000000" w:rsidRPr="00000000">
        <w:drawing>
          <wp:inline distB="114300" distT="114300" distL="114300" distR="114300">
            <wp:extent cx="5734050" cy="20193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b w:val="1"/>
          <w:sz w:val="18"/>
          <w:szCs w:val="18"/>
          <w:rtl w:val="0"/>
        </w:rPr>
        <w:t xml:space="preserve">Table 1.</w:t>
      </w:r>
      <w:r w:rsidDel="00000000" w:rsidR="00000000" w:rsidRPr="00000000">
        <w:rPr>
          <w:rFonts w:ascii="Verdana" w:cs="Verdana" w:eastAsia="Verdana" w:hAnsi="Verdana"/>
          <w:sz w:val="18"/>
          <w:szCs w:val="18"/>
          <w:rtl w:val="0"/>
        </w:rPr>
        <w:t xml:space="preserve"> List of recent earthquakes in Japan with damage to residential buildings (source: Usami, 1987)</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34050" cy="1981200"/>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b w:val="1"/>
          <w:sz w:val="18"/>
          <w:szCs w:val="18"/>
          <w:rtl w:val="0"/>
        </w:rPr>
        <w:t xml:space="preserve">Table 2. </w:t>
      </w:r>
      <w:r w:rsidDel="00000000" w:rsidR="00000000" w:rsidRPr="00000000">
        <w:rPr>
          <w:rFonts w:ascii="Verdana" w:cs="Verdana" w:eastAsia="Verdana" w:hAnsi="Verdana"/>
          <w:sz w:val="18"/>
          <w:szCs w:val="18"/>
          <w:rtl w:val="0"/>
        </w:rPr>
        <w:t xml:space="preserve">Causes of deaths in the recent earthquakes in Japan (source: Matsuda and Ishimura, 1994)</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contextualSpacing w:val="0"/>
        <w:jc w:val="both"/>
      </w:pPr>
      <w:r w:rsidDel="00000000" w:rsidR="00000000" w:rsidRPr="00000000">
        <w:drawing>
          <wp:inline distB="114300" distT="114300" distL="114300" distR="114300">
            <wp:extent cx="5734050" cy="5734050"/>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734050" cy="5734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b w:val="1"/>
          <w:sz w:val="18"/>
          <w:szCs w:val="18"/>
          <w:rtl w:val="0"/>
        </w:rPr>
        <w:t xml:space="preserve">Table 3.</w:t>
      </w:r>
      <w:r w:rsidDel="00000000" w:rsidR="00000000" w:rsidRPr="00000000">
        <w:rPr>
          <w:rFonts w:ascii="Verdana" w:cs="Verdana" w:eastAsia="Verdana" w:hAnsi="Verdana"/>
          <w:sz w:val="18"/>
          <w:szCs w:val="18"/>
          <w:rtl w:val="0"/>
        </w:rPr>
        <w:t xml:space="preserve"> Housing units lost by the earthquake</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On the other hand, it was observed that not only resident buildings are the major cause of human casualties due to earthquakes but also the collapse of transportation structures was responsible for a significant ratio of human casualties. Earthquake in California, the Loma Prieta Earthquake of October 17, 1989 and the Northridge Earthquake of January 17, 1994.</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Each event classified human casualties as several categories. “Directly earthquake related”, “indirectly earthquake related”, or “not earthquake related”. Further, grouped into two main categories, “Trauma related” and “Medical related” (medical related deaths are those due to an illness or a medical condition, such as heart failure). As shown in </w:t>
      </w:r>
      <w:r w:rsidDel="00000000" w:rsidR="00000000" w:rsidRPr="00000000">
        <w:rPr>
          <w:rFonts w:ascii="Verdana" w:cs="Verdana" w:eastAsia="Verdana" w:hAnsi="Verdana"/>
          <w:b w:val="1"/>
          <w:sz w:val="18"/>
          <w:szCs w:val="18"/>
          <w:rtl w:val="0"/>
        </w:rPr>
        <w:t xml:space="preserve">Table 4</w:t>
      </w:r>
      <w:r w:rsidDel="00000000" w:rsidR="00000000" w:rsidRPr="00000000">
        <w:rPr>
          <w:rFonts w:ascii="Verdana" w:cs="Verdana" w:eastAsia="Verdana" w:hAnsi="Verdana"/>
          <w:sz w:val="18"/>
          <w:szCs w:val="18"/>
          <w:rtl w:val="0"/>
        </w:rPr>
        <w:t xml:space="preserve">, the collapse of transportation structures was most responsible for the fatalities and that collapse of buildings/exteriors was the second. Large difference in number between two events was mostly because of the occurrence time (Loma Prieta: 5.04 p.m.; Northridge: 5.35 a.m.). This indicates that the mobility of people should be considered in estimating human casualties due to urban earthquakes.    </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contextualSpacing w:val="0"/>
        <w:jc w:val="both"/>
      </w:pPr>
      <w:r w:rsidDel="00000000" w:rsidR="00000000" w:rsidRPr="00000000">
        <w:drawing>
          <wp:inline distB="114300" distT="114300" distL="114300" distR="114300">
            <wp:extent cx="5734050" cy="2114550"/>
            <wp:effectExtent b="0" l="0" r="0" t="0"/>
            <wp:docPr id="3"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5734050" cy="2114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b w:val="1"/>
          <w:sz w:val="18"/>
          <w:szCs w:val="18"/>
          <w:rtl w:val="0"/>
        </w:rPr>
        <w:t xml:space="preserve">Table 4.</w:t>
      </w:r>
      <w:r w:rsidDel="00000000" w:rsidR="00000000" w:rsidRPr="00000000">
        <w:rPr>
          <w:rFonts w:ascii="Verdana" w:cs="Verdana" w:eastAsia="Verdana" w:hAnsi="Verdana"/>
          <w:sz w:val="18"/>
          <w:szCs w:val="18"/>
          <w:rtl w:val="0"/>
        </w:rPr>
        <w:t xml:space="preserve"> Comparison of fatalities in the Loma Prieta and Northridge earthquakes</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pPr>
        <w:contextualSpacing w:val="0"/>
        <w:jc w:val="both"/>
      </w:pPr>
      <w:r w:rsidDel="00000000" w:rsidR="00000000" w:rsidRPr="00000000">
        <w:rPr>
          <w:rFonts w:ascii="Verdana" w:cs="Verdana" w:eastAsia="Verdana" w:hAnsi="Verdana"/>
          <w:b w:val="1"/>
          <w:sz w:val="18"/>
          <w:szCs w:val="18"/>
          <w:rtl w:val="0"/>
        </w:rPr>
        <w:t xml:space="preserve">References</w:t>
      </w:r>
    </w:p>
    <w:p w:rsidR="00000000" w:rsidDel="00000000" w:rsidP="00000000" w:rsidRDefault="00000000" w:rsidRPr="00000000">
      <w:pPr>
        <w:contextualSpacing w:val="0"/>
        <w:jc w:val="both"/>
      </w:pPr>
      <w:r w:rsidDel="00000000" w:rsidR="00000000" w:rsidRPr="00000000">
        <w:rPr>
          <w:color w:val="222222"/>
          <w:sz w:val="18"/>
          <w:szCs w:val="18"/>
          <w:highlight w:val="white"/>
          <w:rtl w:val="0"/>
        </w:rPr>
        <w:t xml:space="preserve">Coburm, A. W., Spence, R. J. S., &amp; Pomonis, A. (1992). Factors determining human casualty levels in earthquakes: mortality prediction in building collapse. In </w:t>
      </w:r>
      <w:r w:rsidDel="00000000" w:rsidR="00000000" w:rsidRPr="00000000">
        <w:rPr>
          <w:i w:val="1"/>
          <w:color w:val="222222"/>
          <w:sz w:val="18"/>
          <w:szCs w:val="18"/>
          <w:highlight w:val="white"/>
          <w:rtl w:val="0"/>
        </w:rPr>
        <w:t xml:space="preserve">Proceedings of the tenth world conference on earthquake engineering</w:t>
      </w:r>
      <w:r w:rsidDel="00000000" w:rsidR="00000000" w:rsidRPr="00000000">
        <w:rPr>
          <w:color w:val="222222"/>
          <w:sz w:val="18"/>
          <w:szCs w:val="18"/>
          <w:highlight w:val="white"/>
          <w:rtl w:val="0"/>
        </w:rPr>
        <w:t xml:space="preserve"> (Vol. 10, pp. 5989-5994).</w:t>
      </w:r>
    </w:p>
    <w:p w:rsidR="00000000" w:rsidDel="00000000" w:rsidP="00000000" w:rsidRDefault="00000000" w:rsidRPr="00000000">
      <w:pPr>
        <w:contextualSpacing w:val="0"/>
        <w:jc w:val="both"/>
      </w:pPr>
      <w:r w:rsidDel="00000000" w:rsidR="00000000" w:rsidRPr="00000000">
        <w:rPr>
          <w:color w:val="222222"/>
          <w:sz w:val="18"/>
          <w:szCs w:val="18"/>
          <w:highlight w:val="white"/>
          <w:rtl w:val="0"/>
        </w:rPr>
        <w:t xml:space="preserve"> </w:t>
      </w:r>
    </w:p>
    <w:p w:rsidR="00000000" w:rsidDel="00000000" w:rsidP="00000000" w:rsidRDefault="00000000" w:rsidRPr="00000000">
      <w:pPr>
        <w:contextualSpacing w:val="0"/>
        <w:jc w:val="both"/>
      </w:pPr>
      <w:r w:rsidDel="00000000" w:rsidR="00000000" w:rsidRPr="00000000">
        <w:rPr>
          <w:color w:val="222222"/>
          <w:sz w:val="18"/>
          <w:szCs w:val="18"/>
          <w:highlight w:val="white"/>
          <w:rtl w:val="0"/>
        </w:rPr>
        <w:t xml:space="preserve">Yamazaki, F., Nishimura, A., &amp; Ueno, Y. (1996). Estimation of human casualties due to urban earthquakes. In </w:t>
      </w:r>
      <w:r w:rsidDel="00000000" w:rsidR="00000000" w:rsidRPr="00000000">
        <w:rPr>
          <w:i w:val="1"/>
          <w:color w:val="222222"/>
          <w:sz w:val="18"/>
          <w:szCs w:val="18"/>
          <w:highlight w:val="white"/>
          <w:rtl w:val="0"/>
        </w:rPr>
        <w:t xml:space="preserve">Proceedings of the 11th World Conference on Earthquake Engineering</w:t>
      </w:r>
      <w:r w:rsidDel="00000000" w:rsidR="00000000" w:rsidRPr="00000000">
        <w:rPr>
          <w:color w:val="222222"/>
          <w:sz w:val="18"/>
          <w:szCs w:val="18"/>
          <w:highlight w:val="white"/>
          <w:rtl w:val="0"/>
        </w:rPr>
        <w:t xml:space="preserve">. Elsevier Science Ltd.</w:t>
      </w:r>
    </w:p>
    <w:p w:rsidR="00000000" w:rsidDel="00000000" w:rsidP="00000000" w:rsidRDefault="00000000" w:rsidRPr="00000000">
      <w:pPr>
        <w:contextualSpacing w:val="0"/>
        <w:jc w:val="both"/>
      </w:pPr>
      <w:r w:rsidDel="00000000" w:rsidR="00000000" w:rsidRPr="00000000">
        <w:rPr>
          <w:color w:val="222222"/>
          <w:sz w:val="18"/>
          <w:szCs w:val="18"/>
          <w:highlight w:val="white"/>
          <w:rtl w:val="0"/>
        </w:rPr>
        <w:t xml:space="preserve"> </w:t>
      </w:r>
    </w:p>
    <w:p w:rsidR="00000000" w:rsidDel="00000000" w:rsidP="00000000" w:rsidRDefault="00000000" w:rsidRPr="00000000">
      <w:pPr>
        <w:contextualSpacing w:val="0"/>
        <w:jc w:val="both"/>
      </w:pPr>
      <w:r w:rsidDel="00000000" w:rsidR="00000000" w:rsidRPr="00000000">
        <w:rPr>
          <w:color w:val="222222"/>
          <w:sz w:val="18"/>
          <w:szCs w:val="18"/>
          <w:highlight w:val="white"/>
          <w:rtl w:val="0"/>
        </w:rPr>
        <w:t xml:space="preserve">Shiono, K., Krimgold, F., &amp; Ohta, Y. (1991, August). A method for the estimation of earthquake fatalities and its applicability to the global macro-zonation of human casualty risk. In </w:t>
      </w:r>
      <w:r w:rsidDel="00000000" w:rsidR="00000000" w:rsidRPr="00000000">
        <w:rPr>
          <w:i w:val="1"/>
          <w:color w:val="222222"/>
          <w:sz w:val="18"/>
          <w:szCs w:val="18"/>
          <w:highlight w:val="white"/>
          <w:rtl w:val="0"/>
        </w:rPr>
        <w:t xml:space="preserve">Proc. Fourth International Conference on Seismic Zonation</w:t>
      </w:r>
      <w:r w:rsidDel="00000000" w:rsidR="00000000" w:rsidRPr="00000000">
        <w:rPr>
          <w:color w:val="222222"/>
          <w:sz w:val="18"/>
          <w:szCs w:val="18"/>
          <w:highlight w:val="white"/>
          <w:rtl w:val="0"/>
        </w:rPr>
        <w:t xml:space="preserve"> (pp. 277-284).</w:t>
      </w:r>
    </w:p>
    <w:p w:rsidR="00000000" w:rsidDel="00000000" w:rsidP="00000000" w:rsidRDefault="00000000" w:rsidRPr="00000000">
      <w:pPr>
        <w:contextualSpacing w:val="0"/>
        <w:jc w:val="both"/>
      </w:pPr>
      <w:r w:rsidDel="00000000" w:rsidR="00000000" w:rsidRPr="00000000">
        <w:rPr>
          <w:color w:val="222222"/>
          <w:sz w:val="18"/>
          <w:szCs w:val="18"/>
          <w:highlight w:val="white"/>
          <w:rtl w:val="0"/>
        </w:rPr>
        <w:t xml:space="preserve"> </w:t>
      </w:r>
    </w:p>
    <w:p w:rsidR="00000000" w:rsidDel="00000000" w:rsidP="00000000" w:rsidRDefault="00000000" w:rsidRPr="00000000">
      <w:pPr>
        <w:contextualSpacing w:val="0"/>
        <w:jc w:val="both"/>
      </w:pPr>
      <w:r w:rsidDel="00000000" w:rsidR="00000000" w:rsidRPr="00000000">
        <w:rPr>
          <w:color w:val="222222"/>
          <w:sz w:val="18"/>
          <w:szCs w:val="18"/>
          <w:highlight w:val="white"/>
          <w:rtl w:val="0"/>
        </w:rPr>
        <w:t xml:space="preserve">Hirayama, Y. (2000). Collapse and reconstruction: Housing recovery policy in Kobe after the Hanshin Great Earthquake. </w:t>
      </w:r>
      <w:r w:rsidDel="00000000" w:rsidR="00000000" w:rsidRPr="00000000">
        <w:rPr>
          <w:rFonts w:ascii="Verdana" w:cs="Verdana" w:eastAsia="Verdana" w:hAnsi="Verdana"/>
          <w:i w:val="1"/>
          <w:sz w:val="18"/>
          <w:szCs w:val="18"/>
          <w:rtl w:val="0"/>
        </w:rPr>
        <w:t xml:space="preserve">Housing Studies</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15</w:t>
      </w:r>
      <w:r w:rsidDel="00000000" w:rsidR="00000000" w:rsidRPr="00000000">
        <w:rPr>
          <w:rFonts w:ascii="Verdana" w:cs="Verdana" w:eastAsia="Verdana" w:hAnsi="Verdana"/>
          <w:sz w:val="18"/>
          <w:szCs w:val="18"/>
          <w:rtl w:val="0"/>
        </w:rPr>
        <w:t xml:space="preserve">(1), 111-128.</w:t>
      </w:r>
    </w:p>
    <w:p w:rsidR="00000000" w:rsidDel="00000000" w:rsidP="00000000" w:rsidRDefault="00000000" w:rsidRPr="00000000">
      <w:pPr>
        <w:contextualSpacing w:val="0"/>
        <w:jc w:val="both"/>
      </w:pPr>
      <w:r w:rsidDel="00000000" w:rsidR="00000000" w:rsidRPr="00000000">
        <w:rPr>
          <w:color w:val="222222"/>
          <w:sz w:val="18"/>
          <w:szCs w:val="18"/>
          <w:highlight w:val="white"/>
          <w:rtl w:val="0"/>
        </w:rPr>
        <w:t xml:space="preserve"> </w:t>
      </w:r>
    </w:p>
    <w:p w:rsidR="00000000" w:rsidDel="00000000" w:rsidP="00000000" w:rsidRDefault="00000000" w:rsidRPr="00000000">
      <w:pPr>
        <w:contextualSpacing w:val="0"/>
        <w:jc w:val="both"/>
      </w:pPr>
      <w:r w:rsidDel="00000000" w:rsidR="00000000" w:rsidRPr="00000000">
        <w:rPr>
          <w:color w:val="222222"/>
          <w:sz w:val="18"/>
          <w:szCs w:val="18"/>
          <w:highlight w:val="white"/>
          <w:rtl w:val="0"/>
        </w:rPr>
        <w:t xml:space="preserve">Tanida, N. (1996). What happened to elderly people in the great Hanshin earthquake. </w:t>
      </w:r>
      <w:r w:rsidDel="00000000" w:rsidR="00000000" w:rsidRPr="00000000">
        <w:rPr>
          <w:rFonts w:ascii="Verdana" w:cs="Verdana" w:eastAsia="Verdana" w:hAnsi="Verdana"/>
          <w:i w:val="1"/>
          <w:sz w:val="18"/>
          <w:szCs w:val="18"/>
          <w:rtl w:val="0"/>
        </w:rPr>
        <w:t xml:space="preserve">BMJ: British Medical Journal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313</w:t>
      </w:r>
      <w:r w:rsidDel="00000000" w:rsidR="00000000" w:rsidRPr="00000000">
        <w:rPr>
          <w:rFonts w:ascii="Verdana" w:cs="Verdana" w:eastAsia="Verdana" w:hAnsi="Verdana"/>
          <w:sz w:val="18"/>
          <w:szCs w:val="18"/>
          <w:rtl w:val="0"/>
        </w:rPr>
        <w:t xml:space="preserve">(7065), 1133.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wqt474ses4sz" w:id="3"/>
      <w:bookmarkEnd w:id="3"/>
      <w:r w:rsidDel="00000000" w:rsidR="00000000" w:rsidRPr="00000000">
        <w:rPr>
          <w:rtl w:val="0"/>
        </w:rPr>
        <w:t xml:space="preserve">System Design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84ed96dyrgk5" w:id="4"/>
      <w:bookmarkEnd w:id="4"/>
      <w:r w:rsidDel="00000000" w:rsidR="00000000" w:rsidRPr="00000000">
        <w:rPr>
          <w:rtl w:val="0"/>
        </w:rPr>
        <w:t xml:space="preserve">Use Cases</w:t>
      </w:r>
    </w:p>
    <w:p w:rsidR="00000000" w:rsidDel="00000000" w:rsidP="00000000" w:rsidRDefault="00000000" w:rsidRPr="00000000">
      <w:pPr>
        <w:contextualSpacing w:val="0"/>
      </w:pPr>
      <w:r w:rsidDel="00000000" w:rsidR="00000000" w:rsidRPr="00000000">
        <w:rPr>
          <w:rtl w:val="0"/>
        </w:rPr>
        <w:t xml:space="preserve">(new use case diagram)</w:t>
      </w:r>
    </w:p>
    <w:p w:rsidR="00000000" w:rsidDel="00000000" w:rsidP="00000000" w:rsidRDefault="00000000" w:rsidRPr="00000000">
      <w:pPr>
        <w:contextualSpacing w:val="0"/>
        <w:jc w:val="both"/>
      </w:pPr>
      <w:hyperlink r:id="rId11">
        <w:r w:rsidDel="00000000" w:rsidR="00000000" w:rsidRPr="00000000">
          <w:rPr>
            <w:rFonts w:ascii="Verdana" w:cs="Verdana" w:eastAsia="Verdana" w:hAnsi="Verdana"/>
            <w:color w:val="1155cc"/>
            <w:sz w:val="18"/>
            <w:szCs w:val="18"/>
            <w:u w:val="single"/>
            <w:rtl w:val="0"/>
          </w:rPr>
          <w:t xml:space="preserve">https://www.lucidchart.com/invitations/accept/e0d32f81-08b4-43d8-b0ee-87039713d0ec</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&lt;use case to be written&gt;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yr9qiskf3us1" w:id="5"/>
      <w:bookmarkEnd w:id="5"/>
      <w:r w:rsidDel="00000000" w:rsidR="00000000" w:rsidRPr="00000000">
        <w:rPr>
          <w:rtl w:val="0"/>
        </w:rPr>
        <w:t xml:space="preserve">Sequence diagram</w:t>
      </w:r>
    </w:p>
    <w:p w:rsidR="00000000" w:rsidDel="00000000" w:rsidP="00000000" w:rsidRDefault="00000000" w:rsidRPr="00000000">
      <w:pPr>
        <w:contextualSpacing w:val="0"/>
      </w:pPr>
      <w:r w:rsidDel="00000000" w:rsidR="00000000" w:rsidRPr="00000000">
        <w:rPr>
          <w:rtl w:val="0"/>
        </w:rPr>
        <w:t xml:space="preserve">&lt;to be edited&gt;</w:t>
      </w:r>
    </w:p>
    <w:p w:rsidR="00000000" w:rsidDel="00000000" w:rsidP="00000000" w:rsidRDefault="00000000" w:rsidRPr="00000000">
      <w:pPr>
        <w:contextualSpacing w:val="0"/>
        <w:jc w:val="both"/>
      </w:pPr>
      <w:hyperlink r:id="rId12">
        <w:r w:rsidDel="00000000" w:rsidR="00000000" w:rsidRPr="00000000">
          <w:rPr>
            <w:rFonts w:ascii="Verdana" w:cs="Verdana" w:eastAsia="Verdana" w:hAnsi="Verdana"/>
            <w:color w:val="1155cc"/>
            <w:sz w:val="18"/>
            <w:szCs w:val="18"/>
            <w:u w:val="single"/>
            <w:rtl w:val="0"/>
          </w:rPr>
          <w:t xml:space="preserve">https://www.lucidchart.com/invitations/accept/699d4eae-6c76-4d7d-a93d-5599b83125a2</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j55ooulydx7d" w:id="6"/>
      <w:bookmarkEnd w:id="6"/>
      <w:r w:rsidDel="00000000" w:rsidR="00000000" w:rsidRPr="00000000">
        <w:rPr>
          <w:rtl w:val="0"/>
        </w:rPr>
        <w:t xml:space="preserve">State diagram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s2cog3ft69q9" w:id="7"/>
      <w:bookmarkEnd w:id="7"/>
      <w:r w:rsidDel="00000000" w:rsidR="00000000" w:rsidRPr="00000000">
        <w:rPr>
          <w:rtl w:val="0"/>
        </w:rPr>
        <w:t xml:space="preserve">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x83oivk1sgsa" w:id="8"/>
      <w:bookmarkEnd w:id="8"/>
      <w:r w:rsidDel="00000000" w:rsidR="00000000" w:rsidRPr="00000000">
        <w:rPr>
          <w:rtl w:val="0"/>
        </w:rPr>
        <w:t xml:space="preserve">Communication with the sensors/smartphones</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We have a 3-tier system architecture. All our communications will take place over the Internet. This is a cheap yet practically efficient method to send communications over a network. It does introduce some security and robustness issues. </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The smartphones connect to the database server.</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&lt;Smartphones are expensive. so how do we justify its use?&gt;</w:t>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&lt;more to be added&gt;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f96w1y455f6h" w:id="9"/>
      <w:bookmarkEnd w:id="9"/>
      <w:r w:rsidDel="00000000" w:rsidR="00000000" w:rsidRPr="00000000">
        <w:rPr>
          <w:rtl w:val="0"/>
        </w:rPr>
        <w:t xml:space="preserve">Software Design</w:t>
      </w:r>
    </w:p>
    <w:p w:rsidR="00000000" w:rsidDel="00000000" w:rsidP="00000000" w:rsidRDefault="00000000" w:rsidRPr="00000000">
      <w:pPr>
        <w:contextualSpacing w:val="0"/>
      </w:pPr>
      <w:r w:rsidDel="00000000" w:rsidR="00000000" w:rsidRPr="00000000">
        <w:rPr>
          <w:rFonts w:ascii="Verdana" w:cs="Verdana" w:eastAsia="Verdana" w:hAnsi="Verdana"/>
          <w:sz w:val="18"/>
          <w:szCs w:val="18"/>
          <w:rtl w:val="0"/>
        </w:rPr>
        <w:t xml:space="preserve">Our system software is divided into client and server components. The server side is also responsible for archiving of data samples from the smartphones/sensors, if required.</w:t>
      </w:r>
    </w:p>
    <w:p w:rsidR="00000000" w:rsidDel="00000000" w:rsidP="00000000" w:rsidRDefault="00000000" w:rsidRPr="00000000">
      <w:pPr>
        <w:pStyle w:val="Heading4"/>
        <w:contextualSpacing w:val="0"/>
      </w:pPr>
      <w:bookmarkStart w:colFirst="0" w:colLast="0" w:name="h.5h1exzruku3d" w:id="10"/>
      <w:bookmarkEnd w:id="10"/>
      <w:r w:rsidDel="00000000" w:rsidR="00000000" w:rsidRPr="00000000">
        <w:rPr>
          <w:rtl w:val="0"/>
        </w:rPr>
        <w:t xml:space="preserve">Client software</w:t>
      </w:r>
    </w:p>
    <w:p w:rsidR="00000000" w:rsidDel="00000000" w:rsidP="00000000" w:rsidRDefault="00000000" w:rsidRPr="00000000">
      <w:pPr>
        <w:contextualSpacing w:val="0"/>
      </w:pPr>
      <w:r w:rsidDel="00000000" w:rsidR="00000000" w:rsidRPr="00000000">
        <w:rPr>
          <w:rFonts w:ascii="Verdana" w:cs="Verdana" w:eastAsia="Verdana" w:hAnsi="Verdana"/>
          <w:sz w:val="18"/>
          <w:szCs w:val="18"/>
          <w:rtl w:val="0"/>
        </w:rPr>
        <w:t xml:space="preserve">The purpose of the client software is to retrieve the sample accelerometer data, perform the processing of fall detection on the data, send the results (and data is required) to the central server.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hofli5rqfhj6" w:id="11"/>
      <w:bookmarkEnd w:id="11"/>
      <w:r w:rsidDel="00000000" w:rsidR="00000000" w:rsidRPr="00000000">
        <w:rPr>
          <w:rtl w:val="0"/>
        </w:rPr>
        <w:t xml:space="preserve">Server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18"/>
          <w:szCs w:val="18"/>
          <w:rtl w:val="0"/>
        </w:rPr>
        <w:t xml:space="preserve">uml diagrams</w:t>
      </w:r>
    </w:p>
    <w:p w:rsidR="00000000" w:rsidDel="00000000" w:rsidP="00000000" w:rsidRDefault="00000000" w:rsidRPr="00000000">
      <w:pPr>
        <w:contextualSpacing w:val="0"/>
        <w:jc w:val="both"/>
      </w:pPr>
      <w:hyperlink r:id="rId13">
        <w:r w:rsidDel="00000000" w:rsidR="00000000" w:rsidRPr="00000000">
          <w:rPr>
            <w:rFonts w:ascii="Verdana" w:cs="Verdana" w:eastAsia="Verdana" w:hAnsi="Verdana"/>
            <w:color w:val="1155cc"/>
            <w:sz w:val="18"/>
            <w:szCs w:val="18"/>
            <w:u w:val="single"/>
            <w:rtl w:val="0"/>
          </w:rPr>
          <w:t xml:space="preserve">http://www.sparxsystems.com/uml-tutorial.html</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ucidchart.com/invitations/accept/e0d32f81-08b4-43d8-b0ee-87039713d0ec" TargetMode="External"/><Relationship Id="rId10" Type="http://schemas.openxmlformats.org/officeDocument/2006/relationships/image" Target="media/image07.png"/><Relationship Id="rId13" Type="http://schemas.openxmlformats.org/officeDocument/2006/relationships/hyperlink" Target="http://www.sparxsystems.com/uml-tutorial.html" TargetMode="External"/><Relationship Id="rId12" Type="http://schemas.openxmlformats.org/officeDocument/2006/relationships/hyperlink" Target="https://www.lucidchart.com/invitations/accept/699d4eae-6c76-4d7d-a93d-5599b83125a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image" Target="media/image01.gif"/><Relationship Id="rId6" Type="http://schemas.openxmlformats.org/officeDocument/2006/relationships/hyperlink" Target="http://en.wikipedia.org/wiki/2008_Sichuan_earthquake" TargetMode="External"/><Relationship Id="rId7" Type="http://schemas.openxmlformats.org/officeDocument/2006/relationships/image" Target="media/image04.png"/><Relationship Id="rId8" Type="http://schemas.openxmlformats.org/officeDocument/2006/relationships/image" Target="media/image08.png"/></Relationships>
</file>