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commentRangeStart w:id="1"/>
      <w:r>
        <w:rPr>
          <w:b/>
          <w:sz w:val="0"/>
          <w:highlight w:val="red"/>
        </w:rPr>
        <w:br/>
        <w:t>=== ADGM CORPORATE AGENT REVIEW ===</w:t>
        <w:br/>
        <w:t>Document: Articles Of Association</w:t>
        <w:br/>
        <w:t>Compliance Score: 50%</w:t>
        <w:br/>
        <w:t>Issues Found: 0</w:t>
        <w:br/>
        <w:t>Review Date: 2025-08-09 16:53</w:t>
        <w:br/>
        <w:t>Status: ❌ MAJOR ISSUES</w:t>
        <w:br/>
        <w:t>========================================</w:t>
        <w:br/>
        <w:t xml:space="preserve">        </w:t>
      </w:r>
      <w:commentRangeEnd w:id="1"/>
      <w:r>
        <w:rPr>
          <w:rStyle w:val="CommentReference"/>
        </w:rPr>
        <w:commentReference w:id="1"/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commentRangeStart w:id="2"/>
      <w:r>
        <w:rPr>
          <w:highlight w:val="yellow"/>
        </w:rPr>
        <w:t>2.1 The objects for which the Company is established are to carry on business as a general commercial company and to engage in any lawful business activity permitted under ADGM Commercial Law and applicable regulations.</w:t>
      </w:r>
      <w:commentRangeEnd w:id="2"/>
      <w:r>
        <w:rPr>
          <w:rStyle w:val="CommentReference"/>
        </w:rPr>
        <w:commentReference w:id="2"/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r>
        <w:t>3.2 The Company may issue shares with or without voting rights.</w:t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r>
        <w:t>4.2 The number of Directors shall not be less than one.</w:t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r>
        <w:t>5.1 An annual general meeting shall be held once in every calendar year and not more than 15 months after the last preceding annual general meeting.</w:t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r>
        <w:t>8. EXECUTION</w:t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p>
      <w:r>
        <w:rPr>
          <w:i/>
          <w:sz w:val="0"/>
        </w:rPr>
        <w:br/>
        <w:br/>
        <w:t>===============================================</w:t>
        <w:br/>
        <w:t>📋 ADGM COMPLIANCE SUMMARY</w:t>
        <w:br/>
        <w:t>===============================================</w:t>
        <w:br/>
        <w:br/>
        <w:t>Overall Compliance Score: 50%</w:t>
        <w:br/>
        <w:br/>
        <w:t xml:space="preserve">        ❌ MISSING ELEMENTS:</w:t>
        <w:br/>
        <w:t>• Unable to perform detailed analysis</w:t>
        <w:br/>
        <w:br/>
        <w:t>✅ DOCUMENT STRENGTHS:</w:t>
        <w:br/>
        <w:t>• Document uploaded successfully</w:t>
        <w:br/>
        <w:br/>
        <w:t>🎯 OVERALL RECOMMENDATION:</w:t>
        <w:br/>
        <w:t>Manual review recommended due to analysis error</w:t>
        <w:br/>
        <w:br/>
        <w:br/>
        <w:t>📞 ADGM SUPPORT RESOURCES:</w:t>
        <w:br/>
        <w:t>• Registration Authority: https://www.adgm.com/registration-authority</w:t>
        <w:br/>
        <w:t>• Legal Framework: https://www.adgm.com/legal-framework</w:t>
        <w:br/>
        <w:t>• Templates: https://www.adgm.com/setting-up</w:t>
        <w:br/>
        <w:br/>
        <w:t>⚖️ IMPORTANT NOTICE:</w:t>
        <w:br/>
        <w:t>This review is generated by AI and should be verified by qualified legal counsel.</w:t>
        <w:br/>
        <w:t>All references to ADGM regulations should be confirmed with official sources.</w:t>
        <w:br/>
        <w:br/>
        <w:t>Generated by: ADGM Corporate Agent</w:t>
        <w:br/>
        <w:t>Review Date: 2025-08-09 16:53:47</w:t>
        <w:br/>
        <w:t>===============================================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6:06:20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1.3</w:t>
      </w:r>
    </w:p>
    <w:p>
      <w:pPr>
        <w:pStyle w:val="CommentText"/>
      </w:pPr>
      <w:r>
        <w:t>⚠️ Issue: Company Number is missing and should be assigned by the ADGM Registration Authority.</w:t>
      </w:r>
    </w:p>
    <w:p>
      <w:pPr>
        <w:pStyle w:val="CommentText"/>
      </w:pPr>
      <w:r>
        <w:t>💡 Suggestion: Ensure that the Company Number is assigned and included in the Articles of Association as per ADGM Registration and Incorporation requirements.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1" w:author="ADGM Corporate Agent" w:initials="ACA" w:date="2025-08-10T16:06:20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8</w:t>
      </w:r>
    </w:p>
    <w:p>
      <w:pPr>
        <w:pStyle w:val="CommentText"/>
      </w:pPr>
      <w:r>
        <w:t>⚠️ Issue: Missing signatory details such as the name and date of execution.</w:t>
      </w:r>
    </w:p>
    <w:p>
      <w:pPr>
        <w:pStyle w:val="CommentText"/>
      </w:pPr>
      <w:r>
        <w:t>💡 Suggestion: Complete the signatory section with the name of the authorized signatory and the date of execution to comply with ADGM's requirements for valid execution of documents.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2" w:author="ADGM Corporate Agent" w:initials="ACA" w:date="2025-08-10T16:06:20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General</w:t>
      </w:r>
    </w:p>
    <w:p>
      <w:pPr>
        <w:pStyle w:val="CommentText"/>
      </w:pPr>
      <w:r>
        <w:t>⚠️ Issue: Ambiguous language in the compliance summary indicating 'Unable to perform detailed analysis'.</w:t>
      </w:r>
    </w:p>
    <w:p>
      <w:pPr>
        <w:pStyle w:val="CommentText"/>
      </w:pPr>
      <w:r>
        <w:t>💡 Suggestion: Conduct a thorough manual review to ensure all clauses are compliant with ADGM regulations and provide a clear compliance summary.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