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ARTICLES OF ASSOCIATION</w:t>
      </w:r>
    </w:p>
    <w:p>
      <w:pPr>
        <w:pStyle w:val="Heading1"/>
      </w:pPr>
      <w:r>
        <w:t>ABC TRADING LIMITED</w:t>
      </w:r>
    </w:p>
    <w:p>
      <w:pPr>
        <w:jc w:val="center"/>
      </w:pPr>
      <w:r>
        <w:t>(A Company Incorporated in the Abu Dhabi Global Market)</w:t>
      </w:r>
    </w:p>
    <w:p>
      <w:pPr>
        <w:pStyle w:val="Heading2"/>
      </w:pPr>
      <w:r>
        <w:t>1. COMPANY DETAILS</w:t>
      </w:r>
    </w:p>
    <w:p>
      <w:r>
        <w:t>1.1 Company Name: ABC Trading Limited</w:t>
      </w:r>
    </w:p>
    <w:p>
      <w:r>
        <w:t>1.2 Registered Office: ADGM Square, Al Maryah Island, Abu Dhabi, UAE</w:t>
      </w:r>
    </w:p>
    <w:p>
      <w:commentRangeStart w:id="0"/>
      <w:r>
        <w:rPr>
          <w:highlight w:val="yellow"/>
        </w:rPr>
        <w:t>1.3 Company Number: [To be assigned by ADGM Registration Authority]</w:t>
      </w:r>
      <w:commentRangeEnd w:id="0"/>
      <w:r>
        <w:rPr>
          <w:rStyle w:val="CommentReference"/>
        </w:rPr>
        <w:commentReference w:id="0"/>
      </w:r>
    </w:p>
    <w:p>
      <w:pPr>
        <w:pStyle w:val="Heading2"/>
      </w:pPr>
      <w:r>
        <w:t>2. OBJECTS AND POWERS</w:t>
      </w:r>
    </w:p>
    <w:p>
      <w:r>
        <w:t>2.1 The objects for which the Company is established are to carry on business as a general commercial company and to engage in any lawful business activity permitted under ADGM Commercial Law and applicable regulations.</w:t>
      </w:r>
    </w:p>
    <w:p>
      <w:r>
        <w:t>2.2 The Company shall have all powers necessary or convenient for carrying out its objects.</w:t>
      </w:r>
    </w:p>
    <w:p>
      <w:pPr>
        <w:pStyle w:val="Heading2"/>
      </w:pPr>
      <w:r>
        <w:t>3. SHARE CAPITAL</w:t>
      </w:r>
    </w:p>
    <w:p>
      <w:r>
        <w:t>3.1 The authorized share capital of the Company is USD 50,000 divided into 50,000 ordinary shares of USD 1.00 each.</w:t>
      </w:r>
    </w:p>
    <w:p>
      <w:commentRangeStart w:id="1"/>
      <w:r>
        <w:rPr>
          <w:highlight w:val="yellow"/>
        </w:rPr>
        <w:t>3.2 The Company may issue shares with or without voting rights.</w:t>
      </w:r>
      <w:commentRangeEnd w:id="1"/>
      <w:r>
        <w:rPr>
          <w:rStyle w:val="CommentReference"/>
        </w:rPr>
        <w:commentReference w:id="1"/>
      </w:r>
    </w:p>
    <w:p>
      <w:pPr>
        <w:pStyle w:val="Heading2"/>
      </w:pPr>
      <w:r>
        <w:t>4. DIRECTORS</w:t>
      </w:r>
    </w:p>
    <w:p>
      <w:r>
        <w:t>4.1 The business of the Company shall be managed by the Directors.</w:t>
      </w:r>
    </w:p>
    <w:p>
      <w:commentRangeStart w:id="2"/>
      <w:r>
        <w:rPr>
          <w:highlight w:val="yellow"/>
        </w:rPr>
        <w:t>4.2 The number of Directors shall not be less than one.</w:t>
      </w:r>
      <w:commentRangeEnd w:id="2"/>
      <w:r>
        <w:rPr>
          <w:rStyle w:val="CommentReference"/>
        </w:rPr>
        <w:commentReference w:id="2"/>
      </w:r>
    </w:p>
    <w:p>
      <w:r>
        <w:t>4.3 Directors shall be appointed by ordinary resolution of the shareholders.</w:t>
      </w:r>
    </w:p>
    <w:p>
      <w:pPr>
        <w:pStyle w:val="Heading2"/>
      </w:pPr>
      <w:r>
        <w:t>5. GENERAL MEETINGS</w:t>
      </w:r>
    </w:p>
    <w:p>
      <w:commentRangeStart w:id="3"/>
      <w:r>
        <w:rPr>
          <w:highlight w:val="yellow"/>
        </w:rPr>
        <w:t>5.1 An annual general meeting shall be held once in every calendar year and not more than 15 months after the last preceding annual general meeting.</w:t>
      </w:r>
      <w:commentRangeEnd w:id="3"/>
      <w:r>
        <w:rPr>
          <w:rStyle w:val="CommentReference"/>
        </w:rPr>
        <w:commentReference w:id="3"/>
      </w:r>
    </w:p>
    <w:p>
      <w:pPr>
        <w:pStyle w:val="Heading2"/>
      </w:pPr>
      <w:r>
        <w:t>6. GOVERNING LAW</w:t>
      </w:r>
    </w:p>
    <w:p>
      <w:r>
        <w:t>6.1 These Articles shall be governed by and construed in accordance with ADGM Commercial Law.</w:t>
      </w:r>
    </w:p>
    <w:p>
      <w:pPr>
        <w:pStyle w:val="Heading2"/>
      </w:pPr>
      <w:r>
        <w:t>7. DISPUTE RESOLUTION</w:t>
      </w:r>
    </w:p>
    <w:p>
      <w:r>
        <w:t>7.1 Any disputes arising under these Articles shall be subject to the exclusive jurisdiction of ADGM Courts.</w:t>
      </w:r>
    </w:p>
    <w:p>
      <w:pPr>
        <w:pStyle w:val="Heading2"/>
      </w:pPr>
      <w:commentRangeStart w:id="4"/>
      <w:r>
        <w:rPr>
          <w:highlight w:val="yellow"/>
        </w:rPr>
        <w:t>8. EXECUTION</w:t>
      </w:r>
      <w:commentRangeEnd w:id="4"/>
      <w:r>
        <w:rPr>
          <w:rStyle w:val="CommentReference"/>
        </w:rPr>
        <w:commentReference w:id="4"/>
      </w:r>
    </w:p>
    <w:p>
      <w:r>
        <w:t>IN WITNESS WHEREOF, the subscribers have executed these Articles.</w:t>
      </w:r>
    </w:p>
    <w:p/>
    <w:p>
      <w:r>
        <w:t>Signed by: _______________________</w:t>
      </w:r>
    </w:p>
    <w:p>
      <w:r>
        <w:t>Name: [To be completed]</w:t>
      </w:r>
    </w:p>
    <w:p>
      <w:r>
        <w:t>Date: [To be completed]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mc="http://schemas.openxmlformats.org/markup-compatibility/2006" xmlns:a14="http://schemas.microsoft.com/office/drawing/2010/main" xmlns:w14="http://schemas.microsoft.com/office/word/2010/wordml" xmlns:wpc="http://schemas.microsoft.com/office/word/2010/wordprocessingCanvas">
  <w:comment w:id="0" w:author="ADGM Compliance Agent" w:initials="ACA" w:date="2025-08-10T09:25:40Z">
    <w:p>
      <w:pPr>
        <w:pStyle w:val="CommentText"/>
      </w:pPr>
      <w:r>
        <w:rPr>
          <w:rStyle w:val="CommentReference"/>
        </w:rPr>
        <w:annotationRef/>
      </w:r>
      <w:r>
        <w:t>***ADGM Compliance Issue***</w:t>
      </w:r>
    </w:p>
    <w:p>
      <w:pPr>
        <w:pStyle w:val="CommentText"/>
      </w:pPr>
      <w:r>
        <w:t>**Severity:** Low</w:t>
      </w:r>
    </w:p>
    <w:p>
      <w:pPr>
        <w:pStyle w:val="CommentText"/>
      </w:pPr>
      <w:r>
        <w:t>**Issue:** The Company Number is not specified and is marked as '[To be assigned by ADGM Registration Authority]'.</w:t>
      </w:r>
    </w:p>
    <w:p>
      <w:pPr>
        <w:pStyle w:val="CommentText"/>
      </w:pPr>
      <w:r>
        <w:t>**Suggestion:** Ensure that the Company Number is assigned and updated in the Articles once provided by the ADGM Registration Authority, as per ADGM registration requirements.</w:t>
      </w:r>
    </w:p>
  </w:comment>
  <w:comment w:id="1" w:author="ADGM Compliance Agent" w:initials="ACA" w:date="2025-08-10T09:25:40Z">
    <w:p>
      <w:pPr>
        <w:pStyle w:val="CommentText"/>
      </w:pPr>
      <w:r>
        <w:rPr>
          <w:rStyle w:val="CommentReference"/>
        </w:rPr>
        <w:annotationRef/>
      </w:r>
      <w:r>
        <w:t>***ADGM Compliance Issue***</w:t>
      </w:r>
    </w:p>
    <w:p>
      <w:pPr>
        <w:pStyle w:val="CommentText"/>
      </w:pPr>
      <w:r>
        <w:t>**Severity:** Medium</w:t>
      </w:r>
    </w:p>
    <w:p>
      <w:pPr>
        <w:pStyle w:val="CommentText"/>
      </w:pPr>
      <w:r>
        <w:t>**Issue:** The clause states that the Company may issue shares with or without voting rights, but does not specify the conditions or classes of shares.</w:t>
      </w:r>
    </w:p>
    <w:p>
      <w:pPr>
        <w:pStyle w:val="CommentText"/>
      </w:pPr>
      <w:r>
        <w:t>**Suggestion:** Clarify the conditions under which shares may be issued with or without voting rights, in accordance with ADGM Companies Regulations, Part 3, Section 22.</w:t>
      </w:r>
    </w:p>
  </w:comment>
  <w:comment w:id="2" w:author="ADGM Compliance Agent" w:initials="ACA" w:date="2025-08-10T09:25:40Z">
    <w:p>
      <w:pPr>
        <w:pStyle w:val="CommentText"/>
      </w:pPr>
      <w:r>
        <w:rPr>
          <w:rStyle w:val="CommentReference"/>
        </w:rPr>
        <w:annotationRef/>
      </w:r>
      <w:r>
        <w:t>***ADGM Compliance Issue***</w:t>
      </w:r>
    </w:p>
    <w:p>
      <w:pPr>
        <w:pStyle w:val="CommentText"/>
      </w:pPr>
      <w:r>
        <w:t>**Severity:** Low</w:t>
      </w:r>
    </w:p>
    <w:p>
      <w:pPr>
        <w:pStyle w:val="CommentText"/>
      </w:pPr>
      <w:r>
        <w:t>**Issue:** The minimum number of Directors is specified as one, but there is no maximum limit mentioned.</w:t>
      </w:r>
    </w:p>
    <w:p>
      <w:pPr>
        <w:pStyle w:val="CommentText"/>
      </w:pPr>
      <w:r>
        <w:t>**Suggestion:** Consider specifying a maximum number of Directors to ensure compliance with corporate governance best practices, as recommended in ADGM Companies Regulations, Part 10, Section 152.</w:t>
      </w:r>
    </w:p>
  </w:comment>
  <w:comment w:id="3" w:author="ADGM Compliance Agent" w:initials="ACA" w:date="2025-08-10T09:25:40Z">
    <w:p>
      <w:pPr>
        <w:pStyle w:val="CommentText"/>
      </w:pPr>
      <w:r>
        <w:rPr>
          <w:rStyle w:val="CommentReference"/>
        </w:rPr>
        <w:annotationRef/>
      </w:r>
      <w:r>
        <w:t>***ADGM Compliance Issue***</w:t>
      </w:r>
    </w:p>
    <w:p>
      <w:pPr>
        <w:pStyle w:val="CommentText"/>
      </w:pPr>
      <w:r>
        <w:t>**Severity:** Medium</w:t>
      </w:r>
    </w:p>
    <w:p>
      <w:pPr>
        <w:pStyle w:val="CommentText"/>
      </w:pPr>
      <w:r>
        <w:t>**Issue:** The clause specifies the timing of the annual general meeting but does not mention the notice period required for calling such meetings.</w:t>
      </w:r>
    </w:p>
    <w:p>
      <w:pPr>
        <w:pStyle w:val="CommentText"/>
      </w:pPr>
      <w:r>
        <w:t>**Suggestion:** Include a provision for the notice period required for calling an annual general meeting, in line with ADGM Companies Regulations, Part 11, Section 178.</w:t>
      </w:r>
    </w:p>
  </w:comment>
  <w:comment w:id="4" w:author="ADGM Compliance Agent" w:initials="ACA" w:date="2025-08-10T09:25:40Z">
    <w:p>
      <w:pPr>
        <w:pStyle w:val="CommentText"/>
      </w:pPr>
      <w:r>
        <w:rPr>
          <w:rStyle w:val="CommentReference"/>
        </w:rPr>
        <w:annotationRef/>
      </w:r>
      <w:r>
        <w:t>***ADGM Compliance Issue***</w:t>
      </w:r>
    </w:p>
    <w:p>
      <w:pPr>
        <w:pStyle w:val="CommentText"/>
      </w:pPr>
      <w:r>
        <w:t>**Severity:** Low</w:t>
      </w:r>
    </w:p>
    <w:p>
      <w:pPr>
        <w:pStyle w:val="CommentText"/>
      </w:pPr>
      <w:r>
        <w:t>**Issue:** The execution section is incomplete with placeholders for the name and date.</w:t>
      </w:r>
    </w:p>
    <w:p>
      <w:pPr>
        <w:pStyle w:val="CommentText"/>
      </w:pPr>
      <w:r>
        <w:t>**Suggestion:** Ensure that the execution section is completed with the appropriate signatories and date before submission, as required by ADGM Companies Regulations, Part 2, Section 8.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