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Resolution Center — Dispute Rulebook v0.1</w:t>
      </w:r>
    </w:p>
    <w:p>
      <w:pPr/>
      <w:r>
        <w:t xml:space="preserve">Draft synthetic policy for INR and SNAD cases. It is invented for learning and benchmarking, not any real company's policy. All thresholds are placeholders for you to edit.</w:t>
      </w:r>
    </w:p>
    <w:p>
      <w:pPr>
        <w:pStyle w:val="Heading2"/>
      </w:pPr>
      <w:r>
        <w:t xml:space="preserve">1. How this rulebook is used</w:t>
      </w:r>
    </w:p>
    <w:p>
      <w:pPr>
        <w:pStyle w:val="ListParagraph"/>
        <w:numPr>
          <w:ilvl w:val="0"/>
          <w:numId w:val="2"/>
        </w:numPr>
      </w:pPr>
      <w:r>
        <w:t xml:space="preserve">It is the single source of truth for gold labels: every synthetic case is labeled by applying these rules in order, never by a model's opinion.</w:t>
      </w:r>
    </w:p>
    <w:p>
      <w:pPr>
        <w:pStyle w:val="ListParagraph"/>
        <w:numPr>
          <w:ilvl w:val="0"/>
          <w:numId w:val="2"/>
        </w:numPr>
      </w:pPr>
      <w:r>
        <w:t xml:space="preserve">Each rule has an ID. The gold label records the outcome and the rule that fired, so you can also score whether a model cites the right rule.</w:t>
      </w:r>
    </w:p>
    <w:p>
      <w:pPr>
        <w:pStyle w:val="ListParagraph"/>
        <w:numPr>
          <w:ilvl w:val="0"/>
          <w:numId w:val="2"/>
        </w:numPr>
      </w:pPr>
      <w:r>
        <w:t xml:space="preserve">The AI recommends; deterministic rules enforce eligibility; a human approves consequential outcomes.</w:t>
      </w:r>
    </w:p>
    <w:p>
      <w:pPr>
        <w:pStyle w:val="Heading2"/>
      </w:pPr>
      <w:r>
        <w:t xml:space="preserve">2. Outcomes (decision schema)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6"/>
        <w:gridCol w:w="6093"/>
      </w:tblGrid>
      <w:tr>
        <w:trPr>
          <w:tblHeader/>
        </w:trPr>
        <w:tc>
          <w:tcPr>
            <w:tcW w:w="3266" w:type="dxa"/>
            <w:shd w:val="clear" w:color="auto" w:fill="F2F2F2"/>
          </w:tcPr>
          <w:p>
            <w:pPr/>
            <w:r>
              <w:t xml:space="preserve">Outcome</w:t>
            </w:r>
          </w:p>
        </w:tc>
        <w:tc>
          <w:tcPr>
            <w:tcW w:w="6093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APPROVE_BUYER</w:t>
            </w:r>
          </w:p>
        </w:tc>
        <w:tc>
          <w:tcPr>
            <w:tcW w:w="6093" w:type="dxa"/>
          </w:tcPr>
          <w:p>
            <w:pPr/>
            <w:r>
              <w:t xml:space="preserve">Recommend refund to the buyer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DENY</w:t>
            </w:r>
          </w:p>
        </w:tc>
        <w:tc>
          <w:tcPr>
            <w:tcW w:w="6093" w:type="dxa"/>
          </w:tcPr>
          <w:p>
            <w:pPr/>
            <w:r>
              <w:t xml:space="preserve">Recommend closing in the seller's favor (including ineligible cases)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REQUEST_EVIDENCE</w:t>
            </w:r>
          </w:p>
        </w:tc>
        <w:tc>
          <w:tcPr>
            <w:tcW w:w="6093" w:type="dxa"/>
          </w:tcPr>
          <w:p>
            <w:pPr/>
            <w:r>
              <w:t xml:space="preserve">Evidence is insufficient; ask buyer or seller for specific items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ESCALATE</w:t>
            </w:r>
          </w:p>
        </w:tc>
        <w:tc>
          <w:tcPr>
            <w:tcW w:w="6093" w:type="dxa"/>
          </w:tcPr>
          <w:p>
            <w:pPr/>
            <w:r>
              <w:t xml:space="preserve">Needs a human investigator (conflict, high risk or possible abuse)</w:t>
            </w:r>
          </w:p>
        </w:tc>
      </w:tr>
    </w:tbl>
    <w:p>
      <w:pPr/>
      <w:r>
        <w:t xml:space="preserve">Partial refunds are out of scope for v0.1.</w:t>
      </w:r>
    </w:p>
    <w:p>
      <w:pPr>
        <w:pStyle w:val="Heading2"/>
      </w:pPr>
      <w:r>
        <w:t xml:space="preserve">3. Case fields (evidence packet)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case_type</w:t>
            </w:r>
          </w:p>
        </w:tc>
        <w:tc>
          <w:tcPr>
            <w:tcW w:w="4920" w:type="dxa"/>
          </w:tcPr>
          <w:p>
            <w:pPr/>
            <w:r>
              <w:t xml:space="preserve">INR, SNAD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order_amount</w:t>
            </w:r>
          </w:p>
        </w:tc>
        <w:tc>
          <w:tcPr>
            <w:tcW w:w="4920" w:type="dxa"/>
          </w:tcPr>
          <w:p>
            <w:pPr/>
            <w:r>
              <w:t xml:space="preserve">number (placeholder currency)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order_date, filed_date, promised_delivery_date</w:t>
            </w:r>
          </w:p>
        </w:tc>
        <w:tc>
          <w:tcPr>
            <w:tcW w:w="4920" w:type="dxa"/>
          </w:tcPr>
          <w:p>
            <w:pPr/>
            <w:r>
              <w:t xml:space="preserve">dates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tracking_status</w:t>
            </w:r>
          </w:p>
        </w:tc>
        <w:tc>
          <w:tcPr>
            <w:tcW w:w="4920" w:type="dxa"/>
          </w:tcPr>
          <w:p>
            <w:pPr/>
            <w:r>
              <w:t xml:space="preserve">none, in_transit, delivered, lost, returned_to_sender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delivery_proof</w:t>
            </w:r>
          </w:p>
        </w:tc>
        <w:tc>
          <w:tcPr>
            <w:tcW w:w="4920" w:type="dxa"/>
          </w:tcPr>
          <w:p>
            <w:pPr/>
            <w:r>
              <w:t xml:space="preserve">signature, photo, none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address_match</w:t>
            </w:r>
          </w:p>
        </w:tc>
        <w:tc>
          <w:tcPr>
            <w:tcW w:w="4920" w:type="dxa"/>
          </w:tcPr>
          <w:p>
            <w:pPr/>
            <w:r>
              <w:t xml:space="preserve">true, false, unknown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merchant_response</w:t>
            </w:r>
          </w:p>
        </w:tc>
        <w:tc>
          <w:tcPr>
            <w:tcW w:w="4920" w:type="dxa"/>
          </w:tcPr>
          <w:p>
            <w:pPr/>
            <w:r>
              <w:t xml:space="preserve">none, provided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buyer_evidence</w:t>
            </w:r>
          </w:p>
        </w:tc>
        <w:tc>
          <w:tcPr>
            <w:tcW w:w="4920" w:type="dxa"/>
          </w:tcPr>
          <w:p>
            <w:pPr/>
            <w:r>
              <w:t xml:space="preserve">list (photos, messages, documents)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merchant_evidence</w:t>
            </w:r>
          </w:p>
        </w:tc>
        <w:tc>
          <w:tcPr>
            <w:tcW w:w="4920" w:type="dxa"/>
          </w:tcPr>
          <w:p>
            <w:pPr/>
            <w:r>
              <w:t xml:space="preserve">list (listing snapshot, packaging photos, tracking)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prior_buyer_disputes_90d</w:t>
            </w:r>
          </w:p>
        </w:tc>
        <w:tc>
          <w:tcPr>
            <w:tcW w:w="4920" w:type="dxa"/>
          </w:tcPr>
          <w:p>
            <w:pPr/>
            <w:r>
              <w:t xml:space="preserve">integer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return_status</w:t>
            </w:r>
          </w:p>
        </w:tc>
        <w:tc>
          <w:tcPr>
            <w:tcW w:w="4920" w:type="dxa"/>
          </w:tcPr>
          <w:p>
            <w:pPr/>
            <w:r>
              <w:t xml:space="preserve">not_required, not_shipped, in_transit, received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is_duplicate</w:t>
            </w:r>
          </w:p>
        </w:tc>
        <w:tc>
          <w:tcPr>
            <w:tcW w:w="4920" w:type="dxa"/>
          </w:tcPr>
          <w:p>
            <w:pPr/>
            <w:r>
              <w:t xml:space="preserve">true, false</w:t>
            </w:r>
          </w:p>
        </w:tc>
      </w:tr>
    </w:tbl>
    <w:p>
      <w:pPr>
        <w:pStyle w:val="Heading2"/>
      </w:pPr>
      <w:r>
        <w:t xml:space="preserve">4. Global rules (apply first, in this order)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G1 Filing window:</w:t>
      </w:r>
      <w:r>
        <w:t xml:space="preserve"> filed more than 180 days after order date → DENY.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G2 Duplicate:</w:t>
      </w:r>
      <w:r>
        <w:t xml:space="preserve"> is_duplicate is true → DENY.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G3 Counterfeit claim:</w:t>
      </w:r>
      <w:r>
        <w:t xml:space="preserve"> buyer alleges a counterfeit item → ESCALATE.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G4 High value:</w:t>
      </w:r>
      <w:r>
        <w:t xml:space="preserve"> order_amount of 1,000 or more and evidence conflicts → ESCALATE.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G5 Abuse signal:</w:t>
      </w:r>
      <w:r>
        <w:t xml:space="preserve"> 3 or more prior buyer disputes in 90 days and delivery proof exists → ESCALATE.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G6 Conflict:</w:t>
      </w:r>
      <w:r>
        <w:t xml:space="preserve"> buyer and merchant evidence directly contradict and rules cannot decide → ESCALATE.</w:t>
      </w:r>
    </w:p>
    <w:p>
      <w:pPr>
        <w:pStyle w:val="Heading2"/>
      </w:pPr>
      <w:r>
        <w:t xml:space="preserve">5. INR rules (Item Not Received)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INR-1 Too early:</w:t>
      </w:r>
      <w:r>
        <w:t xml:space="preserve"> filed before the promised delivery date and tracking is not lost or returned → DENY.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INR-2 Proven delivery:</w:t>
      </w:r>
      <w:r>
        <w:t xml:space="preserve"> tracking delivered, delivery_proof is signature or photo, and address_match is true → DENY.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INR-3 Weak delivery proof:</w:t>
      </w:r>
      <w:r>
        <w:t xml:space="preserve"> tracking delivered, but delivery_proof is none or address_match is false → APPROVE_BUYER.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INR-4 Lost or returned:</w:t>
      </w:r>
      <w:r>
        <w:t xml:space="preserve"> tracking is lost or returned_to_sender → APPROVE_BUYER.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INR-5 No tracking:</w:t>
      </w:r>
      <w:r>
        <w:t xml:space="preserve"> tracking none, 7 or more days past promised date, and merchant_response none → APPROVE_BUYER.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INR-6 Merchant silent, tracking unclear:</w:t>
      </w:r>
      <w:r>
        <w:t xml:space="preserve"> tracking none, past promised date by under 7 days → REQUEST_EVIDENCE.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INR-7 Long transit:</w:t>
      </w:r>
      <w:r>
        <w:t xml:space="preserve"> tracking in_transit, 14 or more days past promised date → APPROVE_BUYER; fewer than 14 days → DENY (wait for delivery).</w:t>
      </w:r>
    </w:p>
    <w:p>
      <w:pPr>
        <w:pStyle w:val="Heading2"/>
      </w:pPr>
      <w:r>
        <w:t xml:space="preserve">6. SNAD rules (Significantly Not as Described)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SNAD-1 Missing claim evidence:</w:t>
      </w:r>
      <w:r>
        <w:t xml:space="preserve"> buyer gives no description or no photo → REQUEST_EVIDENCE.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SNAD-2 Wrong item:</w:t>
      </w:r>
      <w:r>
        <w:t xml:space="preserve"> buyer photo shows a different item than the listing → APPROVE_BUYER.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SNAD-3 Clear mismatch:</w:t>
      </w:r>
      <w:r>
        <w:t xml:space="preserve"> listing states a specific attribute (for example new, size, model), buyer evidence shows otherwise, and merchant_response is none → APPROVE_BUYER.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SNAD-4 Buyer's remorse:</w:t>
      </w:r>
      <w:r>
        <w:t xml:space="preserve"> buyer's reason is subjective only (changed mind, did not like it) and listing matches the item → DENY.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SNAD-5 Damaged in transit:</w:t>
      </w:r>
      <w:r>
        <w:t xml:space="preserve"> buyer photos show damage and merchant has no packaging evidence → APPROVE_BUYER; merchant shows packaging was sound and damage is ambiguous → ESCALATE.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SNAD-6 Return required:</w:t>
      </w:r>
      <w:r>
        <w:t xml:space="preserve"> order_amount of 100 or more and return_status is not_shipped → REQUEST_EVIDENCE (ask for return proof); return_status received → APPROVE_BUYER.</w:t>
      </w:r>
    </w:p>
    <w:p>
      <w:pPr>
        <w:pStyle w:val="Heading2"/>
      </w:pPr>
      <w:r>
        <w:t xml:space="preserve">7. Precedence and default</w:t>
      </w:r>
    </w:p>
    <w:p>
      <w:pPr>
        <w:pStyle w:val="ListParagraph"/>
        <w:numPr>
          <w:ilvl w:val="0"/>
          <w:numId w:val="6"/>
        </w:numPr>
      </w:pPr>
      <w:r>
        <w:t xml:space="preserve">Global rules G1 to G6, in order.</w:t>
      </w:r>
    </w:p>
    <w:p>
      <w:pPr>
        <w:pStyle w:val="ListParagraph"/>
        <w:numPr>
          <w:ilvl w:val="0"/>
          <w:numId w:val="6"/>
        </w:numPr>
      </w:pPr>
      <w:r>
        <w:t xml:space="preserve">The matching INR or SNAD rule.</w:t>
      </w:r>
    </w:p>
    <w:p>
      <w:pPr>
        <w:pStyle w:val="ListParagraph"/>
        <w:numPr>
          <w:ilvl w:val="0"/>
          <w:numId w:val="6"/>
        </w:numPr>
      </w:pPr>
      <w:r>
        <w:t xml:space="preserve">If no rule matches or evidence is insufficient: REQUEST_EVIDENCE.</w:t>
      </w:r>
    </w:p>
    <w:p>
      <w:pPr>
        <w:pStyle w:val="Heading2"/>
      </w:pPr>
      <w:r>
        <w:t xml:space="preserve">8. Hard cases the dataset must include</w:t>
      </w:r>
    </w:p>
    <w:p>
      <w:pPr>
        <w:pStyle w:val="ListParagraph"/>
        <w:numPr>
          <w:ilvl w:val="0"/>
          <w:numId w:val="7"/>
        </w:numPr>
      </w:pPr>
      <w:r>
        <w:t xml:space="preserve">Delivered with a signature, but the buyer submits a credible counter-claim (escalation trap).</w:t>
      </w:r>
    </w:p>
    <w:p>
      <w:pPr>
        <w:pStyle w:val="ListParagraph"/>
        <w:numPr>
          <w:ilvl w:val="0"/>
          <w:numId w:val="7"/>
        </w:numPr>
      </w:pPr>
      <w:r>
        <w:t xml:space="preserve">Merchant responds late, after the buyer's claim.</w:t>
      </w:r>
    </w:p>
    <w:p>
      <w:pPr>
        <w:pStyle w:val="ListParagraph"/>
        <w:numPr>
          <w:ilvl w:val="0"/>
          <w:numId w:val="7"/>
        </w:numPr>
      </w:pPr>
      <w:r>
        <w:t xml:space="preserve">Tracking contradicts the buyer's account of dates.</w:t>
      </w:r>
    </w:p>
    <w:p>
      <w:pPr>
        <w:pStyle w:val="ListParagraph"/>
        <w:numPr>
          <w:ilvl w:val="0"/>
          <w:numId w:val="7"/>
        </w:numPr>
      </w:pPr>
      <w:r>
        <w:t xml:space="preserve">Buyer with several recent disputes and strong delivery proof.</w:t>
      </w:r>
    </w:p>
    <w:p>
      <w:pPr>
        <w:pStyle w:val="ListParagraph"/>
        <w:numPr>
          <w:ilvl w:val="0"/>
          <w:numId w:val="7"/>
        </w:numPr>
      </w:pPr>
      <w:r>
        <w:t xml:space="preserve">High-value order with partial evidence.</w:t>
      </w:r>
    </w:p>
    <w:p>
      <w:pPr>
        <w:pStyle w:val="ListParagraph"/>
        <w:numPr>
          <w:ilvl w:val="0"/>
          <w:numId w:val="7"/>
        </w:numPr>
      </w:pPr>
      <w:r>
        <w:t xml:space="preserve">Vague buyer text that looks like SNAD but is remorse.</w:t>
      </w:r>
    </w:p>
    <w:p>
      <w:pPr>
        <w:pStyle w:val="ListParagraph"/>
        <w:numPr>
          <w:ilvl w:val="0"/>
          <w:numId w:val="7"/>
        </w:numPr>
      </w:pPr>
      <w:r>
        <w:t xml:space="preserve">Both sides supply plausible but conflicting evidence.</w:t>
      </w:r>
    </w:p>
    <w:p>
      <w:pPr>
        <w:pStyle w:val="ListParagraph"/>
        <w:numPr>
          <w:ilvl w:val="0"/>
          <w:numId w:val="7"/>
        </w:numPr>
      </w:pPr>
      <w:r>
        <w:t xml:space="preserve">Missing or malformed fields (null tracking, unknown address match).</w:t>
      </w:r>
    </w:p>
    <w:p>
      <w:pPr/>
      <w:r>
        <w:t xml:space="preserve">Suggested mix for the first gold set: about 30% clear APPROVE_BUYER, 30% clear DENY, 20% REQUEST_EVIDENCE, 20% ESCALATE, with at least a third of cases drawn from the hard-case list.</w:t>
      </w:r>
    </w:p>
    <w:p>
      <w:pPr>
        <w:pStyle w:val="Heading2"/>
      </w:pPr>
      <w:r>
        <w:t xml:space="preserve">9. Open decisions for you</w:t>
      </w:r>
    </w:p>
    <w:p>
      <w:pPr>
        <w:pStyle w:val="ListParagraph"/>
        <w:numPr>
          <w:ilvl w:val="0"/>
          <w:numId w:val="8"/>
        </w:numPr>
      </w:pPr>
      <w:r>
        <w:t xml:space="preserve">Are the thresholds (180 days, 7 and 14 days, 100 and 1,000 amounts, 3 prior disputes) acceptable?</w:t>
      </w:r>
    </w:p>
    <w:p>
      <w:pPr>
        <w:pStyle w:val="ListParagraph"/>
        <w:numPr>
          <w:ilvl w:val="0"/>
          <w:numId w:val="8"/>
        </w:numPr>
      </w:pPr>
      <w:r>
        <w:t xml:space="preserve">Do you want a partial-refund outcome in v0.2?</w:t>
      </w:r>
    </w:p>
    <w:p>
      <w:pPr>
        <w:pStyle w:val="ListParagraph"/>
        <w:numPr>
          <w:ilvl w:val="0"/>
          <w:numId w:val="8"/>
        </w:numPr>
      </w:pPr>
      <w:r>
        <w:t xml:space="preserve">Add unauthorized transactions and refund-not-received after INR and SNAD work?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Resolution Center — Dispute Rulebook v0.1</dc:title>
  <dc:description>Claude Docs node/fb06bb83-3991@3 docx-w7</dc:description>
  <cp:revision>3</cp:revision>
</cp:coreProperties>
</file>