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Green Cover Index (GCI) Analysis Report</w:t>
      </w:r>
    </w:p>
    <w:p>
      <w:pPr>
        <w:pStyle w:val="Heading2"/>
      </w:pPr>
      <w:r>
        <w:t>Introduction</w:t>
      </w:r>
    </w:p>
    <w:p>
      <w:r>
        <w:t>This report provides an analysis of the Green Cover Index (GCI) over the years, predicts its trends for the next decade, and includes details about the plot's area and proximity to lakes.</w:t>
      </w:r>
    </w:p>
    <w:p>
      <w:pPr>
        <w:pStyle w:val="Heading2"/>
      </w:pPr>
      <w:r>
        <w:t>Plot Analysis</w:t>
      </w:r>
    </w:p>
    <w:p>
      <w:r>
        <w:t>The following are the coordinates of the plot points:</w:t>
      </w:r>
    </w:p>
    <w:tbl>
      <w:tblPr>
        <w:tblStyle w:val="TableGrid"/>
        <w:tblW w:type="auto" w:w="0"/>
        <w:tblLook w:firstColumn="1" w:firstRow="1" w:lastColumn="0" w:lastRow="0" w:noHBand="0" w:noVBand="1" w:val="04A0"/>
      </w:tblPr>
      <w:tblGrid>
        <w:gridCol w:w="4320"/>
        <w:gridCol w:w="4320"/>
      </w:tblGrid>
      <w:tr>
        <w:tc>
          <w:tcPr>
            <w:tcW w:type="dxa" w:w="4320"/>
          </w:tcPr>
          <w:p>
            <w:r>
              <w:t>Latitude</w:t>
            </w:r>
          </w:p>
        </w:tc>
        <w:tc>
          <w:tcPr>
            <w:tcW w:type="dxa" w:w="4320"/>
          </w:tcPr>
          <w:p>
            <w:r>
              <w:t>Longitude</w:t>
            </w:r>
          </w:p>
        </w:tc>
      </w:tr>
      <w:tr>
        <w:tc>
          <w:tcPr>
            <w:tcW w:type="dxa" w:w="4320"/>
          </w:tcPr>
          <w:p>
            <w:r>
              <w:t>12.933381</w:t>
            </w:r>
          </w:p>
        </w:tc>
        <w:tc>
          <w:tcPr>
            <w:tcW w:type="dxa" w:w="4320"/>
          </w:tcPr>
          <w:p>
            <w:r>
              <w:t>77.575350</w:t>
            </w:r>
          </w:p>
        </w:tc>
      </w:tr>
      <w:tr>
        <w:tc>
          <w:tcPr>
            <w:tcW w:type="dxa" w:w="4320"/>
          </w:tcPr>
          <w:p>
            <w:r>
              <w:t>12.933371</w:t>
            </w:r>
          </w:p>
        </w:tc>
        <w:tc>
          <w:tcPr>
            <w:tcW w:type="dxa" w:w="4320"/>
          </w:tcPr>
          <w:p>
            <w:r>
              <w:t>77.575495</w:t>
            </w:r>
          </w:p>
        </w:tc>
      </w:tr>
      <w:tr>
        <w:tc>
          <w:tcPr>
            <w:tcW w:type="dxa" w:w="4320"/>
          </w:tcPr>
          <w:p>
            <w:r>
              <w:t>12.933204</w:t>
            </w:r>
          </w:p>
        </w:tc>
        <w:tc>
          <w:tcPr>
            <w:tcW w:type="dxa" w:w="4320"/>
          </w:tcPr>
          <w:p>
            <w:r>
              <w:t>77.575562</w:t>
            </w:r>
          </w:p>
        </w:tc>
      </w:tr>
      <w:tr>
        <w:tc>
          <w:tcPr>
            <w:tcW w:type="dxa" w:w="4320"/>
          </w:tcPr>
          <w:p>
            <w:r>
              <w:t>12.933219</w:t>
            </w:r>
          </w:p>
        </w:tc>
        <w:tc>
          <w:tcPr>
            <w:tcW w:type="dxa" w:w="4320"/>
          </w:tcPr>
          <w:p>
            <w:r>
              <w:t>77.575329</w:t>
            </w:r>
          </w:p>
        </w:tc>
      </w:tr>
    </w:tbl>
    <w:p>
      <w:r>
        <w:t>The calculated area of the plot is 372.53 square meters.</w:t>
      </w:r>
    </w:p>
    <w:p>
      <w:r>
        <w:t>The plot is outside the legal buffer zone. The closest lake details are as follows:</w:t>
      </w:r>
    </w:p>
    <w:tbl>
      <w:tblPr>
        <w:tblStyle w:val="TableGrid"/>
        <w:tblW w:type="auto" w:w="0"/>
        <w:tblLook w:firstColumn="1" w:firstRow="1" w:lastColumn="0" w:lastRow="0" w:noHBand="0" w:noVBand="1" w:val="04A0"/>
      </w:tblPr>
      <w:tblGrid>
        <w:gridCol w:w="4320"/>
        <w:gridCol w:w="4320"/>
      </w:tblGrid>
      <w:tr>
        <w:tc>
          <w:tcPr>
            <w:tcW w:type="dxa" w:w="4320"/>
          </w:tcPr>
          <w:p>
            <w:r>
              <w:t>Attribute</w:t>
            </w:r>
          </w:p>
        </w:tc>
        <w:tc>
          <w:tcPr>
            <w:tcW w:type="dxa" w:w="4320"/>
          </w:tcPr>
          <w:p>
            <w:r>
              <w:t>Value</w:t>
            </w:r>
          </w:p>
        </w:tc>
      </w:tr>
      <w:tr>
        <w:tc>
          <w:tcPr>
            <w:tcW w:type="dxa" w:w="4320"/>
          </w:tcPr>
          <w:p>
            <w:r>
              <w:t>name_of_th</w:t>
            </w:r>
          </w:p>
        </w:tc>
        <w:tc>
          <w:tcPr>
            <w:tcW w:type="dxa" w:w="4320"/>
          </w:tcPr>
          <w:p>
            <w:r>
              <w:t>Yediyur kere</w:t>
            </w:r>
          </w:p>
        </w:tc>
      </w:tr>
      <w:tr>
        <w:tc>
          <w:tcPr>
            <w:tcW w:type="dxa" w:w="4320"/>
          </w:tcPr>
          <w:p>
            <w:r>
              <w:t>unique_id</w:t>
            </w:r>
          </w:p>
        </w:tc>
        <w:tc>
          <w:tcPr>
            <w:tcW w:type="dxa" w:w="4320"/>
          </w:tcPr>
          <w:p>
            <w:r>
              <w:t>626</w:t>
            </w:r>
          </w:p>
        </w:tc>
      </w:tr>
      <w:tr>
        <w:tc>
          <w:tcPr>
            <w:tcW w:type="dxa" w:w="4320"/>
          </w:tcPr>
          <w:p>
            <w:r>
              <w:t>valley</w:t>
            </w:r>
          </w:p>
        </w:tc>
        <w:tc>
          <w:tcPr>
            <w:tcW w:type="dxa" w:w="4320"/>
          </w:tcPr>
          <w:p>
            <w:r/>
          </w:p>
        </w:tc>
      </w:tr>
      <w:tr>
        <w:tc>
          <w:tcPr>
            <w:tcW w:type="dxa" w:w="4320"/>
          </w:tcPr>
          <w:p>
            <w:r>
              <w:t>area</w:t>
            </w:r>
          </w:p>
        </w:tc>
        <w:tc>
          <w:tcPr>
            <w:tcW w:type="dxa" w:w="4320"/>
          </w:tcPr>
          <w:p>
            <w:r/>
          </w:p>
        </w:tc>
      </w:tr>
      <w:tr>
        <w:tc>
          <w:tcPr>
            <w:tcW w:type="dxa" w:w="4320"/>
          </w:tcPr>
          <w:p>
            <w:r>
              <w:t>latitude</w:t>
            </w:r>
          </w:p>
        </w:tc>
        <w:tc>
          <w:tcPr>
            <w:tcW w:type="dxa" w:w="4320"/>
          </w:tcPr>
          <w:p>
            <w:r>
              <w:t>12.9342068913904</w:t>
            </w:r>
          </w:p>
        </w:tc>
      </w:tr>
      <w:tr>
        <w:tc>
          <w:tcPr>
            <w:tcW w:type="dxa" w:w="4320"/>
          </w:tcPr>
          <w:p>
            <w:r>
              <w:t>longitude</w:t>
            </w:r>
          </w:p>
        </w:tc>
        <w:tc>
          <w:tcPr>
            <w:tcW w:type="dxa" w:w="4320"/>
          </w:tcPr>
          <w:p>
            <w:r>
              <w:t>77.5756000427416</w:t>
            </w:r>
          </w:p>
        </w:tc>
      </w:tr>
      <w:tr>
        <w:tc>
          <w:tcPr>
            <w:tcW w:type="dxa" w:w="4320"/>
          </w:tcPr>
          <w:p>
            <w:r>
              <w:t>ward_number</w:t>
            </w:r>
          </w:p>
        </w:tc>
        <w:tc>
          <w:tcPr>
            <w:tcW w:type="dxa" w:w="4320"/>
          </w:tcPr>
          <w:p>
            <w:r/>
          </w:p>
        </w:tc>
      </w:tr>
      <w:tr>
        <w:tc>
          <w:tcPr>
            <w:tcW w:type="dxa" w:w="4320"/>
          </w:tcPr>
          <w:p>
            <w:r>
              <w:t>ward_name</w:t>
            </w:r>
          </w:p>
        </w:tc>
        <w:tc>
          <w:tcPr>
            <w:tcW w:type="dxa" w:w="4320"/>
          </w:tcPr>
          <w:p>
            <w:r/>
          </w:p>
        </w:tc>
      </w:tr>
      <w:tr>
        <w:tc>
          <w:tcPr>
            <w:tcW w:type="dxa" w:w="4320"/>
          </w:tcPr>
          <w:p>
            <w:r>
              <w:t>ward_counc</w:t>
            </w:r>
          </w:p>
        </w:tc>
        <w:tc>
          <w:tcPr>
            <w:tcW w:type="dxa" w:w="4320"/>
          </w:tcPr>
          <w:p>
            <w:r/>
          </w:p>
        </w:tc>
      </w:tr>
      <w:tr>
        <w:tc>
          <w:tcPr>
            <w:tcW w:type="dxa" w:w="4320"/>
          </w:tcPr>
          <w:p>
            <w:r>
              <w:t>ward_office</w:t>
            </w:r>
          </w:p>
        </w:tc>
        <w:tc>
          <w:tcPr>
            <w:tcW w:type="dxa" w:w="4320"/>
          </w:tcPr>
          <w:p>
            <w:r/>
          </w:p>
        </w:tc>
      </w:tr>
      <w:tr>
        <w:tc>
          <w:tcPr>
            <w:tcW w:type="dxa" w:w="4320"/>
          </w:tcPr>
          <w:p>
            <w:r>
              <w:t>aream3</w:t>
            </w:r>
          </w:p>
        </w:tc>
        <w:tc>
          <w:tcPr>
            <w:tcW w:type="dxa" w:w="4320"/>
          </w:tcPr>
          <w:p>
            <w:r>
              <w:t>39826.227529684198089</w:t>
            </w:r>
          </w:p>
        </w:tc>
      </w:tr>
    </w:tbl>
    <w:p>
      <w:pPr>
        <w:pStyle w:val="Heading2"/>
      </w:pPr>
      <w:r>
        <w:t>Historical GCI Data</w:t>
      </w:r>
    </w:p>
    <w:p>
      <w:r>
        <w:t>The following table shows the historical GCI values:</w:t>
      </w:r>
    </w:p>
    <w:tbl>
      <w:tblPr>
        <w:tblStyle w:val="TableGrid"/>
        <w:tblW w:type="auto" w:w="0"/>
        <w:tblLook w:firstColumn="1" w:firstRow="1" w:lastColumn="0" w:lastRow="0" w:noHBand="0" w:noVBand="1" w:val="04A0"/>
      </w:tblPr>
      <w:tblGrid>
        <w:gridCol w:w="4320"/>
        <w:gridCol w:w="4320"/>
      </w:tblGrid>
      <w:tr>
        <w:tc>
          <w:tcPr>
            <w:tcW w:type="dxa" w:w="4320"/>
          </w:tcPr>
          <w:p>
            <w:r>
              <w:t>Year</w:t>
            </w:r>
          </w:p>
        </w:tc>
        <w:tc>
          <w:tcPr>
            <w:tcW w:type="dxa" w:w="4320"/>
          </w:tcPr>
          <w:p>
            <w:r>
              <w:t>GCI Value</w:t>
            </w:r>
          </w:p>
        </w:tc>
      </w:tr>
      <w:tr>
        <w:tc>
          <w:tcPr>
            <w:tcW w:type="dxa" w:w="4320"/>
          </w:tcPr>
          <w:p>
            <w:r>
              <w:t>2017</w:t>
            </w:r>
          </w:p>
        </w:tc>
        <w:tc>
          <w:tcPr>
            <w:tcW w:type="dxa" w:w="4320"/>
          </w:tcPr>
          <w:p>
            <w:r>
              <w:t>0.10</w:t>
            </w:r>
          </w:p>
        </w:tc>
      </w:tr>
      <w:tr>
        <w:tc>
          <w:tcPr>
            <w:tcW w:type="dxa" w:w="4320"/>
          </w:tcPr>
          <w:p>
            <w:r>
              <w:t>2018</w:t>
            </w:r>
          </w:p>
        </w:tc>
        <w:tc>
          <w:tcPr>
            <w:tcW w:type="dxa" w:w="4320"/>
          </w:tcPr>
          <w:p>
            <w:r>
              <w:t>0.13</w:t>
            </w:r>
          </w:p>
        </w:tc>
      </w:tr>
      <w:tr>
        <w:tc>
          <w:tcPr>
            <w:tcW w:type="dxa" w:w="4320"/>
          </w:tcPr>
          <w:p>
            <w:r>
              <w:t>2019</w:t>
            </w:r>
          </w:p>
        </w:tc>
        <w:tc>
          <w:tcPr>
            <w:tcW w:type="dxa" w:w="4320"/>
          </w:tcPr>
          <w:p>
            <w:r>
              <w:t>0.08</w:t>
            </w:r>
          </w:p>
        </w:tc>
      </w:tr>
      <w:tr>
        <w:tc>
          <w:tcPr>
            <w:tcW w:type="dxa" w:w="4320"/>
          </w:tcPr>
          <w:p>
            <w:r>
              <w:t>2020</w:t>
            </w:r>
          </w:p>
        </w:tc>
        <w:tc>
          <w:tcPr>
            <w:tcW w:type="dxa" w:w="4320"/>
          </w:tcPr>
          <w:p>
            <w:r>
              <w:t>0.09</w:t>
            </w:r>
          </w:p>
        </w:tc>
      </w:tr>
      <w:tr>
        <w:tc>
          <w:tcPr>
            <w:tcW w:type="dxa" w:w="4320"/>
          </w:tcPr>
          <w:p>
            <w:r>
              <w:t>2021</w:t>
            </w:r>
          </w:p>
        </w:tc>
        <w:tc>
          <w:tcPr>
            <w:tcW w:type="dxa" w:w="4320"/>
          </w:tcPr>
          <w:p>
            <w:r>
              <w:t>0.09</w:t>
            </w:r>
          </w:p>
        </w:tc>
      </w:tr>
      <w:tr>
        <w:tc>
          <w:tcPr>
            <w:tcW w:type="dxa" w:w="4320"/>
          </w:tcPr>
          <w:p>
            <w:r>
              <w:t>2022</w:t>
            </w:r>
          </w:p>
        </w:tc>
        <w:tc>
          <w:tcPr>
            <w:tcW w:type="dxa" w:w="4320"/>
          </w:tcPr>
          <w:p>
            <w:r>
              <w:t>0.12</w:t>
            </w:r>
          </w:p>
        </w:tc>
      </w:tr>
      <w:tr>
        <w:tc>
          <w:tcPr>
            <w:tcW w:type="dxa" w:w="4320"/>
          </w:tcPr>
          <w:p>
            <w:r>
              <w:t>2023</w:t>
            </w:r>
          </w:p>
        </w:tc>
        <w:tc>
          <w:tcPr>
            <w:tcW w:type="dxa" w:w="4320"/>
          </w:tcPr>
          <w:p>
            <w:r>
              <w:t>0.13</w:t>
            </w:r>
          </w:p>
        </w:tc>
      </w:tr>
      <w:tr>
        <w:tc>
          <w:tcPr>
            <w:tcW w:type="dxa" w:w="4320"/>
          </w:tcPr>
          <w:p>
            <w:r>
              <w:t>2024</w:t>
            </w:r>
          </w:p>
        </w:tc>
        <w:tc>
          <w:tcPr>
            <w:tcW w:type="dxa" w:w="4320"/>
          </w:tcPr>
          <w:p>
            <w:r>
              <w:t>0.11</w:t>
            </w:r>
          </w:p>
        </w:tc>
      </w:tr>
    </w:tbl>
    <w:p>
      <w:pPr>
        <w:pStyle w:val="Heading2"/>
      </w:pPr>
      <w:r>
        <w:t>Historical GCI Plot</w:t>
      </w:r>
    </w:p>
    <w:p>
      <w:r>
        <w:t>The following plot shows the historical GCI trends:</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historical_gci.png"/>
                    <pic:cNvPicPr/>
                  </pic:nvPicPr>
                  <pic:blipFill>
                    <a:blip r:embed="rId9"/>
                    <a:stretch>
                      <a:fillRect/>
                    </a:stretch>
                  </pic:blipFill>
                  <pic:spPr>
                    <a:xfrm>
                      <a:off x="0" y="0"/>
                      <a:ext cx="4572000" cy="2743200"/>
                    </a:xfrm>
                    <a:prstGeom prst="rect"/>
                  </pic:spPr>
                </pic:pic>
              </a:graphicData>
            </a:graphic>
          </wp:inline>
        </w:drawing>
      </w:r>
    </w:p>
    <w:p>
      <w:pPr>
        <w:pStyle w:val="Heading2"/>
      </w:pPr>
      <w:r>
        <w:t>GCI Predictions (2025-2035)</w:t>
      </w:r>
    </w:p>
    <w:p>
      <w:r>
        <w:t>Using a linear regression model, the GCI values for the next decade have been predicted:</w:t>
      </w:r>
    </w:p>
    <w:tbl>
      <w:tblPr>
        <w:tblStyle w:val="TableGrid"/>
        <w:tblW w:type="auto" w:w="0"/>
        <w:tblLook w:firstColumn="1" w:firstRow="1" w:lastColumn="0" w:lastRow="0" w:noHBand="0" w:noVBand="1" w:val="04A0"/>
      </w:tblPr>
      <w:tblGrid>
        <w:gridCol w:w="4320"/>
        <w:gridCol w:w="4320"/>
      </w:tblGrid>
      <w:tr>
        <w:tc>
          <w:tcPr>
            <w:tcW w:type="dxa" w:w="4320"/>
          </w:tcPr>
          <w:p>
            <w:r>
              <w:t>Year</w:t>
            </w:r>
          </w:p>
        </w:tc>
        <w:tc>
          <w:tcPr>
            <w:tcW w:type="dxa" w:w="4320"/>
          </w:tcPr>
          <w:p>
            <w:r>
              <w:t>Predicted GCI Value</w:t>
            </w:r>
          </w:p>
        </w:tc>
      </w:tr>
      <w:tr>
        <w:tc>
          <w:tcPr>
            <w:tcW w:type="dxa" w:w="4320"/>
          </w:tcPr>
          <w:p>
            <w:r>
              <w:t>2025</w:t>
            </w:r>
          </w:p>
        </w:tc>
        <w:tc>
          <w:tcPr>
            <w:tcW w:type="dxa" w:w="4320"/>
          </w:tcPr>
          <w:p>
            <w:r>
              <w:t>0.12</w:t>
            </w:r>
          </w:p>
        </w:tc>
      </w:tr>
      <w:tr>
        <w:tc>
          <w:tcPr>
            <w:tcW w:type="dxa" w:w="4320"/>
          </w:tcPr>
          <w:p>
            <w:r>
              <w:t>2026</w:t>
            </w:r>
          </w:p>
        </w:tc>
        <w:tc>
          <w:tcPr>
            <w:tcW w:type="dxa" w:w="4320"/>
          </w:tcPr>
          <w:p>
            <w:r>
              <w:t>0.12</w:t>
            </w:r>
          </w:p>
        </w:tc>
      </w:tr>
      <w:tr>
        <w:tc>
          <w:tcPr>
            <w:tcW w:type="dxa" w:w="4320"/>
          </w:tcPr>
          <w:p>
            <w:r>
              <w:t>2027</w:t>
            </w:r>
          </w:p>
        </w:tc>
        <w:tc>
          <w:tcPr>
            <w:tcW w:type="dxa" w:w="4320"/>
          </w:tcPr>
          <w:p>
            <w:r>
              <w:t>0.12</w:t>
            </w:r>
          </w:p>
        </w:tc>
      </w:tr>
      <w:tr>
        <w:tc>
          <w:tcPr>
            <w:tcW w:type="dxa" w:w="4320"/>
          </w:tcPr>
          <w:p>
            <w:r>
              <w:t>2028</w:t>
            </w:r>
          </w:p>
        </w:tc>
        <w:tc>
          <w:tcPr>
            <w:tcW w:type="dxa" w:w="4320"/>
          </w:tcPr>
          <w:p>
            <w:r>
              <w:t>0.12</w:t>
            </w:r>
          </w:p>
        </w:tc>
      </w:tr>
      <w:tr>
        <w:tc>
          <w:tcPr>
            <w:tcW w:type="dxa" w:w="4320"/>
          </w:tcPr>
          <w:p>
            <w:r>
              <w:t>2029</w:t>
            </w:r>
          </w:p>
        </w:tc>
        <w:tc>
          <w:tcPr>
            <w:tcW w:type="dxa" w:w="4320"/>
          </w:tcPr>
          <w:p>
            <w:r>
              <w:t>0.13</w:t>
            </w:r>
          </w:p>
        </w:tc>
      </w:tr>
      <w:tr>
        <w:tc>
          <w:tcPr>
            <w:tcW w:type="dxa" w:w="4320"/>
          </w:tcPr>
          <w:p>
            <w:r>
              <w:t>2030</w:t>
            </w:r>
          </w:p>
        </w:tc>
        <w:tc>
          <w:tcPr>
            <w:tcW w:type="dxa" w:w="4320"/>
          </w:tcPr>
          <w:p>
            <w:r>
              <w:t>0.13</w:t>
            </w:r>
          </w:p>
        </w:tc>
      </w:tr>
      <w:tr>
        <w:tc>
          <w:tcPr>
            <w:tcW w:type="dxa" w:w="4320"/>
          </w:tcPr>
          <w:p>
            <w:r>
              <w:t>2031</w:t>
            </w:r>
          </w:p>
        </w:tc>
        <w:tc>
          <w:tcPr>
            <w:tcW w:type="dxa" w:w="4320"/>
          </w:tcPr>
          <w:p>
            <w:r>
              <w:t>0.13</w:t>
            </w:r>
          </w:p>
        </w:tc>
      </w:tr>
      <w:tr>
        <w:tc>
          <w:tcPr>
            <w:tcW w:type="dxa" w:w="4320"/>
          </w:tcPr>
          <w:p>
            <w:r>
              <w:t>2032</w:t>
            </w:r>
          </w:p>
        </w:tc>
        <w:tc>
          <w:tcPr>
            <w:tcW w:type="dxa" w:w="4320"/>
          </w:tcPr>
          <w:p>
            <w:r>
              <w:t>0.13</w:t>
            </w:r>
          </w:p>
        </w:tc>
      </w:tr>
      <w:tr>
        <w:tc>
          <w:tcPr>
            <w:tcW w:type="dxa" w:w="4320"/>
          </w:tcPr>
          <w:p>
            <w:r>
              <w:t>2033</w:t>
            </w:r>
          </w:p>
        </w:tc>
        <w:tc>
          <w:tcPr>
            <w:tcW w:type="dxa" w:w="4320"/>
          </w:tcPr>
          <w:p>
            <w:r>
              <w:t>0.14</w:t>
            </w:r>
          </w:p>
        </w:tc>
      </w:tr>
      <w:tr>
        <w:tc>
          <w:tcPr>
            <w:tcW w:type="dxa" w:w="4320"/>
          </w:tcPr>
          <w:p>
            <w:r>
              <w:t>2034</w:t>
            </w:r>
          </w:p>
        </w:tc>
        <w:tc>
          <w:tcPr>
            <w:tcW w:type="dxa" w:w="4320"/>
          </w:tcPr>
          <w:p>
            <w:r>
              <w:t>0.14</w:t>
            </w:r>
          </w:p>
        </w:tc>
      </w:tr>
      <w:tr>
        <w:tc>
          <w:tcPr>
            <w:tcW w:type="dxa" w:w="4320"/>
          </w:tcPr>
          <w:p>
            <w:r>
              <w:t>2035</w:t>
            </w:r>
          </w:p>
        </w:tc>
        <w:tc>
          <w:tcPr>
            <w:tcW w:type="dxa" w:w="4320"/>
          </w:tcPr>
          <w:p>
            <w:r>
              <w:t>0.14</w:t>
            </w:r>
          </w:p>
        </w:tc>
      </w:tr>
    </w:tbl>
    <w:p>
      <w:pPr>
        <w:pStyle w:val="Heading2"/>
      </w:pPr>
      <w:r>
        <w:t>GCI Predictions Plot</w:t>
      </w:r>
    </w:p>
    <w:p>
      <w:r>
        <w:t>The following plot shows the historical GCI values and the predictions for 2025-2035:</w:t>
      </w:r>
    </w:p>
    <w:p>
      <w:r>
        <w:drawing>
          <wp:inline xmlns:a="http://schemas.openxmlformats.org/drawingml/2006/main" xmlns:pic="http://schemas.openxmlformats.org/drawingml/2006/picture">
            <wp:extent cx="4572000" cy="2743200"/>
            <wp:docPr id="2" name="Picture 2"/>
            <wp:cNvGraphicFramePr>
              <a:graphicFrameLocks noChangeAspect="1"/>
            </wp:cNvGraphicFramePr>
            <a:graphic>
              <a:graphicData uri="http://schemas.openxmlformats.org/drawingml/2006/picture">
                <pic:pic>
                  <pic:nvPicPr>
                    <pic:cNvPr id="0" name="predicted_gci.png"/>
                    <pic:cNvPicPr/>
                  </pic:nvPicPr>
                  <pic:blipFill>
                    <a:blip r:embed="rId10"/>
                    <a:stretch>
                      <a:fillRect/>
                    </a:stretch>
                  </pic:blipFill>
                  <pic:spPr>
                    <a:xfrm>
                      <a:off x="0" y="0"/>
                      <a:ext cx="45720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