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EDEDED"/>
            <w:vAlign w:val="top"/>
          </w:tcPr>
          <w:p>
            <w:r>
              <w:rPr>
                <w:b/>
                <w:sz w:val="16"/>
              </w:rPr>
              <w:t>Not started</w:t>
            </w:r>
          </w:p>
        </w:tc>
        <w:tc>
          <w:tcPr>
            <w:tcW w:type="dxa" w:w="3408"/>
            <w:vAlign w:val="top"/>
            <w:shd w:fill="F1F6FA"/>
          </w:tcPr>
          <w:p>
            <w:r>
              <w:rPr>
                <w:b w:val="0"/>
                <w:sz w:val="16"/>
              </w:rPr>
              <w:t>Not started. Automated tests exist: 65 unit and 93 API tests for the backend, 41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