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Medicare Advantage Quality Improvement Dashboard</w:t>
      </w:r>
    </w:p>
    <w:p>
      <w:r>
        <w:t>Independent portfolio case study using synthetic healthcare quality records to identify improvement priorities, compare outreach results, and monitor data reliability.</w:t>
      </w:r>
    </w:p>
    <w:p>
      <w:pPr>
        <w:pStyle w:val="Heading1"/>
      </w:pPr>
      <w:r>
        <w:t>Business question</w:t>
      </w:r>
    </w:p>
    <w:p>
      <w:r>
        <w:t>Where should a quality improvement team focus follow-up when measure performance varies across providers and regions?</w:t>
      </w:r>
    </w:p>
    <w:p>
      <w:pPr>
        <w:pStyle w:val="Heading1"/>
      </w:pPr>
      <w:r>
        <w:t>Scope and method</w:t>
      </w:r>
    </w:p>
    <w:p>
      <w:r>
        <w:t>Created 8,000 member-measure records representing 3,075 synthetic members assessed during January-June 2026. Used SQL to calculate eligible-denominator rates, target shortfalls, monthly cohort trends and outreach results. Kept a separate staging dataset for ten audit rules.</w:t>
      </w:r>
    </w:p>
    <w:p>
      <w:pPr>
        <w:pStyle w:val="Heading1"/>
      </w:pPr>
      <w:r>
        <w:t>Selected findings</w:t>
      </w:r>
    </w:p>
    <w:p>
      <w:r>
        <w:t>Overall compliance is 70.9% (4,173/5,884), with 1,711 open gaps. Colorectal screening and post-hospital follow-up account for 308 of 531 additional closures needed to meet all demonstration targets. Provider Group C is at 61.2% versus Group A at 77.5%. A further 545 open gaps have no outreach attempt.</w:t>
      </w:r>
    </w:p>
    <w:p>
      <w:pPr>
        <w:pStyle w:val="Heading1"/>
      </w:pPr>
      <w:r>
        <w:t>Recommended actions</w:t>
      </w:r>
    </w:p>
    <w:p>
      <w:r>
        <w:t>Prioritize the two highest-shortfall measures, review Provider Group C and the South region within each measure, work the unattempted backlog, and test coordinator escalation for unresolved gaps. Validate source records before each refresh.</w:t>
      </w:r>
    </w:p>
    <w:p>
      <w:pPr>
        <w:pStyle w:val="Heading1"/>
      </w:pPr>
      <w:r>
        <w:t>Delivered work</w:t>
      </w:r>
    </w:p>
    <w:p>
      <w:r>
        <w:t>SQL queries and a ready-to-query SQLite database, an Excel analysis workbook, a working four-page browser dashboard, a data dictionary, seven findings and five recommendations. Power BI deliverables include DAX, model relationships, a theme and exact visual mappings for all four pages. Native Power BI Desktop implementation remains the final build step.</w:t>
      </w:r>
    </w:p>
    <w:p>
      <w:pPr>
        <w:pStyle w:val="Heading1"/>
      </w:pPr>
      <w:r>
        <w:t>Demonstrated value</w:t>
      </w:r>
    </w:p>
    <w:p>
      <w:r>
        <w:t>Shows practical analyst skills in metric definition, SQL, reporting, data validation and translating findings into operational priorities. The 531-closure opportunity is an arithmetic planning estimate, not a realized healthcare or financial result.</w:t>
      </w:r>
    </w:p>
    <w:p>
      <w:pPr>
        <w:pStyle w:val="Heading1"/>
      </w:pPr>
      <w:r>
        <w:t>Interpretation</w:t>
      </w:r>
    </w:p>
    <w:p>
      <w:r>
        <w:t>Targets and eligibility rules are demonstration assumptions. Monthly cohorts differ. Channel results are descriptive. This project does not calculate official CMS Stars or certified HEDIS measures.</w:t>
      </w:r>
    </w:p>
    <w:p>
      <w:r>
        <w:rPr>
          <w:b/>
          <w:sz w:val="18"/>
        </w:rPr>
        <w:t>This project uses entirely synthetic data created for demonstration purposes. No PHI, PII, patient records, or proprietary employer data are included.</w:t>
      </w:r>
    </w:p>
    <w:sectPr w:rsidR="00FC693F" w:rsidRPr="0006063C" w:rsidSect="00034616">
      <w:pgSz w:w="12240" w:h="15840"/>
      <w:pgMar w:top="792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Medicare Advantage Quality Improvement Dashboard</dc:title>
  <dc:subject>Synthetic healthcare analytics portfolio case study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