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 w:line="300" w:lineRule="auto"/>
        <w:jc w:val="center"/>
      </w:pPr>
      <w:r>
        <w:rPr>
          <w:rFonts w:ascii="Calibri" w:cs="Calibri" w:eastAsia="Calibri" w:hAnsi="Calibri"/>
          <w:b/>
          <w:bCs/>
          <w:color w:val="174C36"/>
          <w:sz w:val="24"/>
          <w:szCs w:val="24"/>
        </w:rPr>
        <w:t xml:space="preserve">KISANFLOW</w:t>
      </w:r>
    </w:p>
    <w:p>
      <w:pPr>
        <w:spacing w:before="0" w:after="60" w:line="560" w:lineRule="auto"/>
        <w:jc w:val="center"/>
      </w:pPr>
      <w:r>
        <w:rPr>
          <w:rFonts w:ascii="Calibri" w:cs="Calibri" w:eastAsia="Calibri" w:hAnsi="Calibri"/>
          <w:b/>
          <w:bCs/>
          <w:color w:val="17221C"/>
          <w:sz w:val="54"/>
          <w:szCs w:val="54"/>
        </w:rPr>
        <w:t xml:space="preserve">Enterprise Pulse</w:t>
      </w:r>
    </w:p>
    <w:p>
      <w:pPr>
        <w:spacing w:before="0" w:after="160" w:line="300" w:lineRule="auto"/>
        <w:jc w:val="center"/>
      </w:pPr>
      <w:r>
        <w:rPr>
          <w:rFonts w:ascii="Calibri" w:cs="Calibri" w:eastAsia="Calibri" w:hAnsi="Calibri"/>
          <w:color w:val="626E66"/>
          <w:sz w:val="28"/>
          <w:szCs w:val="28"/>
        </w:rPr>
        <w:t xml:space="preserve">AI-driven 26-week cash-flow prediction and risk flagging for rural micro-enterprises</w:t>
      </w:r>
    </w:p>
    <w:p>
      <w:pPr>
        <w:spacing w:before="0" w:after="360" w:line="300" w:lineRule="auto"/>
        <w:jc w:val="center"/>
      </w:pPr>
      <w:r>
        <w:rPr>
          <w:rFonts w:ascii="Calibri" w:cs="Calibri" w:eastAsia="Calibri" w:hAnsi="Calibri"/>
          <w:b/>
          <w:bCs/>
          <w:color w:val="C97A1A"/>
          <w:sz w:val="20"/>
          <w:szCs w:val="20"/>
        </w:rPr>
        <w:t xml:space="preserve">Proposal to NABARD Hackathon @ Global Fintech Fest 2026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1500"/>
        <w:gridCol w:w="3180"/>
        <w:gridCol w:w="1500"/>
        <w:gridCol w:w="3180"/>
      </w:tblGrid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Challenge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AI-driven cash-flow prediction &amp; risk flagging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Primary user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Field / credit officer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Target entities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SHGs · FPOs · rural micro-enterprises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Prototype status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Live code · synthetic evaluation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Forecast horizon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26 weeks (3–6 month requirement)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Decision boundary</w:t>
            </w:r>
          </w:p>
        </w:tc>
        <w:tc>
          <w:tcPr>
            <w:tcW w:type="dxa" w:w="31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Human maker-checker required</w:t>
            </w:r>
          </w:p>
        </w:tc>
      </w:tr>
    </w:tbl>
    <w:p>
      <w:pPr>
        <w:spacing w:before="0" w:after="16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/>
      </w:r>
    </w:p>
    <w:tbl>
      <w:tblPr>
        <w:tblW w:type="dxa" w:w="9360"/>
        <w:tblInd w:type="dxa" w:w="120"/>
        <w:tblBorders>
          <w:top w:val="single" w:color="174C36" w:sz="3"/>
          <w:left w:val="single" w:color="174C36" w:sz="8"/>
          <w:bottom w:val="single" w:color="174C36" w:sz="3"/>
          <w:right w:val="single" w:color="174C36" w:sz="3"/>
          <w:insideH w:val="none"/>
          <w:insideV w:val="none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shd w:fill="E7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4C36"/>
                <w:sz w:val="22"/>
                <w:szCs w:val="22"/>
              </w:rPr>
              <w:t xml:space="preserve">THE THESIS</w:t>
            </w:r>
            <w:r>
              <w:rPr>
                <w:rFonts w:ascii="Calibri" w:cs="Calibri" w:eastAsia="Calibri" w:hAnsi="Calibri"/>
                <w:color w:val="17221C"/>
                <w:sz w:val="22"/>
                <w:szCs w:val="22"/>
              </w:rPr>
              <w:t xml:space="preserve">
KisanFlow predicts the next 26 weeks of enterprise cash flow, explains emerging stress before a missed repayment, and helps an authorised officer choose a consented corrective response. It never sanctions, rejects, restructures, disburses, or contacts a customer on its own.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Why this submission can win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Exact challenge fit: 26-week P10/P50/P90 forecasting, multiple data rails, early warning and actionable field-officer insight.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Proof over theatre: reproducible ML training, rolling-origin evaluation, explicit baseline and a machine-readable artifact.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Advanced agentic engineering with a narrow boundary: real LLM tool planning when configured; deterministic numbers, verifier, budgets, replay and maker-checker in every mode.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Honest public-interest infrastructure: granular consent, model/data cards, open standards, Apache-2.0 and DPG/DPDP readiness without false certification claims.</w:t>
      </w:r>
    </w:p>
    <w:p>
      <w:r>
        <w:br w:type="page"/>
      </w:r>
    </w:p>
    <w:p>
      <w:pPr>
        <w:pStyle w:val="Heading1"/>
        <w:keepNext/>
        <w:spacing w:before="320" w:after="160"/>
      </w:pPr>
      <w:r>
        <w:t xml:space="preserve">1. Problem fit and primary use case</w:t>
      </w:r>
    </w:p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The official 2026 brief asks for an AI/ML system that predicts rural-enterprise cash flow over three to six months, combines financial, digital-transaction, market/historical and climate/seasonality signals, identifies emerging stress and gives enterprises and field officers a useful corrective action. KisanFlow implements that complete arc.</w:t>
      </w:r>
    </w:p>
    <w:p>
      <w:pPr>
        <w:spacing w:before="80" w:after="80" w:line="240" w:lineRule="auto"/>
      </w:pPr>
      <w:r>
        <w:rPr>
          <w:rFonts w:ascii="Calibri" w:cs="Calibri" w:eastAsia="Calibri" w:hAnsi="Calibri"/>
          <w:b/>
          <w:bCs/>
          <w:color w:val="626E66"/>
          <w:sz w:val="18"/>
          <w:szCs w:val="18"/>
        </w:rPr>
        <w:t xml:space="preserve">Source: </w:t>
      </w:r>
      <w:hyperlink w:history="1" r:id="rIdg7jqyys-voetnfrhtbn-2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Official NABARD Hackathon @ GFF 2026 problem statement</w:t>
        </w:r>
      </w:hyperlink>
    </w:p>
    <w:p>
      <w:pPr>
        <w:pStyle w:val="Heading2"/>
        <w:keepNext/>
        <w:spacing w:before="240" w:after="120"/>
      </w:pPr>
      <w:r>
        <w:t xml:space="preserve">Sakhi Dairy SHG: one deep, memorable case</w:t>
      </w:r>
    </w:p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Twelve women run a fictional dairy collective in Anand, Gujarat. Weekly milk receipts soften while feed costs rise. Their point-in-time balance does not reveal whether the pressure is temporary; a 26-week curve does. KisanFlow shows P10/P50/P90 net cash flow, flags the week-eight stress window and separates a temporary liquidity gap from a structural decline.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Before KisanFlow</w:t>
            </w:r>
          </w:p>
        </w:tc>
        <w:tc>
          <w:tcPr>
            <w:tcW w:type="dxa" w:w="468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With KisanFlow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Manual review after visible arrears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Pre-event cash-flow alert with a measured operating threshold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Single score with hidden uncertainty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P10/P50/P90 weekly range and visible interval coverage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Generic collection response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Reason-linked options: timing, verified buyer referral, advisory</w:t>
            </w:r>
          </w:p>
        </w:tc>
      </w:tr>
      <w:tr>
        <w:trPr>
          <w:tblHeader w:val="false"/>
        </w:trPr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Opaque automation risk</w:t>
            </w:r>
          </w:p>
        </w:tc>
        <w:tc>
          <w:tcPr>
            <w:tcW w:type="dxa" w:w="468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Consent receipt, evidence provenance, verifier and independent checker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Users and value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Field officers see the few cases that need attention, why the alert fired, and which source is stale or withheld.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Risk teams obtain temporal model evidence, portfolio/cohort measures, false-alert workload and a replayable case trace.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Enterprise representatives receive a plain-language reason and remain protected by consent withdrawal, correction, grievance and human review.</w:t>
      </w:r>
    </w:p>
    <w:tbl>
      <w:tblPr>
        <w:tblW w:type="dxa" w:w="9360"/>
        <w:tblInd w:type="dxa" w:w="120"/>
        <w:tblBorders>
          <w:top w:val="single" w:color="174C36" w:sz="3"/>
          <w:left w:val="single" w:color="174C36" w:sz="8"/>
          <w:bottom w:val="single" w:color="174C36" w:sz="3"/>
          <w:right w:val="single" w:color="174C36" w:sz="3"/>
          <w:insideH w:val="none"/>
          <w:insideV w:val="none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shd w:fill="F3DD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4C36"/>
                <w:sz w:val="22"/>
                <w:szCs w:val="22"/>
              </w:rPr>
              <w:t xml:space="preserve">POSITIONING</w:t>
            </w:r>
            <w:r>
              <w:rPr>
                <w:rFonts w:ascii="Calibri" w:cs="Calibri" w:eastAsia="Calibri" w:hAnsi="Calibri"/>
                <w:color w:val="17221C"/>
                <w:sz w:val="22"/>
                <w:szCs w:val="22"/>
              </w:rPr>
              <w:t xml:space="preserve">
KisanFlow is preventive decision support—not an autonomous lender, collections engine, fraud detector or replacement for regulated-institution accountability.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</w:pPr>
      <w:r>
        <w:t xml:space="preserve">2. Solution architecture and consented data rails</w:t>
      </w:r>
    </w:p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The product is a lightweight API and officer dashboard. Each case is schema-validated, purpose/consent-checked and routed through deterministic feature, forecast, EWS and intervention services. The Case Manager may choose tool order; it cannot invent data, change a model output or access an action tool that is not exposed.</w:t>
      </w:r>
    </w:p>
    <w:p>
      <w:pPr>
        <w:pStyle w:val="Heading2"/>
        <w:keepNext/>
        <w:spacing w:before="240" w:after="120"/>
      </w:pPr>
      <w:r>
        <w:t xml:space="preserve">Data contracts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1500"/>
        <w:gridCol w:w="3000"/>
        <w:gridCol w:w="1800"/>
        <w:gridCol w:w="3060"/>
      </w:tblGrid>
      <w:tr>
        <w:trPr>
          <w:tblHeader/>
        </w:trPr>
        <w:tc>
          <w:tcPr>
            <w:tcW w:type="dxa" w:w="15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Rail</w:t>
            </w:r>
          </w:p>
        </w:tc>
        <w:tc>
          <w:tcPr>
            <w:tcW w:type="dxa" w:w="30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Minimum fields</w:t>
            </w:r>
          </w:p>
        </w:tc>
        <w:tc>
          <w:tcPr>
            <w:tcW w:type="dxa" w:w="18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Prototype status</w:t>
            </w:r>
          </w:p>
        </w:tc>
        <w:tc>
          <w:tcPr>
            <w:tcW w:type="dxa" w:w="306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Control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Partner ledger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Weekly credits, debits, dues, repayment events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Sandbox fixture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Institution access + RBAC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AA / payment proxy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Consented weekly aggregates and trend features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Schema only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Purpose, expiry, revocation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AGMARKNET / e-NAM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Commodity, market, date, price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Cached adapter fixture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Timestamp + stale-data gate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IMD-compatible climate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District, date, rainfall anomaly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Cached adapter fixture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District aggregation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LokOS / ULI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Institution and enterprise interoperability fields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Schema only</w:t>
            </w:r>
          </w:p>
        </w:tc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Minimum necessary export</w:t>
            </w:r>
          </w:p>
        </w:tc>
      </w:tr>
    </w:tbl>
    <w:p>
      <w:pPr>
        <w:spacing w:before="80" w:after="80" w:line="240" w:lineRule="auto"/>
        <w:jc w:val="left"/>
      </w:pPr>
      <w:r>
        <w:rPr>
          <w:rFonts w:ascii="Calibri" w:cs="Calibri" w:eastAsia="Calibri" w:hAnsi="Calibri"/>
          <w:b/>
          <w:bCs/>
          <w:color w:val="626E66"/>
          <w:sz w:val="18"/>
          <w:szCs w:val="18"/>
        </w:rPr>
        <w:t xml:space="preserve">Status convention: </w:t>
      </w:r>
      <w:r>
        <w:rPr>
          <w:rFonts w:ascii="Calibri" w:cs="Calibri" w:eastAsia="Calibri" w:hAnsi="Calibri"/>
          <w:color w:val="626E66"/>
          <w:sz w:val="18"/>
          <w:szCs w:val="18"/>
        </w:rPr>
        <w:t xml:space="preserve">LIVE = running code; SYNTHETIC = generated fictional data; SANDBOX = testable contract/fixture, not a production connection.</w:t>
      </w:r>
    </w:p>
    <w:p>
      <w:pPr>
        <w:pStyle w:val="Heading2"/>
        <w:keepNext/>
        <w:spacing w:before="240" w:after="120"/>
      </w:pPr>
      <w:r>
        <w:t xml:space="preserve">Consent and data minimisation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Financial activity is a separately described required category; market and climate signals are optional. Refusal reduces evidence but does not silently substitute data.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Each receipt records purpose, categories, language, grant/expiry and revocation. Consent is checked at run start and before retrieval.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The public demo accepts scenario identifiers only. Production design stores weekly aggregates, not SMS, contacts, account narrations, photos, caste, religion, politics or continuous location.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Withdrawal stops new collection and recommendation refresh; deletion follows the partner’s lawful retention decision.</w:t>
      </w:r>
    </w:p>
    <w:p>
      <w:pPr>
        <w:spacing w:before="80" w:after="80" w:line="240" w:lineRule="auto"/>
      </w:pPr>
      <w:r>
        <w:rPr>
          <w:rFonts w:ascii="Calibri" w:cs="Calibri" w:eastAsia="Calibri" w:hAnsi="Calibri"/>
          <w:b/>
          <w:bCs/>
          <w:color w:val="626E66"/>
          <w:sz w:val="18"/>
          <w:szCs w:val="18"/>
        </w:rPr>
        <w:t xml:space="preserve">Source: </w:t>
      </w:r>
      <w:hyperlink w:history="1" r:id="rIdbhq0bn1oevlmx1rvlmsz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Sahamati Account Aggregator technical resources</w:t>
        </w:r>
      </w:hyperlink>
    </w:p>
    <w:p>
      <w:pPr>
        <w:spacing w:before="80" w:after="80" w:line="240" w:lineRule="auto"/>
      </w:pPr>
      <w:r>
        <w:rPr>
          <w:rFonts w:ascii="Calibri" w:cs="Calibri" w:eastAsia="Calibri" w:hAnsi="Calibri"/>
          <w:b/>
          <w:bCs/>
          <w:color w:val="626E66"/>
          <w:sz w:val="18"/>
          <w:szCs w:val="18"/>
        </w:rPr>
        <w:t xml:space="preserve">Source: </w:t>
      </w:r>
      <w:hyperlink w:history="1" r:id="rId4zgfa3nxmmjyolzefs1tq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Government of India: LokOS / SHE-LEAPS</w:t>
        </w:r>
      </w:hyperlink>
    </w:p>
    <w:p>
      <w:r>
        <w:br w:type="page"/>
      </w:r>
    </w:p>
    <w:p>
      <w:pPr>
        <w:pStyle w:val="Heading1"/>
        <w:keepNext/>
        <w:spacing w:before="320" w:after="160"/>
      </w:pPr>
      <w:r>
        <w:t xml:space="preserve">3. Real ML prototype and evaluation contract</w:t>
      </w:r>
    </w:p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The repository contains an executable scikit-learn pipeline—not aspirational model names. It deterministically generates 90 fictional enterprises over 104 weeks, engineers lag-only features, trains Gradient Boosting regressors for P10/P50/P90 and evaluates them with three rolling temporal origins. A same-week prior-year estimate is the seasonal-naïve baseline.</w:t>
      </w:r>
    </w:p>
    <w:p>
      <w:pPr>
        <w:pStyle w:val="Heading2"/>
        <w:keepNext/>
        <w:spacing w:before="240" w:after="120"/>
      </w:pPr>
      <w:r>
        <w:t xml:space="preserve">Canonical synthetic results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2100"/>
        <w:gridCol w:w="1500"/>
        <w:gridCol w:w="5760"/>
      </w:tblGrid>
      <w:tr>
        <w:trPr>
          <w:tblHeader/>
        </w:trPr>
        <w:tc>
          <w:tcPr>
            <w:tcW w:type="dxa" w:w="21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Measure</w:t>
            </w:r>
          </w:p>
        </w:tc>
        <w:tc>
          <w:tcPr>
            <w:tcW w:type="dxa" w:w="15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Result</w:t>
            </w:r>
          </w:p>
        </w:tc>
        <w:tc>
          <w:tcPr>
            <w:tcW w:type="dxa" w:w="576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Meaning / decision use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MASE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0.52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Model MAE is 52% of seasonal-naïve error; &lt;1 beats baseline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MAE improvement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48.0%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Relative improvement over seasonal naïve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P10–P90 coverage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83.2%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Observed holdout coverage vs nominal 80% interval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EWS precision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45.8%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Conservative alerts preceding labelled synthetic stress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EWS recall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28.2%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Precision/workload trade-off is explicit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False alerts / 100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0.83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Expected field-review burden at conservative threshold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Maximum recall gap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0.092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Synthetic cohort diagnostic only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Feature and validation safeguards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Features use only contemporaneous or lagged cash flow, transaction count, market index, rainfall index and seasonal encodings; future values are excluded.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No protected category, raw narration, counterparty or customer contact data is eligible.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Report MAE, sMAPE, MASE, interval coverage/width, EWS precision/recall, false alerts, lead time and subgroup gaps—never only one flattering score.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A partner pilot must replace synthetic data with retrospective, de-identified temporal validation and choose thresholds from real customer/operational costs.</w:t>
      </w:r>
    </w:p>
    <w:tbl>
      <w:tblPr>
        <w:tblW w:type="dxa" w:w="9360"/>
        <w:tblInd w:type="dxa" w:w="120"/>
        <w:tblBorders>
          <w:top w:val="single" w:color="174C36" w:sz="3"/>
          <w:left w:val="single" w:color="174C36" w:sz="8"/>
          <w:bottom w:val="single" w:color="174C36" w:sz="3"/>
          <w:right w:val="single" w:color="174C36" w:sz="3"/>
          <w:insideH w:val="none"/>
          <w:insideV w:val="none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shd w:fill="F3DD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4C36"/>
                <w:sz w:val="22"/>
                <w:szCs w:val="22"/>
              </w:rPr>
              <w:t xml:space="preserve">LIMITATION THAT BUILDS TRUST</w:t>
            </w:r>
            <w:r>
              <w:rPr>
                <w:rFonts w:ascii="Calibri" w:cs="Calibri" w:eastAsia="Calibri" w:hAnsi="Calibri"/>
                <w:color w:val="17221C"/>
                <w:sz w:val="22"/>
                <w:szCs w:val="22"/>
              </w:rPr>
              <w:t xml:space="preserve">
Synthetic evaluation proves the engineering and governance contract. It does not prove production accuracy, real-world fairness, or causal intervention impact.</w:t>
            </w:r>
          </w:p>
        </w:tc>
      </w:tr>
    </w:tbl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b/>
          <w:bCs/>
          <w:color w:val="1F4D78"/>
          <w:sz w:val="22"/>
          <w:szCs w:val="22"/>
        </w:rPr>
        <w:t xml:space="preserve">Reproduce: </w:t>
      </w:r>
      <w:r>
        <w:rPr>
          <w:rFonts w:ascii="Calibri" w:cs="Calibri" w:eastAsia="Calibri" w:hAnsi="Calibri"/>
          <w:color w:val="17221C"/>
          <w:sz w:val="22"/>
          <w:szCs w:val="22"/>
        </w:rPr>
        <w:t xml:space="preserve">python3 ml/train_model.py → artifacts/model_metrics.json. Unit tests assert interval ordering, lag-only features, honest status and baseline performance.</w:t>
      </w:r>
    </w:p>
    <w:p>
      <w:r>
        <w:br w:type="page"/>
      </w:r>
    </w:p>
    <w:p>
      <w:pPr>
        <w:pStyle w:val="Heading1"/>
        <w:keepNext/>
        <w:spacing w:before="320" w:after="160"/>
      </w:pPr>
      <w:r>
        <w:t xml:space="preserve">4. Bounded Case Manager and agent harness</w:t>
      </w:r>
    </w:p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KisanFlow uses one accountable Case Manager rather than five theatrical personas. With a configured Gemini key, an LLM chooses an ordered subset of eight allow-listed tools. Without a key or on timeout, an explicitly labelled offline policy runner executes the same contract. All numerical outputs remain deterministic in both modes.</w:t>
      </w:r>
    </w:p>
    <w:p>
      <w:pPr>
        <w:pStyle w:val="Heading2"/>
        <w:keepNext/>
        <w:spacing w:before="240" w:after="120"/>
      </w:pPr>
      <w:r>
        <w:t xml:space="preserve">Eight typed tools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1300"/>
        <w:gridCol w:w="2750"/>
        <w:gridCol w:w="5310"/>
      </w:tblGrid>
      <w:tr>
        <w:trPr>
          <w:tblHeader/>
        </w:trPr>
        <w:tc>
          <w:tcPr>
            <w:tcW w:type="dxa" w:w="13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Stage</w:t>
            </w:r>
          </w:p>
        </w:tc>
        <w:tc>
          <w:tcPr>
            <w:tcW w:type="dxa" w:w="275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Tool</w:t>
            </w:r>
          </w:p>
        </w:tc>
        <w:tc>
          <w:tcPr>
            <w:tcW w:type="dxa" w:w="531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Machine output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Gate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validate_case_data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Schema, consent, synthetic-only and prohibited-field checks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Evidence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retrieve_market_signal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Available / withheld, source and freshness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Features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compute_features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Lag windows and feature contract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Forecast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forecast_p10_p50_p90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26 ordered weekly quantiles + model ID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EWS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detect_stress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Window, classification and reason codes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Grounding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retrieve_intervention_playbook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Approved content and allowed options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Simulation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simulate_intervention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What-if P10 curve; explicitly non-causal</w:t>
            </w:r>
          </w:p>
        </w:tc>
      </w:tr>
      <w:tr>
        <w:trPr>
          <w:tblHeader w:val="false"/>
        </w:trPr>
        <w:tc>
          <w:tcPr>
            <w:tcW w:type="dxa" w:w="1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Proposal</w:t>
            </w:r>
          </w:p>
        </w:tc>
        <w:tc>
          <w:tcPr>
            <w:tcW w:type="dxa" w:w="27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create_action_card</w:t>
            </w:r>
          </w:p>
        </w:tc>
        <w:tc>
          <w:tcPr>
            <w:tcW w:type="dxa" w:w="531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Awaiting checker; no contact/account change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Harness controls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Tool allow-list; strict request schema; prohibited PII fields; retrieved text treated as untrusted data.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Maximum eight tools, two turns and six seconds; model-call timeout falls back safely; Cloud Run caps instances.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Versioned model/harness, durable idempotency key, ordered event trace and stable replay fingerprint.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Verifier checks ordered quantiles, provenance, valid consent, numerical source and no autonomous action.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Maker-checker separation, override reason, consent recheck, kill switch and rollback artifact.</w:t>
      </w:r>
    </w:p>
    <w:tbl>
      <w:tblPr>
        <w:tblW w:type="dxa" w:w="9360"/>
        <w:tblInd w:type="dxa" w:w="120"/>
        <w:tblBorders>
          <w:top w:val="single" w:color="174C36" w:sz="3"/>
          <w:left w:val="single" w:color="174C36" w:sz="8"/>
          <w:bottom w:val="single" w:color="174C36" w:sz="3"/>
          <w:right w:val="single" w:color="174C36" w:sz="3"/>
          <w:insideH w:val="none"/>
          <w:insideV w:val="none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shd w:fill="F3DDD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4C36"/>
                <w:sz w:val="22"/>
                <w:szCs w:val="22"/>
              </w:rPr>
              <w:t xml:space="preserve">NON-NEGOTIABLE BOUNDARY</w:t>
            </w:r>
            <w:r>
              <w:rPr>
                <w:rFonts w:ascii="Calibri" w:cs="Calibri" w:eastAsia="Calibri" w:hAnsi="Calibri"/>
                <w:color w:val="17221C"/>
                <w:sz w:val="22"/>
                <w:szCs w:val="22"/>
              </w:rPr>
              <w:t xml:space="preserve">
No sanction, reject, price, restructure, disburse or contact tool exists. The only writable product output is a proposed action card awaiting a different checker.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/>
      </w:pPr>
      <w:r>
        <w:t xml:space="preserve">5. Responsible AI, DPDP readiness and DPG design</w:t>
      </w:r>
    </w:p>
    <w:p>
      <w:pPr>
        <w:pStyle w:val="Heading2"/>
        <w:keepNext/>
        <w:spacing w:before="240" w:after="120"/>
      </w:pPr>
      <w:r>
        <w:t xml:space="preserve">Responsible and contestable operations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Purpose limitation and minimum data are enforced as run-time gates, not policy prose alone.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Every alert displays uncertainty, reason codes, source freshness and whether optional evidence was withheld.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Officers can correct data, choose manual review or override with a recorded reason; customers retain an institution grievance route.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Monitoring covers drift, calibration, false-alert burden, cohort gaps, intervention acceptance and adverse outcomes.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Release blocks include prompt injection, tool misuse, PII leakage, numerical fidelity, consent, idempotency, budgets, replay and maker-checker tests.</w:t>
      </w:r>
    </w:p>
    <w:p>
      <w:pPr>
        <w:pStyle w:val="Heading2"/>
        <w:keepNext/>
        <w:spacing w:before="240" w:after="120"/>
      </w:pPr>
      <w:r>
        <w:t xml:space="preserve">Digital Public Good readiness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DPG indicator area</w:t>
            </w:r>
          </w:p>
        </w:tc>
        <w:tc>
          <w:tcPr>
            <w:tcW w:type="dxa" w:w="636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KisanFlow evidence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Open licensing + ownership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Apache-2.0 LICENSE, contributing and security policies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Platform independence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Provider-neutral API; deterministic offline path; container deployment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Documentation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README, OpenAPI, JSON schemas, walkthrough, model/data cards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Non-PII extraction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Synthetic public demo; weekly aggregate pilot contract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Privacy + applicable law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Consent receipt, withdrawal, TTL, DPIA/pilot gates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Open standards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OpenAPI 3.1 and JSON Schema 2020-12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Do no harm</w:t>
            </w:r>
          </w:p>
        </w:tc>
        <w:tc>
          <w:tcPr>
            <w:tcW w:type="dxa" w:w="6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Action boundary, cohort metrics, grievance, kill switch, threat model</w:t>
            </w:r>
          </w:p>
        </w:tc>
      </w:tr>
    </w:tbl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KisanFlow claims DPG readiness—not Digital Public Goods Alliance recognition. It maps design evidence to the Standard’s nine indicators and would still require formal nomination/review.</w:t>
      </w:r>
    </w:p>
    <w:p>
      <w:pPr>
        <w:spacing w:before="80" w:after="80" w:line="240" w:lineRule="auto"/>
      </w:pPr>
      <w:r>
        <w:rPr>
          <w:rFonts w:ascii="Calibri" w:cs="Calibri" w:eastAsia="Calibri" w:hAnsi="Calibri"/>
          <w:b/>
          <w:bCs/>
          <w:color w:val="626E66"/>
          <w:sz w:val="18"/>
          <w:szCs w:val="18"/>
        </w:rPr>
        <w:t xml:space="preserve">Source: </w:t>
      </w:r>
      <w:hyperlink w:history="1" r:id="rIdryyogb-nura1ose2ot5yd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Digital Public Goods Standard</w:t>
        </w:r>
      </w:hyperlink>
    </w:p>
    <w:p>
      <w:pPr>
        <w:spacing w:before="80" w:after="80" w:line="240" w:lineRule="auto"/>
      </w:pPr>
      <w:r>
        <w:rPr>
          <w:rFonts w:ascii="Calibri" w:cs="Calibri" w:eastAsia="Calibri" w:hAnsi="Calibri"/>
          <w:b/>
          <w:bCs/>
          <w:color w:val="626E66"/>
          <w:sz w:val="18"/>
          <w:szCs w:val="18"/>
        </w:rPr>
        <w:t xml:space="preserve">Source: </w:t>
      </w:r>
      <w:hyperlink w:history="1" r:id="rIdsx5fdvo_s7vxzhineyayf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MeitY: Digital Personal Data Protection Rules, 2025</w:t>
        </w:r>
      </w:hyperlink>
    </w:p>
    <w:p>
      <w:r>
        <w:br w:type="page"/>
      </w:r>
    </w:p>
    <w:p>
      <w:pPr>
        <w:pStyle w:val="Heading1"/>
        <w:keepNext/>
        <w:spacing w:before="320" w:after="160"/>
      </w:pPr>
      <w:r>
        <w:t xml:space="preserve">6. Six-month pilot: two districts, three cohorts, 500 enterprises</w:t>
      </w:r>
    </w:p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The proposed pilot is staged so that evidence and controls mature before any customer-facing response. Suggested cohorts are women-led dairy SHGs, rural food-processing micro-enterprises and FPOs, selected with NABARD and a regulated partner institution.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1400"/>
        <w:gridCol w:w="900"/>
        <w:gridCol w:w="4100"/>
        <w:gridCol w:w="2960"/>
      </w:tblGrid>
      <w:tr>
        <w:trPr>
          <w:tblHeader/>
        </w:trPr>
        <w:tc>
          <w:tcPr>
            <w:tcW w:type="dxa" w:w="14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Phase</w:t>
            </w:r>
          </w:p>
        </w:tc>
        <w:tc>
          <w:tcPr>
            <w:tcW w:type="dxa" w:w="9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Weeks</w:t>
            </w:r>
          </w:p>
        </w:tc>
        <w:tc>
          <w:tcPr>
            <w:tcW w:type="dxa" w:w="41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Work</w:t>
            </w:r>
          </w:p>
        </w:tc>
        <w:tc>
          <w:tcPr>
            <w:tcW w:type="dxa" w:w="296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Promotion evidence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Foundation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0–4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Agreements, DPIA, consent UX, schemas, retrospective extract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Lawful purpose; usable/representative data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Validation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5–10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Temporal backtest, calibration, cohort review, playbooks, red-team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Approved thresholds and rollback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Silent mode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11–18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Generate alerts; no customer/account action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Precision/recall, coverage, lead time, workload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Controlled action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19–26</w:t>
            </w:r>
          </w:p>
        </w:tc>
        <w:tc>
          <w:tcPr>
            <w:tcW w:type="dxa" w:w="4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Maker-checker responses for approved cases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Outcomes, consent, grievances, officer time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Pilot success measures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1700"/>
        <w:gridCol w:w="4700"/>
        <w:gridCol w:w="2960"/>
      </w:tblGrid>
      <w:tr>
        <w:trPr>
          <w:tblHeader/>
        </w:trPr>
        <w:tc>
          <w:tcPr>
            <w:tcW w:type="dxa" w:w="17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Dimension</w:t>
            </w:r>
          </w:p>
        </w:tc>
        <w:tc>
          <w:tcPr>
            <w:tcW w:type="dxa" w:w="47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Primary measures</w:t>
            </w:r>
          </w:p>
        </w:tc>
        <w:tc>
          <w:tcPr>
            <w:tcW w:type="dxa" w:w="296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Stop / review trigger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Forecast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MASE, sMAPE, P10–P90 coverage/width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Coverage shift &gt;10 percentage points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Early warning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Precision, recall, false alerts/100, median lead weeks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Workload exceeds partner threshold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Equity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Missingness, alert burden and recall by cohort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Recall gap &gt;0.15 pending review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Operations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Officer minutes/case, acceptance, override, replay success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Maker-checker or replay failure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Customer</w:t>
            </w:r>
          </w:p>
        </w:tc>
        <w:tc>
          <w:tcPr>
            <w:tcW w:type="dxa" w:w="4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Consent completion/withdrawal, grievance, missed-payment rate</w:t>
            </w:r>
          </w:p>
        </w:tc>
        <w:tc>
          <w:tcPr>
            <w:tcW w:type="dxa" w:w="29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Unresolved harm or consent breach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What KisanFlow needs from NABARD / partner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A regulated institution and named data-protection/model-risk/field-operations owners.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A de-identified retrospective extract and approved sandbox/live adapter access.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Two district cohorts, field-officer co-design and an intervention playbook with escalation limits.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Joint review of thresholds, customer notice/grievance, audit evidence and pilot stop criteria.</w:t>
      </w:r>
    </w:p>
    <w:p>
      <w:r>
        <w:br w:type="page"/>
      </w:r>
    </w:p>
    <w:p>
      <w:pPr>
        <w:pStyle w:val="Heading1"/>
        <w:keepNext/>
        <w:spacing w:before="320" w:after="160"/>
      </w:pPr>
      <w:r>
        <w:t xml:space="preserve">7. Delivery status, risks and final ask</w:t>
      </w:r>
    </w:p>
    <w:p>
      <w:pPr>
        <w:pStyle w:val="Heading2"/>
        <w:keepNext/>
        <w:spacing w:before="240" w:after="120"/>
      </w:pPr>
      <w:r>
        <w:t xml:space="preserve">Proven in the submission package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Responsive live demo with three rural-enterprise fixtures, granular consent, 26-week quantile chart, drivers, intervention simulation, human gate, agent trace and evaluation panel.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Reproducible synthetic-data forecast/EWS pipeline and canonical JSON artifact; Python and Node contract tests pass.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Bounded API with optional real LLM planner, deterministic fallback, verifier, idempotency and replay.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Apache-2.0 open core, OpenAPI/JSON schemas, model/data cards, threat model, responsible-AI and harness-eval documents.</w:t>
      </w:r>
    </w:p>
    <w:p>
      <w:pPr>
        <w:pStyle w:val="ListParagraph"/>
        <w:keepLines/>
        <w:numPr>
          <w:ilvl w:val="0"/>
          <w:numId w:val="2"/>
        </w:numPr>
        <w:spacing w:after="80" w:line="290" w:lineRule="auto"/>
      </w:pPr>
      <w:r>
        <w:rPr>
          <w:rFonts w:ascii="Calibri" w:cs="Calibri" w:eastAsia="Calibri" w:hAnsi="Calibri"/>
          <w:color w:val="17221C"/>
          <w:sz w:val="22"/>
          <w:szCs w:val="22"/>
        </w:rPr>
        <w:t xml:space="preserve">Free-tier-oriented Cloud Run container: request billing, scale-to-zero, 256 MiB, one vCPU and one-instance cap.</w:t>
      </w:r>
    </w:p>
    <w:p>
      <w:pPr>
        <w:pStyle w:val="Heading2"/>
        <w:keepNext/>
        <w:spacing w:before="240" w:after="120"/>
      </w:pPr>
      <w:r>
        <w:t xml:space="preserve">Open gates stated plainly</w:t>
      </w:r>
    </w:p>
    <w:tbl>
      <w:tblPr>
        <w:tblW w:type="dxa" w:w="9360"/>
        <w:tblInd w:type="dxa" w:w="120"/>
        <w:tblBorders>
          <w:top w:val="single" w:color="D4DAD5" w:sz="2"/>
          <w:left w:val="single" w:color="D4DAD5" w:sz="2"/>
          <w:bottom w:val="single" w:color="D4DAD5" w:sz="2"/>
          <w:right w:val="single" w:color="D4DAD5" w:sz="2"/>
          <w:insideH w:val="single" w:color="DDE2DE" w:sz="1"/>
          <w:insideV w:val="single" w:color="DDE2DE" w:sz="1"/>
        </w:tblBorders>
        <w:tblLayout w:type="fixed"/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Risk / unknown</w:t>
            </w:r>
          </w:p>
        </w:tc>
        <w:tc>
          <w:tcPr>
            <w:tcW w:type="dxa" w:w="360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Current treatment</w:t>
            </w:r>
          </w:p>
        </w:tc>
        <w:tc>
          <w:tcPr>
            <w:tcW w:type="dxa" w:w="3860"/>
            <w:shd w:fill="F4F6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4D78"/>
                <w:sz w:val="22"/>
                <w:szCs w:val="22"/>
              </w:rPr>
              <w:t xml:space="preserve">Pilot resolution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Synthetic performance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Clearly labelled; no production claim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Retrospective temporal validation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Sandbox data rails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Source/status visible; stale/withheld fail safely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Authorised partner integrations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Illustrative uplift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Marked counterfactual and non-causal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Controlled outcome evaluation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Cohort bias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Synthetic diagnostic only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Real missingness/alert/outcome review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LLM variability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Allow-list + deterministic numbers + fallback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Release evals and model/version monitoring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Cloud cost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Scale-to-zero and max-one cap</w:t>
            </w:r>
          </w:p>
        </w:tc>
        <w:tc>
          <w:tcPr>
            <w:tcW w:type="dxa" w:w="38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7221C"/>
                <w:sz w:val="22"/>
                <w:szCs w:val="22"/>
              </w:rPr>
              <w:t xml:space="preserve">Budget alerts and usage review</w:t>
            </w:r>
          </w:p>
        </w:tc>
      </w:tr>
    </w:tbl>
    <w:p>
      <w:pPr>
        <w:pStyle w:val="Heading2"/>
        <w:keepNext/>
        <w:spacing w:before="240" w:after="120"/>
      </w:pPr>
      <w:r>
        <w:t xml:space="preserve">Final ask</w:t>
      </w:r>
    </w:p>
    <w:tbl>
      <w:tblPr>
        <w:tblW w:type="dxa" w:w="9360"/>
        <w:tblInd w:type="dxa" w:w="120"/>
        <w:tblBorders>
          <w:top w:val="single" w:color="174C36" w:sz="3"/>
          <w:left w:val="single" w:color="174C36" w:sz="8"/>
          <w:bottom w:val="single" w:color="174C36" w:sz="3"/>
          <w:right w:val="single" w:color="174C36" w:sz="3"/>
          <w:insideH w:val="none"/>
          <w:insideV w:val="none"/>
        </w:tblBorders>
        <w:tblLayout w:type="fixed"/>
      </w:tblPr>
      <w:tblGrid>
        <w:gridCol w:w="9360"/>
      </w:tblGrid>
      <w:tr>
        <w:trPr>
          <w:tblHeader/>
        </w:trPr>
        <w:tc>
          <w:tcPr>
            <w:tcW w:type="dxa" w:w="9360"/>
            <w:shd w:fill="E7EF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 w:line="280" w:lineRule="auto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4C36"/>
                <w:sz w:val="22"/>
                <w:szCs w:val="22"/>
              </w:rPr>
              <w:t xml:space="preserve">PARTNER WITH KISANFLOW</w:t>
            </w:r>
            <w:r>
              <w:rPr>
                <w:rFonts w:ascii="Calibri" w:cs="Calibri" w:eastAsia="Calibri" w:hAnsi="Calibri"/>
                <w:color w:val="17221C"/>
                <w:sz w:val="22"/>
                <w:szCs w:val="22"/>
              </w:rPr>
              <w:t xml:space="preserve">
Provide one regulated-institution sponsor, two districts and six months to validate 500 enterprises—moving from retrospective evidence, to silent-mode early warning, to tightly controlled maker-checker interventions.</w:t>
            </w:r>
          </w:p>
        </w:tc>
      </w:tr>
    </w:tbl>
    <w:p>
      <w:pPr>
        <w:spacing w:before="0" w:after="120" w:line="300" w:lineRule="auto"/>
        <w:jc w:val="left"/>
      </w:pPr>
      <w:r>
        <w:rPr>
          <w:rFonts w:ascii="Calibri" w:cs="Calibri" w:eastAsia="Calibri" w:hAnsi="Calibri"/>
          <w:b/>
          <w:bCs/>
          <w:color w:val="17221C"/>
          <w:sz w:val="22"/>
          <w:szCs w:val="22"/>
        </w:rPr>
        <w:t xml:space="preserve">Live demo: </w:t>
      </w:r>
      <w:hyperlink w:history="1" r:id="rIdqfutcrpu4k65lwlcvxza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kisanflow-demo-1012823692058.us-east1.run.app</w:t>
        </w:r>
      </w:hyperlink>
    </w:p>
    <w:p>
      <w:pPr>
        <w:spacing w:before="0" w:after="0" w:line="300" w:lineRule="auto"/>
        <w:jc w:val="left"/>
      </w:pPr>
      <w:r>
        <w:rPr>
          <w:rFonts w:ascii="Calibri" w:cs="Calibri" w:eastAsia="Calibri" w:hAnsi="Calibri"/>
          <w:b/>
          <w:bCs/>
          <w:color w:val="17221C"/>
          <w:sz w:val="22"/>
          <w:szCs w:val="22"/>
        </w:rPr>
        <w:t xml:space="preserve">Repository evidence: </w:t>
      </w:r>
      <w:r>
        <w:rPr>
          <w:rFonts w:ascii="Calibri" w:cs="Calibri" w:eastAsia="Calibri" w:hAnsi="Calibri"/>
          <w:color w:val="626E66"/>
          <w:sz w:val="22"/>
          <w:szCs w:val="22"/>
        </w:rPr>
        <w:t xml:space="preserve">README · MODEL_CARD · DATA_CARD · THREAT_MODEL · api/ · docs/evals/ · artifacts/model_metrics.json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26E66"/>
        <w:sz w:val="17"/>
        <w:szCs w:val="17"/>
      </w:rPr>
      <w:t xml:space="preserve">Decision-support prototype  ·  Synthetic evaluation  ·  Page </w:t>
    </w:r>
    <w:r>
      <w:rPr>
        <w:rFonts w:ascii="Calibri" w:cs="Calibri" w:eastAsia="Calibri" w:hAnsi="Calibri"/>
        <w:color w:val="626E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DD5" w:sz="4"/>
      </w:pBdr>
      <w:spacing w:after="0"/>
    </w:pPr>
    <w:r>
      <w:rPr>
        <w:rFonts w:ascii="Calibri" w:cs="Calibri" w:eastAsia="Calibri" w:hAnsi="Calibri"/>
        <w:b/>
        <w:bCs/>
        <w:color w:val="626E66"/>
        <w:sz w:val="17"/>
        <w:szCs w:val="17"/>
      </w:rPr>
      <w:t xml:space="preserve">KISANFLOW ENTERPRISE PULSE</w:t>
    </w:r>
    <w:r>
      <w:rPr>
        <w:rFonts w:ascii="Calibri" w:cs="Calibri" w:eastAsia="Calibri" w:hAnsi="Calibri"/>
        <w:color w:val="626E66"/>
        <w:sz w:val="17"/>
        <w:szCs w:val="17"/>
      </w:rPr>
      <w:t xml:space="preserve">   |   NABARD HACKATHON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tabs>
          <w:tab w:val="left" w:pos="540"/>
        </w:tabs>
        <w:ind w:left="540" w:hanging="279"/>
      </w:pPr>
      <w:rPr>
        <w:rFonts w:ascii="Calibri" w:cs="Calibri" w:eastAsia="Calibri" w:hAnsi="Calibri"/>
        <w:color w:val="17221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7221C"/>
        <w:sz w:val="22"/>
        <w:szCs w:val="22"/>
      </w:rPr>
    </w:rPrDefault>
    <w:pPrDefault>
      <w:pPr>
        <w:spacing w:after="120"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</w:pPr>
    <w:rPr>
      <w:rFonts w:ascii="Calibri" w:cs="Calibri" w:eastAsia="Calibri" w:hAnsi="Calibr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Calibri" w:cs="Calibri" w:eastAsia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 w:after="8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g7jqyys-voetnfrhtbn-2" Type="http://schemas.openxmlformats.org/officeDocument/2006/relationships/hyperlink" Target="https://www.globalfintechfest.com/gff-hackathons/nabard-hackathon" TargetMode="External"/><Relationship Id="rIdbhq0bn1oevlmx1rvlmsze" Type="http://schemas.openxmlformats.org/officeDocument/2006/relationships/hyperlink" Target="https://sahamati.org.in/account-aggregator-key-resources/" TargetMode="External"/><Relationship Id="rId4zgfa3nxmmjyolzefs1tq" Type="http://schemas.openxmlformats.org/officeDocument/2006/relationships/hyperlink" Target="https://www.pib.gov.in/FactsheetDetails.aspx?Id=150688&amp;lang=1&amp;reg=3" TargetMode="External"/><Relationship Id="rIdryyogb-nura1ose2ot5yd" Type="http://schemas.openxmlformats.org/officeDocument/2006/relationships/hyperlink" Target="https://www.digitalpublicgoods.net/standard" TargetMode="External"/><Relationship Id="rIdsx5fdvo_s7vxzhineyayf" Type="http://schemas.openxmlformats.org/officeDocument/2006/relationships/hyperlink" Target="https://www.meity.gov.in/documents/act-and-policies/digital-personal-data-protection-rules-2025-gDOxUjMtQWa" TargetMode="External"/><Relationship Id="rIdqfutcrpu4k65lwlcvxzal" Type="http://schemas.openxmlformats.org/officeDocument/2006/relationships/hyperlink" Target="https://kisanflow-demo-1012823692058.us-east1.run.app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KisanFlow Enterprise Pulse — NABARD Hackathon 2026 Application</dc:title>
  <dc:creator>KisanFlow</dc:creator>
  <dc:description>Evidence-backed proposal for AI-driven cash-flow prediction and risk flagging for rural micro-enterprises.</dc:description>
  <cp:lastModifiedBy>Un-named</cp:lastModifiedBy>
  <cp:revision>1</cp:revision>
  <dcterms:created xsi:type="dcterms:W3CDTF">2026-08-11T07:58:08.622Z</dcterms:created>
  <dcterms:modified xsi:type="dcterms:W3CDTF">2026-08-11T07:58:08.627Z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