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Northstar Customer Portal</w:t>
      </w:r>
    </w:p>
    <w:p>
      <w:pPr>
        <w:pStyle w:val="Normal"/>
      </w:pPr>
      <w:r>
        <w:t xml:space="preserve">Prepared for Northstar Retail</w:t>
      </w:r>
    </w:p>
    <w:p>
      <w:pPr>
        <w:pStyle w:val="Normal"/>
      </w:pPr>
      <w:r>
        <w:t xml:space="preserve">This proposal addresses the reviewed requirements for the client opportunity. The sections below contain the answers approved for this package.</w:t>
      </w:r>
    </w:p>
    <w:p>
      <w:pPr>
        <w:pStyle w:val="Heading1"/>
      </w:pPr>
      <w:r>
        <w:t xml:space="preserve">Technical approach for the customer portal</w:t>
      </w:r>
    </w:p>
    <w:p>
      <w:pPr>
        <w:pStyle w:val="Normal"/>
      </w:pPr>
      <w:r>
        <w:t xml:space="preserve">We propose a customer portal using a React interface and an API service, with customer authentication and automated tests.</w:t>
      </w:r>
    </w:p>
    <w:p>
      <w:pPr>
        <w:pStyle w:val="Heading1"/>
      </w:pPr>
      <w:r>
        <w:t xml:space="preserve">Delivery plan for a twelve week implementation</w:t>
      </w:r>
    </w:p>
    <w:p>
      <w:pPr>
        <w:pStyle w:val="Normal"/>
      </w:pPr>
      <w:r>
        <w:t xml:space="preserve">Our proposed twelve week delivery plan includes discovery, implementation, verification and handover. Delivery timing is subject to an agreed scope.</w:t>
      </w:r>
    </w:p>
    <w:p>
      <w:pPr>
        <w:pStyle w:val="Heading1"/>
      </w:pPr>
      <w:r>
        <w:t xml:space="preserve">Two relevant case studies</w:t>
      </w:r>
    </w:p>
    <w:p>
      <w:pPr>
        <w:pStyle w:val="Normal"/>
      </w:pPr>
      <w:r>
        <w:t xml:space="preserve">Case study one: fictional Atlas Studio delivered an account portal for Example Retail. Case study two: fictional Atlas Studio delivered a support dashboard for Example Services.</w:t>
      </w:r>
    </w:p>
    <w:p>
      <w:pPr>
        <w:pStyle w:val="Heading1"/>
      </w:pPr>
      <w:r>
        <w:t xml:space="preserve">Complete security questionnaire</w:t>
      </w:r>
    </w:p>
    <w:p>
      <w:pPr>
        <w:pStyle w:val="Normal"/>
      </w:pPr>
      <w:r>
        <w:t xml:space="preserve">Our security questionnaire response covers access controls, backups and incident handling. We do not hold ISO 27001 certification.</w:t>
      </w:r>
    </w:p>
    <w:p>
      <w:pPr>
        <w:pStyle w:val="Heading1"/>
      </w:pPr>
      <w:r>
        <w:t xml:space="preserve">Commercial proposal</w:t>
      </w:r>
    </w:p>
    <w:p>
      <w:pPr>
        <w:pStyle w:val="Normal"/>
      </w:pPr>
      <w:r>
        <w:t xml:space="preserve">Our commercial proposal will use milestone payments against an agreed scope. This fictional example deliberately contains no binding price.</w:t>
      </w:r>
    </w:p>
    <w:sectPr>
      <w:pgSz w:w="11906" w:h="16838"/>
      <w:pgMar w:top="1134" w:bottom="1134" w:left="1134" w:righ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60" w:line="276" w:lineRule="auto"/>
      </w:pPr>
    </w:pPrDefault>
  </w:docDefaults>
  <w:style w:type="paragraph" w:styleId="Normal">
    <w:name w:val="Normal"/>
  </w:style>
  <w:style w:type="paragraph" w:styleId="Title">
    <w:name w:val="Title"/>
    <w:rPr>
      <w:b/>
      <w:sz w:val="36"/>
      <w:color w:val="000000"/>
    </w:rPr>
  </w:style>
  <w:style w:type="paragraph" w:styleId="Heading1">
    <w:name w:val="heading 1"/>
    <w:pPr>
      <w:keepNext/>
    </w:pPr>
    <w:rPr>
      <w:b/>
      <w:sz w:val="26"/>
      <w:color w:val="000000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