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jc w:val="center"/>
      </w:pPr>
      <w:r>
        <w:rPr>
          <w:color w:val="6B3FA0"/>
        </w:rPr>
        <w:t>Portfolio Documentation</w:t>
      </w:r>
    </w:p>
    <w:p>
      <w:pPr>
        <w:spacing w:before="0" w:after="280"/>
        <w:jc w:val="center"/>
      </w:pPr>
      <w:r>
        <w:rPr>
          <w:color w:val="555555"/>
          <w:sz w:val="22"/>
        </w:rPr>
        <w:t>index.html — Gowtham Doppalapudi | Java Full Stack Developer</w:t>
      </w:r>
    </w:p>
    <w:p>
      <w:pPr>
        <w:pStyle w:val="Heading1"/>
        <w:spacing w:before="200" w:after="80"/>
      </w:pPr>
      <w:r>
        <w:rPr>
          <w:color w:val="6B3FA0"/>
        </w:rPr>
        <w:t>1. Overview</w:t>
      </w:r>
    </w:p>
    <w:p>
      <w:pPr>
        <w:spacing w:before="0" w:after="160"/>
      </w:pPr>
      <w:r>
        <w:rPr>
          <w:sz w:val="20"/>
        </w:rPr>
        <w:t>This is a single-file HTML portfolio — all CSS and JavaScript are written inline inside index.html. There are no build tools, frameworks, or external dependencies beyond Google Fonts and SVG icons loaded from a CDN. The design uses a dark purple/gradient anime-inspired theme with a canvas-based animated background, smooth scroll effects, and a contact form that submits without a backend using formsubmit.co.</w:t>
      </w:r>
    </w:p>
    <w:p>
      <w:pPr>
        <w:pStyle w:val="Heading1"/>
        <w:spacing w:before="200" w:after="80"/>
      </w:pPr>
      <w:r>
        <w:rPr>
          <w:color w:val="6B3FA0"/>
        </w:rPr>
        <w:t>2. File Structure</w:t>
      </w:r>
    </w:p>
    <w:p>
      <w:pPr>
        <w:spacing w:before="0" w:after="200"/>
      </w:pPr>
      <w:r>
        <w:rPr>
          <w:sz w:val="20"/>
        </w:rPr>
        <w:t>Everything lives inside a single index.html file. The file is divided into three logical areas:</w:t>
      </w:r>
    </w:p>
    <w:tbl>
      <w:tblPr>
        <w:tblStyle w:val="TableGrid"/>
        <w:tblW w:type="auto" w:w="0"/>
        <w:tblLook w:firstColumn="1" w:firstRow="1" w:lastColumn="0" w:lastRow="0" w:noHBand="0" w:noVBand="1" w:val="04A0"/>
      </w:tblPr>
      <w:tblGrid>
        <w:gridCol w:w="3135"/>
        <w:gridCol w:w="3135"/>
        <w:gridCol w:w="3135"/>
      </w:tblGrid>
      <w:tr>
        <w:tc>
          <w:tcPr>
            <w:tcW w:type="dxa" w:w="1440"/>
            <w:shd w:val="clear" w:color="auto" w:fill="6B3FA0"/>
          </w:tcPr>
          <w:p>
            <w:r>
              <w:rPr>
                <w:b/>
                <w:color w:val="FFFFFF"/>
                <w:sz w:val="18"/>
              </w:rPr>
              <w:t>Area</w:t>
            </w:r>
          </w:p>
        </w:tc>
        <w:tc>
          <w:tcPr>
            <w:tcW w:type="dxa" w:w="2592"/>
            <w:shd w:val="clear" w:color="auto" w:fill="6B3FA0"/>
          </w:tcPr>
          <w:p>
            <w:r>
              <w:rPr>
                <w:b/>
                <w:color w:val="FFFFFF"/>
                <w:sz w:val="18"/>
              </w:rPr>
              <w:t>Tag / Location</w:t>
            </w:r>
          </w:p>
        </w:tc>
        <w:tc>
          <w:tcPr>
            <w:tcW w:type="dxa" w:w="5040"/>
            <w:shd w:val="clear" w:color="auto" w:fill="6B3FA0"/>
          </w:tcPr>
          <w:p>
            <w:r>
              <w:rPr>
                <w:b/>
                <w:color w:val="FFFFFF"/>
                <w:sz w:val="18"/>
              </w:rPr>
              <w:t>What It Contains</w:t>
            </w:r>
          </w:p>
        </w:tc>
      </w:tr>
      <w:tr>
        <w:tc>
          <w:tcPr>
            <w:tcW w:type="dxa" w:w="1440"/>
            <w:shd w:val="clear" w:color="auto" w:fill="F3EEFF"/>
          </w:tcPr>
          <w:p>
            <w:r>
              <w:rPr>
                <w:sz w:val="18"/>
              </w:rPr>
              <w:t>Styles</w:t>
            </w:r>
          </w:p>
        </w:tc>
        <w:tc>
          <w:tcPr>
            <w:tcW w:type="dxa" w:w="2592"/>
            <w:shd w:val="clear" w:color="auto" w:fill="F3EEFF"/>
          </w:tcPr>
          <w:p>
            <w:r>
              <w:rPr>
                <w:sz w:val="18"/>
              </w:rPr>
              <w:t>&lt;style&gt; inside &lt;head&gt;</w:t>
            </w:r>
          </w:p>
        </w:tc>
        <w:tc>
          <w:tcPr>
            <w:tcW w:type="dxa" w:w="5040"/>
            <w:shd w:val="clear" w:color="auto" w:fill="F3EEFF"/>
          </w:tcPr>
          <w:p>
            <w:r>
              <w:rPr>
                <w:sz w:val="18"/>
              </w:rPr>
              <w:t>All CSS — variables, layout, animations, responsive rules</w:t>
            </w:r>
          </w:p>
        </w:tc>
      </w:tr>
      <w:tr>
        <w:tc>
          <w:tcPr>
            <w:tcW w:type="dxa" w:w="1440"/>
          </w:tcPr>
          <w:p>
            <w:r>
              <w:rPr>
                <w:sz w:val="18"/>
              </w:rPr>
              <w:t>Markup</w:t>
            </w:r>
          </w:p>
        </w:tc>
        <w:tc>
          <w:tcPr>
            <w:tcW w:type="dxa" w:w="2592"/>
          </w:tcPr>
          <w:p>
            <w:r>
              <w:rPr>
                <w:sz w:val="18"/>
              </w:rPr>
              <w:t>&lt;body&gt;</w:t>
            </w:r>
          </w:p>
        </w:tc>
        <w:tc>
          <w:tcPr>
            <w:tcW w:type="dxa" w:w="5040"/>
          </w:tcPr>
          <w:p>
            <w:r>
              <w:rPr>
                <w:sz w:val="18"/>
              </w:rPr>
              <w:t>Canvas background, nav, hero, about, skills, experience, education, contact, footer</w:t>
            </w:r>
          </w:p>
        </w:tc>
      </w:tr>
      <w:tr>
        <w:tc>
          <w:tcPr>
            <w:tcW w:type="dxa" w:w="1440"/>
            <w:shd w:val="clear" w:color="auto" w:fill="F3EEFF"/>
          </w:tcPr>
          <w:p>
            <w:r>
              <w:rPr>
                <w:sz w:val="18"/>
              </w:rPr>
              <w:t>Scripts</w:t>
            </w:r>
          </w:p>
        </w:tc>
        <w:tc>
          <w:tcPr>
            <w:tcW w:type="dxa" w:w="2592"/>
            <w:shd w:val="clear" w:color="auto" w:fill="F3EEFF"/>
          </w:tcPr>
          <w:p>
            <w:r>
              <w:rPr>
                <w:sz w:val="18"/>
              </w:rPr>
              <w:t>&lt;script&gt; before &lt;/body&gt;</w:t>
            </w:r>
          </w:p>
        </w:tc>
        <w:tc>
          <w:tcPr>
            <w:tcW w:type="dxa" w:w="5040"/>
            <w:shd w:val="clear" w:color="auto" w:fill="F3EEFF"/>
          </w:tcPr>
          <w:p>
            <w:r>
              <w:rPr>
                <w:sz w:val="18"/>
              </w:rPr>
              <w:t>All JavaScript — canvas animation, scroll effects, form handling, nav tracking</w:t>
            </w:r>
          </w:p>
        </w:tc>
      </w:tr>
    </w:tbl>
    <w:p>
      <w:pPr>
        <w:pStyle w:val="Heading1"/>
        <w:spacing w:before="200" w:after="80"/>
      </w:pPr>
      <w:r>
        <w:rPr>
          <w:color w:val="6B3FA0"/>
        </w:rPr>
        <w:t>3. CSS Design System</w:t>
      </w:r>
    </w:p>
    <w:p>
      <w:pPr>
        <w:spacing w:before="0" w:after="200"/>
      </w:pPr>
      <w:r>
        <w:rPr>
          <w:sz w:val="20"/>
        </w:rPr>
        <w:t>All colours, fonts, and gradients are stored as CSS custom properties (variables) inside :root so the whole theme can be changed from one place.</w:t>
      </w:r>
    </w:p>
    <w:tbl>
      <w:tblPr>
        <w:tblStyle w:val="TableGrid"/>
        <w:tblW w:type="auto" w:w="0"/>
        <w:tblLook w:firstColumn="1" w:firstRow="1" w:lastColumn="0" w:lastRow="0" w:noHBand="0" w:noVBand="1" w:val="04A0"/>
      </w:tblPr>
      <w:tblGrid>
        <w:gridCol w:w="3135"/>
        <w:gridCol w:w="3135"/>
        <w:gridCol w:w="3135"/>
      </w:tblGrid>
      <w:tr>
        <w:tc>
          <w:tcPr>
            <w:tcW w:type="dxa" w:w="2016"/>
            <w:shd w:val="clear" w:color="auto" w:fill="6B3FA0"/>
          </w:tcPr>
          <w:p>
            <w:r>
              <w:rPr>
                <w:b/>
                <w:color w:val="FFFFFF"/>
                <w:sz w:val="18"/>
              </w:rPr>
              <w:t>Variable</w:t>
            </w:r>
          </w:p>
        </w:tc>
        <w:tc>
          <w:tcPr>
            <w:tcW w:type="dxa" w:w="2592"/>
            <w:shd w:val="clear" w:color="auto" w:fill="6B3FA0"/>
          </w:tcPr>
          <w:p>
            <w:r>
              <w:rPr>
                <w:b/>
                <w:color w:val="FFFFFF"/>
                <w:sz w:val="18"/>
              </w:rPr>
              <w:t>Value</w:t>
            </w:r>
          </w:p>
        </w:tc>
        <w:tc>
          <w:tcPr>
            <w:tcW w:type="dxa" w:w="4320"/>
            <w:shd w:val="clear" w:color="auto" w:fill="6B3FA0"/>
          </w:tcPr>
          <w:p>
            <w:r>
              <w:rPr>
                <w:b/>
                <w:color w:val="FFFFFF"/>
                <w:sz w:val="18"/>
              </w:rPr>
              <w:t>Used For</w:t>
            </w:r>
          </w:p>
        </w:tc>
      </w:tr>
      <w:tr>
        <w:tc>
          <w:tcPr>
            <w:tcW w:type="dxa" w:w="2016"/>
            <w:shd w:val="clear" w:color="auto" w:fill="F3EEFF"/>
          </w:tcPr>
          <w:p>
            <w:r>
              <w:rPr>
                <w:sz w:val="18"/>
              </w:rPr>
              <w:t>--primary</w:t>
            </w:r>
          </w:p>
        </w:tc>
        <w:tc>
          <w:tcPr>
            <w:tcW w:type="dxa" w:w="2592"/>
            <w:shd w:val="clear" w:color="auto" w:fill="F3EEFF"/>
          </w:tcPr>
          <w:p>
            <w:r>
              <w:rPr>
                <w:sz w:val="18"/>
              </w:rPr>
              <w:t>#d87dff</w:t>
            </w:r>
          </w:p>
        </w:tc>
        <w:tc>
          <w:tcPr>
            <w:tcW w:type="dxa" w:w="4320"/>
            <w:shd w:val="clear" w:color="auto" w:fill="F3EEFF"/>
          </w:tcPr>
          <w:p>
            <w:r>
              <w:rPr>
                <w:sz w:val="18"/>
              </w:rPr>
              <w:t>Purple accent colour — borders, glows, eyebrow badges</w:t>
            </w:r>
          </w:p>
        </w:tc>
      </w:tr>
      <w:tr>
        <w:tc>
          <w:tcPr>
            <w:tcW w:type="dxa" w:w="2016"/>
          </w:tcPr>
          <w:p>
            <w:r>
              <w:rPr>
                <w:sz w:val="18"/>
              </w:rPr>
              <w:t>--grad</w:t>
            </w:r>
          </w:p>
        </w:tc>
        <w:tc>
          <w:tcPr>
            <w:tcW w:type="dxa" w:w="2592"/>
          </w:tcPr>
          <w:p>
            <w:r>
              <w:rPr>
                <w:sz w:val="18"/>
              </w:rPr>
              <w:t>135deg, #d87dff → #ff7eb3</w:t>
            </w:r>
          </w:p>
        </w:tc>
        <w:tc>
          <w:tcPr>
            <w:tcW w:type="dxa" w:w="4320"/>
          </w:tcPr>
          <w:p>
            <w:r>
              <w:rPr>
                <w:sz w:val="18"/>
              </w:rPr>
              <w:t>Gradient — buttons, headings, progress bar, timeline</w:t>
            </w:r>
          </w:p>
        </w:tc>
      </w:tr>
      <w:tr>
        <w:tc>
          <w:tcPr>
            <w:tcW w:type="dxa" w:w="2016"/>
            <w:shd w:val="clear" w:color="auto" w:fill="F3EEFF"/>
          </w:tcPr>
          <w:p>
            <w:r>
              <w:rPr>
                <w:sz w:val="18"/>
              </w:rPr>
              <w:t>--bg</w:t>
            </w:r>
          </w:p>
        </w:tc>
        <w:tc>
          <w:tcPr>
            <w:tcW w:type="dxa" w:w="2592"/>
            <w:shd w:val="clear" w:color="auto" w:fill="F3EEFF"/>
          </w:tcPr>
          <w:p>
            <w:r>
              <w:rPr>
                <w:sz w:val="18"/>
              </w:rPr>
              <w:t>#07010f</w:t>
            </w:r>
          </w:p>
        </w:tc>
        <w:tc>
          <w:tcPr>
            <w:tcW w:type="dxa" w:w="4320"/>
            <w:shd w:val="clear" w:color="auto" w:fill="F3EEFF"/>
          </w:tcPr>
          <w:p>
            <w:r>
              <w:rPr>
                <w:sz w:val="18"/>
              </w:rPr>
              <w:t>Page background (near-black deep purple)</w:t>
            </w:r>
          </w:p>
        </w:tc>
      </w:tr>
      <w:tr>
        <w:tc>
          <w:tcPr>
            <w:tcW w:type="dxa" w:w="2016"/>
          </w:tcPr>
          <w:p>
            <w:r>
              <w:rPr>
                <w:sz w:val="18"/>
              </w:rPr>
              <w:t>--cyan</w:t>
            </w:r>
          </w:p>
        </w:tc>
        <w:tc>
          <w:tcPr>
            <w:tcW w:type="dxa" w:w="2592"/>
          </w:tcPr>
          <w:p>
            <w:r>
              <w:rPr>
                <w:sz w:val="18"/>
              </w:rPr>
              <w:t>#7ee8fa</w:t>
            </w:r>
          </w:p>
        </w:tc>
        <w:tc>
          <w:tcPr>
            <w:tcW w:type="dxa" w:w="4320"/>
          </w:tcPr>
          <w:p>
            <w:r>
              <w:rPr>
                <w:sz w:val="18"/>
              </w:rPr>
              <w:t>Company names, secondary highlights</w:t>
            </w:r>
          </w:p>
        </w:tc>
      </w:tr>
      <w:tr>
        <w:tc>
          <w:tcPr>
            <w:tcW w:type="dxa" w:w="2016"/>
            <w:shd w:val="clear" w:color="auto" w:fill="F3EEFF"/>
          </w:tcPr>
          <w:p>
            <w:r>
              <w:rPr>
                <w:sz w:val="18"/>
              </w:rPr>
              <w:t>--green</w:t>
            </w:r>
          </w:p>
        </w:tc>
        <w:tc>
          <w:tcPr>
            <w:tcW w:type="dxa" w:w="2592"/>
            <w:shd w:val="clear" w:color="auto" w:fill="F3EEFF"/>
          </w:tcPr>
          <w:p>
            <w:r>
              <w:rPr>
                <w:sz w:val="18"/>
              </w:rPr>
              <w:t>#5eead4</w:t>
            </w:r>
          </w:p>
        </w:tc>
        <w:tc>
          <w:tcPr>
            <w:tcW w:type="dxa" w:w="4320"/>
            <w:shd w:val="clear" w:color="auto" w:fill="F3EEFF"/>
          </w:tcPr>
          <w:p>
            <w:r>
              <w:rPr>
                <w:sz w:val="18"/>
              </w:rPr>
              <w:t>"Active" status dot and certification badges</w:t>
            </w:r>
          </w:p>
        </w:tc>
      </w:tr>
      <w:tr>
        <w:tc>
          <w:tcPr>
            <w:tcW w:type="dxa" w:w="2016"/>
          </w:tcPr>
          <w:p>
            <w:r>
              <w:rPr>
                <w:sz w:val="18"/>
              </w:rPr>
              <w:t>--text-dim</w:t>
            </w:r>
          </w:p>
        </w:tc>
        <w:tc>
          <w:tcPr>
            <w:tcW w:type="dxa" w:w="2592"/>
          </w:tcPr>
          <w:p>
            <w:r>
              <w:rPr>
                <w:sz w:val="18"/>
              </w:rPr>
              <w:t>#c4a8e8</w:t>
            </w:r>
          </w:p>
        </w:tc>
        <w:tc>
          <w:tcPr>
            <w:tcW w:type="dxa" w:w="4320"/>
          </w:tcPr>
          <w:p>
            <w:r>
              <w:rPr>
                <w:sz w:val="18"/>
              </w:rPr>
              <w:t>Body paragraphs, secondary text</w:t>
            </w:r>
          </w:p>
        </w:tc>
      </w:tr>
      <w:tr>
        <w:tc>
          <w:tcPr>
            <w:tcW w:type="dxa" w:w="2016"/>
            <w:shd w:val="clear" w:color="auto" w:fill="F3EEFF"/>
          </w:tcPr>
          <w:p>
            <w:r>
              <w:rPr>
                <w:sz w:val="18"/>
              </w:rPr>
              <w:t>--text-muted</w:t>
            </w:r>
          </w:p>
        </w:tc>
        <w:tc>
          <w:tcPr>
            <w:tcW w:type="dxa" w:w="2592"/>
            <w:shd w:val="clear" w:color="auto" w:fill="F3EEFF"/>
          </w:tcPr>
          <w:p>
            <w:r>
              <w:rPr>
                <w:sz w:val="18"/>
              </w:rPr>
              <w:t>#7a60a0</w:t>
            </w:r>
          </w:p>
        </w:tc>
        <w:tc>
          <w:tcPr>
            <w:tcW w:type="dxa" w:w="4320"/>
            <w:shd w:val="clear" w:color="auto" w:fill="F3EEFF"/>
          </w:tcPr>
          <w:p>
            <w:r>
              <w:rPr>
                <w:sz w:val="18"/>
              </w:rPr>
              <w:t>Labels, captions, quiet UI text</w:t>
            </w:r>
          </w:p>
        </w:tc>
      </w:tr>
      <w:tr>
        <w:tc>
          <w:tcPr>
            <w:tcW w:type="dxa" w:w="2016"/>
          </w:tcPr>
          <w:p>
            <w:r>
              <w:rPr>
                <w:sz w:val="18"/>
              </w:rPr>
              <w:t>--font-head</w:t>
            </w:r>
          </w:p>
        </w:tc>
        <w:tc>
          <w:tcPr>
            <w:tcW w:type="dxa" w:w="2592"/>
          </w:tcPr>
          <w:p>
            <w:r>
              <w:rPr>
                <w:sz w:val="18"/>
              </w:rPr>
              <w:t>Poppins</w:t>
            </w:r>
          </w:p>
        </w:tc>
        <w:tc>
          <w:tcPr>
            <w:tcW w:type="dxa" w:w="4320"/>
          </w:tcPr>
          <w:p>
            <w:r>
              <w:rPr>
                <w:sz w:val="18"/>
              </w:rPr>
              <w:t>Section titles, stat numbers, card headings</w:t>
            </w:r>
          </w:p>
        </w:tc>
      </w:tr>
      <w:tr>
        <w:tc>
          <w:tcPr>
            <w:tcW w:type="dxa" w:w="2016"/>
            <w:shd w:val="clear" w:color="auto" w:fill="F3EEFF"/>
          </w:tcPr>
          <w:p>
            <w:r>
              <w:rPr>
                <w:sz w:val="18"/>
              </w:rPr>
              <w:t>--font-body</w:t>
            </w:r>
          </w:p>
        </w:tc>
        <w:tc>
          <w:tcPr>
            <w:tcW w:type="dxa" w:w="2592"/>
            <w:shd w:val="clear" w:color="auto" w:fill="F3EEFF"/>
          </w:tcPr>
          <w:p>
            <w:r>
              <w:rPr>
                <w:sz w:val="18"/>
              </w:rPr>
              <w:t>Inter</w:t>
            </w:r>
          </w:p>
        </w:tc>
        <w:tc>
          <w:tcPr>
            <w:tcW w:type="dxa" w:w="4320"/>
            <w:shd w:val="clear" w:color="auto" w:fill="F3EEFF"/>
          </w:tcPr>
          <w:p>
            <w:r>
              <w:rPr>
                <w:sz w:val="18"/>
              </w:rPr>
              <w:t>All body text and paragraphs</w:t>
            </w:r>
          </w:p>
        </w:tc>
      </w:tr>
    </w:tbl>
    <w:p>
      <w:pPr>
        <w:pStyle w:val="Heading1"/>
        <w:spacing w:before="200" w:after="120"/>
      </w:pPr>
      <w:r>
        <w:rPr>
          <w:color w:val="6B3FA0"/>
        </w:rPr>
        <w:t>4. Sections Explained</w:t>
      </w:r>
    </w:p>
    <w:p>
      <w:pPr>
        <w:pStyle w:val="Heading2"/>
        <w:spacing w:before="160" w:after="60"/>
      </w:pPr>
      <w:r>
        <w:rPr>
          <w:color w:val="442280"/>
        </w:rPr>
        <w:t>4.1  Canvas Background</w:t>
      </w:r>
    </w:p>
    <w:p>
      <w:pPr>
        <w:spacing w:before="0" w:after="160"/>
      </w:pPr>
      <w:r>
        <w:rPr>
          <w:sz w:val="20"/>
        </w:rPr>
        <w:t>A &lt;canvas&gt; element sits fixed behind all content and is drawn by a JavaScript animation loop. It renders a twinkling starfield (220 stars that fade in and out), occasional shooting stars that streak diagonally across the screen, and 28 falling tech icon images (Java, Spring, Docker, etc.) that drift downward with a gentle swinging motion. On top of the canvas, three CSS "glow orbs" (blurred circles) pulse slowly to add depth.</w:t>
      </w:r>
    </w:p>
    <w:p>
      <w:pPr>
        <w:pStyle w:val="Heading2"/>
        <w:spacing w:before="160" w:after="60"/>
      </w:pPr>
      <w:r>
        <w:rPr>
          <w:color w:val="442280"/>
        </w:rPr>
        <w:t>4.2  Navigation</w:t>
      </w:r>
    </w:p>
    <w:p>
      <w:pPr>
        <w:spacing w:before="0" w:after="160"/>
      </w:pPr>
      <w:r>
        <w:rPr>
          <w:sz w:val="20"/>
        </w:rPr>
        <w:t>The nav bar is fixed at the top with a frosted-glass effect (backdrop-filter: blur). It contains the name as a logo link and five anchor links — About, Tech Stack, Experience, Education, Contact. As the user scrolls, the currently visible section's link is highlighted with the .active class. After scrolling 60px down, the nav background becomes fully opaque (.scrolled class) so it stays readable over any content.</w:t>
      </w:r>
    </w:p>
    <w:p>
      <w:pPr>
        <w:pStyle w:val="Heading2"/>
        <w:spacing w:before="160" w:after="60"/>
      </w:pPr>
      <w:r>
        <w:rPr>
          <w:color w:val="442280"/>
        </w:rPr>
        <w:t>4.3  Hero Section</w:t>
      </w:r>
    </w:p>
    <w:p>
      <w:pPr>
        <w:spacing w:before="0" w:after="160"/>
      </w:pPr>
      <w:r>
        <w:rPr>
          <w:sz w:val="20"/>
        </w:rPr>
        <w:t>The full-screen landing section contains: an eyebrow badge ("Open to Opportunities") with a blinking green status dot; the name in large Raleway uppercase with a blue-to-purple gradient on the surname; the job title and years of experience; six tech pills (Java, Spring Boot, React, Angular, AWS, Docker) with logos from the devicon CDN; four stat cards (6+ years, 4 companies, M.S., AWS) whose numbers animate upward when first seen; and two call-to-action buttons. Behind the text, 14 tech icon images rise upward on an infinite CSS loop. The hero content gently drifts upward as you scroll (parallax effect).</w:t>
      </w:r>
    </w:p>
    <w:p>
      <w:pPr>
        <w:pStyle w:val="Heading2"/>
        <w:spacing w:before="160" w:after="60"/>
      </w:pPr>
      <w:r>
        <w:rPr>
          <w:color w:val="442280"/>
        </w:rPr>
        <w:t>4.4  About Section</w:t>
      </w:r>
    </w:p>
    <w:p>
      <w:pPr>
        <w:spacing w:before="0" w:after="160"/>
      </w:pPr>
      <w:r>
        <w:rPr>
          <w:sz w:val="20"/>
        </w:rPr>
        <w:t>A two-column grid. The left column slides in from the left on scroll and contains three biography paragraphs and three expertise rows (Backend Engineering, Frontend Development, Cloud &amp; DevOps — each with an icon, title, and skill list). The right column slides in from the right and shows a Certifications &amp; Degrees panel listing Oracle Java SE, AWS Developer Associate, and M.S. Computer Science.</w:t>
      </w:r>
    </w:p>
    <w:p>
      <w:pPr>
        <w:pStyle w:val="Heading2"/>
        <w:spacing w:before="160" w:after="60"/>
      </w:pPr>
      <w:r>
        <w:rPr>
          <w:color w:val="442280"/>
        </w:rPr>
        <w:t>4.5  Tech Stack Section</w:t>
      </w:r>
    </w:p>
    <w:p>
      <w:pPr>
        <w:spacing w:before="0" w:after="160"/>
      </w:pPr>
      <w:r>
        <w:rPr>
          <w:sz w:val="20"/>
        </w:rPr>
        <w:t>Six grouped rows of technology chips, each chip showing the devicon SVG logo and the technology name. The groups are: Backend &amp; Java, Frontend, Cloud &amp; DevOps, Databases, Messaging &amp; APIs, and Testing &amp; Tools. When each row of chips scrolls into view, the chips cascade in one by one with a 48ms stagger delay — the first chip appears immediately, the second 48ms later, the third 96ms later, and so on.</w:t>
      </w:r>
    </w:p>
    <w:p>
      <w:pPr>
        <w:pStyle w:val="Heading2"/>
        <w:spacing w:before="160" w:after="60"/>
      </w:pPr>
      <w:r>
        <w:rPr>
          <w:color w:val="442280"/>
        </w:rPr>
        <w:t>4.6  Experience Section</w:t>
      </w:r>
    </w:p>
    <w:p>
      <w:pPr>
        <w:spacing w:before="0" w:after="160"/>
      </w:pPr>
      <w:r>
        <w:rPr>
          <w:sz w:val="20"/>
        </w:rPr>
        <w:t>A vertical timeline with a gradient line running down the left edge. Each job entry has a glowing purple dot on the timeline, a card that slides in from the left on scroll, and contains the role title, date badge, company and location, bullet points of key achievements, and a row of technology tags at the bottom. There are four positions:</w:t>
        <w:br/>
        <w:t xml:space="preserve">  • Digital Realty — Austin, TX (Jul 2023 – Present)</w:t>
        <w:br/>
        <w:t xml:space="preserve">  • Crown Castle — Houston, TX (Dec 2021 – Jun 2023)</w:t>
        <w:br/>
        <w:t xml:space="preserve">  • Nordstrom via Infosys — Bangalore, India (Mar 2021 – Aug 2021)</w:t>
        <w:br/>
        <w:t xml:space="preserve">  • Medreich Limited — Bangalore, India (Jun 2018 – Feb 2021)</w:t>
      </w:r>
    </w:p>
    <w:p>
      <w:pPr>
        <w:pStyle w:val="Heading2"/>
        <w:spacing w:before="160" w:after="60"/>
      </w:pPr>
      <w:r>
        <w:rPr>
          <w:color w:val="442280"/>
        </w:rPr>
        <w:t>4.7  Education Section</w:t>
      </w:r>
    </w:p>
    <w:p>
      <w:pPr>
        <w:spacing w:before="0" w:after="160"/>
      </w:pPr>
      <w:r>
        <w:rPr>
          <w:sz w:val="20"/>
        </w:rPr>
        <w:t>Three cards arranged in a responsive grid. Each card has a top accent bar in the gradient colour, an emoji icon, degree name, field, school, and date. The cards scale up and rise when they enter the viewport. The three entries are: M.S. Computer Science (University of Houston, 2021–2023), Oracle Certified Professional — Java SE Developer (active), and AWS Certified Developer — Associate (active).</w:t>
      </w:r>
    </w:p>
    <w:p>
      <w:pPr>
        <w:pStyle w:val="Heading2"/>
        <w:spacing w:before="160" w:after="60"/>
      </w:pPr>
      <w:r>
        <w:rPr>
          <w:color w:val="442280"/>
        </w:rPr>
        <w:t>4.8  Contact Section</w:t>
      </w:r>
    </w:p>
    <w:p>
      <w:pPr>
        <w:spacing w:before="0" w:after="160"/>
      </w:pPr>
      <w:r>
        <w:rPr>
          <w:sz w:val="20"/>
        </w:rPr>
        <w:t>Centred layout with three contact cards (Phone: 281-816-6875, Email, Location: Texas USA) and an async contact form below. The form collects Name, Email, Phone (optional), Subject, and Message. On submit, it sends the data via the Fetch API to formsubmit.co without reloading the page. If successful, the button is hidden and a success message appears. If the request fails, the button re-enables with an error message.</w:t>
      </w:r>
    </w:p>
    <w:p>
      <w:pPr>
        <w:pStyle w:val="Heading1"/>
        <w:spacing w:before="200" w:after="80"/>
      </w:pPr>
      <w:r>
        <w:rPr>
          <w:color w:val="6B3FA0"/>
        </w:rPr>
        <w:t>5. Scroll Effects</w:t>
      </w:r>
    </w:p>
    <w:p>
      <w:pPr>
        <w:spacing w:before="0" w:after="200"/>
      </w:pPr>
      <w:r>
        <w:rPr>
          <w:sz w:val="20"/>
        </w:rPr>
        <w:t>All scroll animations use the browser's IntersectionObserver API — no scroll event polling. Elements get a CSS class added when they enter the viewport, which triggers a CSS transition.</w:t>
      </w:r>
    </w:p>
    <w:tbl>
      <w:tblPr>
        <w:tblStyle w:val="TableGrid"/>
        <w:tblW w:type="auto" w:w="0"/>
        <w:tblLook w:firstColumn="1" w:firstRow="1" w:lastColumn="0" w:lastRow="0" w:noHBand="0" w:noVBand="1" w:val="04A0"/>
      </w:tblPr>
      <w:tblGrid>
        <w:gridCol w:w="2351"/>
        <w:gridCol w:w="2351"/>
        <w:gridCol w:w="2351"/>
        <w:gridCol w:w="2351"/>
      </w:tblGrid>
      <w:tr>
        <w:tc>
          <w:tcPr>
            <w:tcW w:type="dxa" w:w="1800"/>
            <w:shd w:val="clear" w:color="auto" w:fill="6B3FA0"/>
          </w:tcPr>
          <w:p>
            <w:r>
              <w:rPr>
                <w:b/>
                <w:color w:val="FFFFFF"/>
                <w:sz w:val="18"/>
              </w:rPr>
              <w:t>Effect</w:t>
            </w:r>
          </w:p>
        </w:tc>
        <w:tc>
          <w:tcPr>
            <w:tcW w:type="dxa" w:w="1728"/>
            <w:shd w:val="clear" w:color="auto" w:fill="6B3FA0"/>
          </w:tcPr>
          <w:p>
            <w:r>
              <w:rPr>
                <w:b/>
                <w:color w:val="FFFFFF"/>
                <w:sz w:val="18"/>
              </w:rPr>
              <w:t>CSS Class</w:t>
            </w:r>
          </w:p>
        </w:tc>
        <w:tc>
          <w:tcPr>
            <w:tcW w:type="dxa" w:w="2088"/>
            <w:shd w:val="clear" w:color="auto" w:fill="6B3FA0"/>
          </w:tcPr>
          <w:p>
            <w:r>
              <w:rPr>
                <w:b/>
                <w:color w:val="FFFFFF"/>
                <w:sz w:val="18"/>
              </w:rPr>
              <w:t>Applied To</w:t>
            </w:r>
          </w:p>
        </w:tc>
        <w:tc>
          <w:tcPr>
            <w:tcW w:type="dxa" w:w="3456"/>
            <w:shd w:val="clear" w:color="auto" w:fill="6B3FA0"/>
          </w:tcPr>
          <w:p>
            <w:r>
              <w:rPr>
                <w:b/>
                <w:color w:val="FFFFFF"/>
                <w:sz w:val="18"/>
              </w:rPr>
              <w:t>Description</w:t>
            </w:r>
          </w:p>
        </w:tc>
      </w:tr>
      <w:tr>
        <w:tc>
          <w:tcPr>
            <w:tcW w:type="dxa" w:w="1800"/>
            <w:shd w:val="clear" w:color="auto" w:fill="F3EEFF"/>
          </w:tcPr>
          <w:p>
            <w:r>
              <w:rPr>
                <w:sz w:val="18"/>
              </w:rPr>
              <w:t>Fade + slide up</w:t>
            </w:r>
          </w:p>
        </w:tc>
        <w:tc>
          <w:tcPr>
            <w:tcW w:type="dxa" w:w="1728"/>
            <w:shd w:val="clear" w:color="auto" w:fill="F3EEFF"/>
          </w:tcPr>
          <w:p>
            <w:r>
              <w:rPr>
                <w:sz w:val="18"/>
              </w:rPr>
              <w:t>.reveal</w:t>
            </w:r>
          </w:p>
        </w:tc>
        <w:tc>
          <w:tcPr>
            <w:tcW w:type="dxa" w:w="2088"/>
            <w:shd w:val="clear" w:color="auto" w:fill="F3EEFF"/>
          </w:tcPr>
          <w:p>
            <w:r>
              <w:rPr>
                <w:sz w:val="18"/>
              </w:rPr>
              <w:t>Contact cards, form</w:t>
            </w:r>
          </w:p>
        </w:tc>
        <w:tc>
          <w:tcPr>
            <w:tcW w:type="dxa" w:w="3456"/>
            <w:shd w:val="clear" w:color="auto" w:fill="F3EEFF"/>
          </w:tcPr>
          <w:p>
            <w:r>
              <w:rPr>
                <w:sz w:val="18"/>
              </w:rPr>
              <w:t>Fades in and slides up 28px over 0.58s</w:t>
            </w:r>
          </w:p>
        </w:tc>
      </w:tr>
      <w:tr>
        <w:tc>
          <w:tcPr>
            <w:tcW w:type="dxa" w:w="1800"/>
          </w:tcPr>
          <w:p>
            <w:r>
              <w:rPr>
                <w:sz w:val="18"/>
              </w:rPr>
              <w:t>Slide from left</w:t>
            </w:r>
          </w:p>
        </w:tc>
        <w:tc>
          <w:tcPr>
            <w:tcW w:type="dxa" w:w="1728"/>
          </w:tcPr>
          <w:p>
            <w:r>
              <w:rPr>
                <w:sz w:val="18"/>
              </w:rPr>
              <w:t>.reveal-left</w:t>
            </w:r>
          </w:p>
        </w:tc>
        <w:tc>
          <w:tcPr>
            <w:tcW w:type="dxa" w:w="2088"/>
          </w:tcPr>
          <w:p>
            <w:r>
              <w:rPr>
                <w:sz w:val="18"/>
              </w:rPr>
              <w:t>About text, exp cards</w:t>
            </w:r>
          </w:p>
        </w:tc>
        <w:tc>
          <w:tcPr>
            <w:tcW w:type="dxa" w:w="3456"/>
          </w:tcPr>
          <w:p>
            <w:r>
              <w:rPr>
                <w:sz w:val="18"/>
              </w:rPr>
              <w:t>Slides in from 36px left over 0.62s</w:t>
            </w:r>
          </w:p>
        </w:tc>
      </w:tr>
      <w:tr>
        <w:tc>
          <w:tcPr>
            <w:tcW w:type="dxa" w:w="1800"/>
            <w:shd w:val="clear" w:color="auto" w:fill="F3EEFF"/>
          </w:tcPr>
          <w:p>
            <w:r>
              <w:rPr>
                <w:sz w:val="18"/>
              </w:rPr>
              <w:t>Slide from right</w:t>
            </w:r>
          </w:p>
        </w:tc>
        <w:tc>
          <w:tcPr>
            <w:tcW w:type="dxa" w:w="1728"/>
            <w:shd w:val="clear" w:color="auto" w:fill="F3EEFF"/>
          </w:tcPr>
          <w:p>
            <w:r>
              <w:rPr>
                <w:sz w:val="18"/>
              </w:rPr>
              <w:t>.reveal-right</w:t>
            </w:r>
          </w:p>
        </w:tc>
        <w:tc>
          <w:tcPr>
            <w:tcW w:type="dxa" w:w="2088"/>
            <w:shd w:val="clear" w:color="auto" w:fill="F3EEFF"/>
          </w:tcPr>
          <w:p>
            <w:r>
              <w:rPr>
                <w:sz w:val="18"/>
              </w:rPr>
              <w:t>Cert panel</w:t>
            </w:r>
          </w:p>
        </w:tc>
        <w:tc>
          <w:tcPr>
            <w:tcW w:type="dxa" w:w="3456"/>
            <w:shd w:val="clear" w:color="auto" w:fill="F3EEFF"/>
          </w:tcPr>
          <w:p>
            <w:r>
              <w:rPr>
                <w:sz w:val="18"/>
              </w:rPr>
              <w:t>Slides in from 36px right over 0.62s</w:t>
            </w:r>
          </w:p>
        </w:tc>
      </w:tr>
      <w:tr>
        <w:tc>
          <w:tcPr>
            <w:tcW w:type="dxa" w:w="1800"/>
          </w:tcPr>
          <w:p>
            <w:r>
              <w:rPr>
                <w:sz w:val="18"/>
              </w:rPr>
              <w:t>Scale + rise</w:t>
            </w:r>
          </w:p>
        </w:tc>
        <w:tc>
          <w:tcPr>
            <w:tcW w:type="dxa" w:w="1728"/>
          </w:tcPr>
          <w:p>
            <w:r>
              <w:rPr>
                <w:sz w:val="18"/>
              </w:rPr>
              <w:t>.reveal-scale</w:t>
            </w:r>
          </w:p>
        </w:tc>
        <w:tc>
          <w:tcPr>
            <w:tcW w:type="dxa" w:w="2088"/>
          </w:tcPr>
          <w:p>
            <w:r>
              <w:rPr>
                <w:sz w:val="18"/>
              </w:rPr>
              <w:t>Education cards</w:t>
            </w:r>
          </w:p>
        </w:tc>
        <w:tc>
          <w:tcPr>
            <w:tcW w:type="dxa" w:w="3456"/>
          </w:tcPr>
          <w:p>
            <w:r>
              <w:rPr>
                <w:sz w:val="18"/>
              </w:rPr>
              <w:t>Scales from 93% + rises 16px over 0.65s</w:t>
            </w:r>
          </w:p>
        </w:tc>
      </w:tr>
      <w:tr>
        <w:tc>
          <w:tcPr>
            <w:tcW w:type="dxa" w:w="1800"/>
            <w:shd w:val="clear" w:color="auto" w:fill="F3EEFF"/>
          </w:tcPr>
          <w:p>
            <w:r>
              <w:rPr>
                <w:sz w:val="18"/>
              </w:rPr>
              <w:t>Chip stagger</w:t>
            </w:r>
          </w:p>
        </w:tc>
        <w:tc>
          <w:tcPr>
            <w:tcW w:type="dxa" w:w="1728"/>
            <w:shd w:val="clear" w:color="auto" w:fill="F3EEFF"/>
          </w:tcPr>
          <w:p>
            <w:r>
              <w:rPr>
                <w:sz w:val="18"/>
              </w:rPr>
              <w:t>Inline styles</w:t>
            </w:r>
          </w:p>
        </w:tc>
        <w:tc>
          <w:tcPr>
            <w:tcW w:type="dxa" w:w="2088"/>
            <w:shd w:val="clear" w:color="auto" w:fill="F3EEFF"/>
          </w:tcPr>
          <w:p>
            <w:r>
              <w:rPr>
                <w:sz w:val="18"/>
              </w:rPr>
              <w:t>Every .tech-chip</w:t>
            </w:r>
          </w:p>
        </w:tc>
        <w:tc>
          <w:tcPr>
            <w:tcW w:type="dxa" w:w="3456"/>
            <w:shd w:val="clear" w:color="auto" w:fill="F3EEFF"/>
          </w:tcPr>
          <w:p>
            <w:r>
              <w:rPr>
                <w:sz w:val="18"/>
              </w:rPr>
              <w:t>48ms cascade delay per chip in each row</w:t>
            </w:r>
          </w:p>
        </w:tc>
      </w:tr>
      <w:tr>
        <w:tc>
          <w:tcPr>
            <w:tcW w:type="dxa" w:w="1800"/>
          </w:tcPr>
          <w:p>
            <w:r>
              <w:rPr>
                <w:sz w:val="18"/>
              </w:rPr>
              <w:t>Stat counter</w:t>
            </w:r>
          </w:p>
        </w:tc>
        <w:tc>
          <w:tcPr>
            <w:tcW w:type="dxa" w:w="1728"/>
          </w:tcPr>
          <w:p>
            <w:r>
              <w:rPr>
                <w:sz w:val="18"/>
              </w:rPr>
              <w:t>JS only</w:t>
            </w:r>
          </w:p>
        </w:tc>
        <w:tc>
          <w:tcPr>
            <w:tcW w:type="dxa" w:w="2088"/>
          </w:tcPr>
          <w:p>
            <w:r>
              <w:rPr>
                <w:sz w:val="18"/>
              </w:rPr>
              <w:t>.stat-num elements</w:t>
            </w:r>
          </w:p>
        </w:tc>
        <w:tc>
          <w:tcPr>
            <w:tcW w:type="dxa" w:w="3456"/>
          </w:tcPr>
          <w:p>
            <w:r>
              <w:rPr>
                <w:sz w:val="18"/>
              </w:rPr>
              <w:t>Counts up from 0 to final value over ~1s</w:t>
            </w:r>
          </w:p>
        </w:tc>
      </w:tr>
      <w:tr>
        <w:tc>
          <w:tcPr>
            <w:tcW w:type="dxa" w:w="1800"/>
            <w:shd w:val="clear" w:color="auto" w:fill="F3EEFF"/>
          </w:tcPr>
          <w:p>
            <w:r>
              <w:rPr>
                <w:sz w:val="18"/>
              </w:rPr>
              <w:t>Hero parallax</w:t>
            </w:r>
          </w:p>
        </w:tc>
        <w:tc>
          <w:tcPr>
            <w:tcW w:type="dxa" w:w="1728"/>
            <w:shd w:val="clear" w:color="auto" w:fill="F3EEFF"/>
          </w:tcPr>
          <w:p>
            <w:r>
              <w:rPr>
                <w:sz w:val="18"/>
              </w:rPr>
              <w:t>JS only</w:t>
            </w:r>
          </w:p>
        </w:tc>
        <w:tc>
          <w:tcPr>
            <w:tcW w:type="dxa" w:w="2088"/>
            <w:shd w:val="clear" w:color="auto" w:fill="F3EEFF"/>
          </w:tcPr>
          <w:p>
            <w:r>
              <w:rPr>
                <w:sz w:val="18"/>
              </w:rPr>
              <w:t>.hero-content</w:t>
            </w:r>
          </w:p>
        </w:tc>
        <w:tc>
          <w:tcPr>
            <w:tcW w:type="dxa" w:w="3456"/>
            <w:shd w:val="clear" w:color="auto" w:fill="F3EEFF"/>
          </w:tcPr>
          <w:p>
            <w:r>
              <w:rPr>
                <w:sz w:val="18"/>
              </w:rPr>
              <w:t>Drifts upward at 18% of scroll offset</w:t>
            </w:r>
          </w:p>
        </w:tc>
      </w:tr>
      <w:tr>
        <w:tc>
          <w:tcPr>
            <w:tcW w:type="dxa" w:w="1800"/>
          </w:tcPr>
          <w:p>
            <w:r>
              <w:rPr>
                <w:sz w:val="18"/>
              </w:rPr>
              <w:t>Progress bar</w:t>
            </w:r>
          </w:p>
        </w:tc>
        <w:tc>
          <w:tcPr>
            <w:tcW w:type="dxa" w:w="1728"/>
          </w:tcPr>
          <w:p>
            <w:r>
              <w:rPr>
                <w:sz w:val="18"/>
              </w:rPr>
              <w:t>#scroll-progress</w:t>
            </w:r>
          </w:p>
        </w:tc>
        <w:tc>
          <w:tcPr>
            <w:tcW w:type="dxa" w:w="2088"/>
          </w:tcPr>
          <w:p>
            <w:r>
              <w:rPr>
                <w:sz w:val="18"/>
              </w:rPr>
              <w:t>Top of page</w:t>
            </w:r>
          </w:p>
        </w:tc>
        <w:tc>
          <w:tcPr>
            <w:tcW w:type="dxa" w:w="3456"/>
          </w:tcPr>
          <w:p>
            <w:r>
              <w:rPr>
                <w:sz w:val="18"/>
              </w:rPr>
              <w:t>Gradient bar grows as page is scrolled</w:t>
            </w:r>
          </w:p>
        </w:tc>
      </w:tr>
      <w:tr>
        <w:tc>
          <w:tcPr>
            <w:tcW w:type="dxa" w:w="1800"/>
            <w:shd w:val="clear" w:color="auto" w:fill="F3EEFF"/>
          </w:tcPr>
          <w:p>
            <w:r>
              <w:rPr>
                <w:sz w:val="18"/>
              </w:rPr>
              <w:t>Nav solidifies</w:t>
            </w:r>
          </w:p>
        </w:tc>
        <w:tc>
          <w:tcPr>
            <w:tcW w:type="dxa" w:w="1728"/>
            <w:shd w:val="clear" w:color="auto" w:fill="F3EEFF"/>
          </w:tcPr>
          <w:p>
            <w:r>
              <w:rPr>
                <w:sz w:val="18"/>
              </w:rPr>
              <w:t>nav.scrolled</w:t>
            </w:r>
          </w:p>
        </w:tc>
        <w:tc>
          <w:tcPr>
            <w:tcW w:type="dxa" w:w="2088"/>
            <w:shd w:val="clear" w:color="auto" w:fill="F3EEFF"/>
          </w:tcPr>
          <w:p>
            <w:r>
              <w:rPr>
                <w:sz w:val="18"/>
              </w:rPr>
              <w:t>&lt;nav&gt;</w:t>
            </w:r>
          </w:p>
        </w:tc>
        <w:tc>
          <w:tcPr>
            <w:tcW w:type="dxa" w:w="3456"/>
            <w:shd w:val="clear" w:color="auto" w:fill="F3EEFF"/>
          </w:tcPr>
          <w:p>
            <w:r>
              <w:rPr>
                <w:sz w:val="18"/>
              </w:rPr>
              <w:t>Background goes opaque after 60px scroll</w:t>
            </w:r>
          </w:p>
        </w:tc>
      </w:tr>
    </w:tbl>
    <w:p>
      <w:pPr>
        <w:pStyle w:val="Heading1"/>
        <w:spacing w:before="200" w:after="80"/>
      </w:pPr>
      <w:r>
        <w:rPr>
          <w:color w:val="6B3FA0"/>
        </w:rPr>
        <w:t>6. JavaScript Modules</w:t>
      </w:r>
    </w:p>
    <w:p>
      <w:pPr>
        <w:spacing w:before="0" w:after="200"/>
      </w:pPr>
      <w:r>
        <w:rPr>
          <w:sz w:val="20"/>
        </w:rPr>
        <w:t>All JavaScript is at the bottom of the file in &lt;script&gt; tags. Each feature is wrapped in an IIFE (Immediately Invoked Function Expression) to keep variables scoped and avoid global conflicts.</w:t>
      </w:r>
    </w:p>
    <w:tbl>
      <w:tblPr>
        <w:tblStyle w:val="TableGrid"/>
        <w:tblW w:type="auto" w:w="0"/>
        <w:tblLook w:firstColumn="1" w:firstRow="1" w:lastColumn="0" w:lastRow="0" w:noHBand="0" w:noVBand="1" w:val="04A0"/>
      </w:tblPr>
      <w:tblGrid>
        <w:gridCol w:w="3135"/>
        <w:gridCol w:w="3135"/>
        <w:gridCol w:w="3135"/>
      </w:tblGrid>
      <w:tr>
        <w:tc>
          <w:tcPr>
            <w:tcW w:type="dxa" w:w="2304"/>
            <w:shd w:val="clear" w:color="auto" w:fill="6B3FA0"/>
          </w:tcPr>
          <w:p>
            <w:r>
              <w:rPr>
                <w:b/>
                <w:color w:val="FFFFFF"/>
                <w:sz w:val="18"/>
              </w:rPr>
              <w:t>Module</w:t>
            </w:r>
          </w:p>
        </w:tc>
        <w:tc>
          <w:tcPr>
            <w:tcW w:type="dxa" w:w="2736"/>
            <w:shd w:val="clear" w:color="auto" w:fill="6B3FA0"/>
          </w:tcPr>
          <w:p>
            <w:r>
              <w:rPr>
                <w:b/>
                <w:color w:val="FFFFFF"/>
                <w:sz w:val="18"/>
              </w:rPr>
              <w:t>Pattern</w:t>
            </w:r>
          </w:p>
        </w:tc>
        <w:tc>
          <w:tcPr>
            <w:tcW w:type="dxa" w:w="4032"/>
            <w:shd w:val="clear" w:color="auto" w:fill="6B3FA0"/>
          </w:tcPr>
          <w:p>
            <w:r>
              <w:rPr>
                <w:b/>
                <w:color w:val="FFFFFF"/>
                <w:sz w:val="18"/>
              </w:rPr>
              <w:t>What It Does</w:t>
            </w:r>
          </w:p>
        </w:tc>
      </w:tr>
      <w:tr>
        <w:tc>
          <w:tcPr>
            <w:tcW w:type="dxa" w:w="2304"/>
            <w:shd w:val="clear" w:color="auto" w:fill="F3EEFF"/>
          </w:tcPr>
          <w:p>
            <w:r>
              <w:rPr>
                <w:sz w:val="18"/>
              </w:rPr>
              <w:t>Canvas animation</w:t>
            </w:r>
          </w:p>
        </w:tc>
        <w:tc>
          <w:tcPr>
            <w:tcW w:type="dxa" w:w="2736"/>
            <w:shd w:val="clear" w:color="auto" w:fill="F3EEFF"/>
          </w:tcPr>
          <w:p>
            <w:r>
              <w:rPr>
                <w:sz w:val="18"/>
              </w:rPr>
              <w:t>IIFE + requestAnimationFrame</w:t>
            </w:r>
          </w:p>
        </w:tc>
        <w:tc>
          <w:tcPr>
            <w:tcW w:type="dxa" w:w="4032"/>
            <w:shd w:val="clear" w:color="auto" w:fill="F3EEFF"/>
          </w:tcPr>
          <w:p>
            <w:r>
              <w:rPr>
                <w:sz w:val="18"/>
              </w:rPr>
              <w:t>Draws stars, shooting stars, and falling tech icons on the canvas each frame</w:t>
            </w:r>
          </w:p>
        </w:tc>
      </w:tr>
      <w:tr>
        <w:tc>
          <w:tcPr>
            <w:tcW w:type="dxa" w:w="2304"/>
          </w:tcPr>
          <w:p>
            <w:r>
              <w:rPr>
                <w:sz w:val="18"/>
              </w:rPr>
              <w:t>Floating hero icons</w:t>
            </w:r>
          </w:p>
        </w:tc>
        <w:tc>
          <w:tcPr>
            <w:tcW w:type="dxa" w:w="2736"/>
          </w:tcPr>
          <w:p>
            <w:r>
              <w:rPr>
                <w:sz w:val="18"/>
              </w:rPr>
              <w:t>IIFE</w:t>
            </w:r>
          </w:p>
        </w:tc>
        <w:tc>
          <w:tcPr>
            <w:tcW w:type="dxa" w:w="4032"/>
          </w:tcPr>
          <w:p>
            <w:r>
              <w:rPr>
                <w:sz w:val="18"/>
              </w:rPr>
              <w:t>Creates &lt;img&gt; elements inside the hero and animates them rising with CSS</w:t>
            </w:r>
          </w:p>
        </w:tc>
      </w:tr>
      <w:tr>
        <w:tc>
          <w:tcPr>
            <w:tcW w:type="dxa" w:w="2304"/>
            <w:shd w:val="clear" w:color="auto" w:fill="F3EEFF"/>
          </w:tcPr>
          <w:p>
            <w:r>
              <w:rPr>
                <w:sz w:val="18"/>
              </w:rPr>
              <w:t>Scroll reveal</w:t>
            </w:r>
          </w:p>
        </w:tc>
        <w:tc>
          <w:tcPr>
            <w:tcW w:type="dxa" w:w="2736"/>
            <w:shd w:val="clear" w:color="auto" w:fill="F3EEFF"/>
          </w:tcPr>
          <w:p>
            <w:r>
              <w:rPr>
                <w:sz w:val="18"/>
              </w:rPr>
              <w:t>IntersectionObserver</w:t>
            </w:r>
          </w:p>
        </w:tc>
        <w:tc>
          <w:tcPr>
            <w:tcW w:type="dxa" w:w="4032"/>
            <w:shd w:val="clear" w:color="auto" w:fill="F3EEFF"/>
          </w:tcPr>
          <w:p>
            <w:r>
              <w:rPr>
                <w:sz w:val="18"/>
              </w:rPr>
              <w:t>Watches .reveal* elements; adds .visible class when 7% of the element is in view</w:t>
            </w:r>
          </w:p>
        </w:tc>
      </w:tr>
      <w:tr>
        <w:tc>
          <w:tcPr>
            <w:tcW w:type="dxa" w:w="2304"/>
          </w:tcPr>
          <w:p>
            <w:r>
              <w:rPr>
                <w:sz w:val="18"/>
              </w:rPr>
              <w:t>Contact form</w:t>
            </w:r>
          </w:p>
        </w:tc>
        <w:tc>
          <w:tcPr>
            <w:tcW w:type="dxa" w:w="2736"/>
          </w:tcPr>
          <w:p>
            <w:r>
              <w:rPr>
                <w:sz w:val="18"/>
              </w:rPr>
              <w:t>IIFE + Fetch API</w:t>
            </w:r>
          </w:p>
        </w:tc>
        <w:tc>
          <w:tcPr>
            <w:tcW w:type="dxa" w:w="4032"/>
          </w:tcPr>
          <w:p>
            <w:r>
              <w:rPr>
                <w:sz w:val="18"/>
              </w:rPr>
              <w:t>Intercepts form submit, sends POST to formsubmit.co, handles success/failure state</w:t>
            </w:r>
          </w:p>
        </w:tc>
      </w:tr>
      <w:tr>
        <w:tc>
          <w:tcPr>
            <w:tcW w:type="dxa" w:w="2304"/>
            <w:shd w:val="clear" w:color="auto" w:fill="F3EEFF"/>
          </w:tcPr>
          <w:p>
            <w:r>
              <w:rPr>
                <w:sz w:val="18"/>
              </w:rPr>
              <w:t>Active nav</w:t>
            </w:r>
          </w:p>
        </w:tc>
        <w:tc>
          <w:tcPr>
            <w:tcW w:type="dxa" w:w="2736"/>
            <w:shd w:val="clear" w:color="auto" w:fill="F3EEFF"/>
          </w:tcPr>
          <w:p>
            <w:r>
              <w:rPr>
                <w:sz w:val="18"/>
              </w:rPr>
              <w:t>scroll event listener</w:t>
            </w:r>
          </w:p>
        </w:tc>
        <w:tc>
          <w:tcPr>
            <w:tcW w:type="dxa" w:w="4032"/>
            <w:shd w:val="clear" w:color="auto" w:fill="F3EEFF"/>
          </w:tcPr>
          <w:p>
            <w:r>
              <w:rPr>
                <w:sz w:val="18"/>
              </w:rPr>
              <w:t>Finds the current section by offsetTop and toggles .active on matching nav link</w:t>
            </w:r>
          </w:p>
        </w:tc>
      </w:tr>
      <w:tr>
        <w:tc>
          <w:tcPr>
            <w:tcW w:type="dxa" w:w="2304"/>
          </w:tcPr>
          <w:p>
            <w:r>
              <w:rPr>
                <w:sz w:val="18"/>
              </w:rPr>
              <w:t>Scroll progress</w:t>
            </w:r>
          </w:p>
        </w:tc>
        <w:tc>
          <w:tcPr>
            <w:tcW w:type="dxa" w:w="2736"/>
          </w:tcPr>
          <w:p>
            <w:r>
              <w:rPr>
                <w:sz w:val="18"/>
              </w:rPr>
              <w:t>IIFE + scroll listener</w:t>
            </w:r>
          </w:p>
        </w:tc>
        <w:tc>
          <w:tcPr>
            <w:tcW w:type="dxa" w:w="4032"/>
          </w:tcPr>
          <w:p>
            <w:r>
              <w:rPr>
                <w:sz w:val="18"/>
              </w:rPr>
              <w:t>Updates the progress bar width and toggles nav.scrolled class</w:t>
            </w:r>
          </w:p>
        </w:tc>
      </w:tr>
      <w:tr>
        <w:tc>
          <w:tcPr>
            <w:tcW w:type="dxa" w:w="2304"/>
            <w:shd w:val="clear" w:color="auto" w:fill="F3EEFF"/>
          </w:tcPr>
          <w:p>
            <w:r>
              <w:rPr>
                <w:sz w:val="18"/>
              </w:rPr>
              <w:t>Hero parallax</w:t>
            </w:r>
          </w:p>
        </w:tc>
        <w:tc>
          <w:tcPr>
            <w:tcW w:type="dxa" w:w="2736"/>
            <w:shd w:val="clear" w:color="auto" w:fill="F3EEFF"/>
          </w:tcPr>
          <w:p>
            <w:r>
              <w:rPr>
                <w:sz w:val="18"/>
              </w:rPr>
              <w:t>IIFE + scroll listener</w:t>
            </w:r>
          </w:p>
        </w:tc>
        <w:tc>
          <w:tcPr>
            <w:tcW w:type="dxa" w:w="4032"/>
            <w:shd w:val="clear" w:color="auto" w:fill="F3EEFF"/>
          </w:tcPr>
          <w:p>
            <w:r>
              <w:rPr>
                <w:sz w:val="18"/>
              </w:rPr>
              <w:t>Translates .hero-content by scrollY × 0.18 while inside the hero viewport</w:t>
            </w:r>
          </w:p>
        </w:tc>
      </w:tr>
      <w:tr>
        <w:tc>
          <w:tcPr>
            <w:tcW w:type="dxa" w:w="2304"/>
          </w:tcPr>
          <w:p>
            <w:r>
              <w:rPr>
                <w:sz w:val="18"/>
              </w:rPr>
              <w:t>Stat counter</w:t>
            </w:r>
          </w:p>
        </w:tc>
        <w:tc>
          <w:tcPr>
            <w:tcW w:type="dxa" w:w="2736"/>
          </w:tcPr>
          <w:p>
            <w:r>
              <w:rPr>
                <w:sz w:val="18"/>
              </w:rPr>
              <w:t>IIFE + IntersectionObserver</w:t>
            </w:r>
          </w:p>
        </w:tc>
        <w:tc>
          <w:tcPr>
            <w:tcW w:type="dxa" w:w="4032"/>
          </w:tcPr>
          <w:p>
            <w:r>
              <w:rPr>
                <w:sz w:val="18"/>
              </w:rPr>
              <w:t>Parses the number from .stat-num text and increments it to the final value over ~30 frames</w:t>
            </w:r>
          </w:p>
        </w:tc>
      </w:tr>
      <w:tr>
        <w:tc>
          <w:tcPr>
            <w:tcW w:type="dxa" w:w="2304"/>
            <w:shd w:val="clear" w:color="auto" w:fill="F3EEFF"/>
          </w:tcPr>
          <w:p>
            <w:r>
              <w:rPr>
                <w:sz w:val="18"/>
              </w:rPr>
              <w:t>Chip stagger</w:t>
            </w:r>
          </w:p>
        </w:tc>
        <w:tc>
          <w:tcPr>
            <w:tcW w:type="dxa" w:w="2736"/>
            <w:shd w:val="clear" w:color="auto" w:fill="F3EEFF"/>
          </w:tcPr>
          <w:p>
            <w:r>
              <w:rPr>
                <w:sz w:val="18"/>
              </w:rPr>
              <w:t>IIFE + IntersectionObserver</w:t>
            </w:r>
          </w:p>
        </w:tc>
        <w:tc>
          <w:tcPr>
            <w:tcW w:type="dxa" w:w="4032"/>
            <w:shd w:val="clear" w:color="auto" w:fill="F3EEFF"/>
          </w:tcPr>
          <w:p>
            <w:r>
              <w:rPr>
                <w:sz w:val="18"/>
              </w:rPr>
              <w:t>Sets increasing transition-delay on each chip; removes opacity:0 when row enters view</w:t>
            </w:r>
          </w:p>
        </w:tc>
      </w:tr>
    </w:tbl>
    <w:p>
      <w:pPr>
        <w:pStyle w:val="Heading1"/>
        <w:spacing w:before="200" w:after="80"/>
      </w:pPr>
      <w:r>
        <w:rPr>
          <w:color w:val="6B3FA0"/>
        </w:rPr>
        <w:t>7. Contact Form</w:t>
      </w:r>
    </w:p>
    <w:p>
      <w:pPr>
        <w:spacing w:before="0" w:after="200"/>
      </w:pPr>
      <w:r>
        <w:rPr>
          <w:sz w:val="20"/>
        </w:rPr>
        <w:t>The contact form uses formsubmit.co as a free form-to-email service — no server-side code is needed. The form action points to the endpoint for the portfolio email address. Three hidden inputs control the behaviour:</w:t>
      </w:r>
    </w:p>
    <w:tbl>
      <w:tblPr>
        <w:tblStyle w:val="TableGrid"/>
        <w:tblW w:type="auto" w:w="0"/>
        <w:tblLook w:firstColumn="1" w:firstRow="1" w:lastColumn="0" w:lastRow="0" w:noHBand="0" w:noVBand="1" w:val="04A0"/>
      </w:tblPr>
      <w:tblGrid>
        <w:gridCol w:w="3135"/>
        <w:gridCol w:w="3135"/>
        <w:gridCol w:w="3135"/>
      </w:tblGrid>
      <w:tr>
        <w:tc>
          <w:tcPr>
            <w:tcW w:type="dxa" w:w="1872"/>
            <w:shd w:val="clear" w:color="auto" w:fill="6B3FA0"/>
          </w:tcPr>
          <w:p>
            <w:r>
              <w:rPr>
                <w:b/>
                <w:color w:val="FFFFFF"/>
                <w:sz w:val="18"/>
              </w:rPr>
              <w:t>Hidden Input</w:t>
            </w:r>
          </w:p>
        </w:tc>
        <w:tc>
          <w:tcPr>
            <w:tcW w:type="dxa" w:w="3168"/>
            <w:shd w:val="clear" w:color="auto" w:fill="6B3FA0"/>
          </w:tcPr>
          <w:p>
            <w:r>
              <w:rPr>
                <w:b/>
                <w:color w:val="FFFFFF"/>
                <w:sz w:val="18"/>
              </w:rPr>
              <w:t>Value</w:t>
            </w:r>
          </w:p>
        </w:tc>
        <w:tc>
          <w:tcPr>
            <w:tcW w:type="dxa" w:w="4032"/>
            <w:shd w:val="clear" w:color="auto" w:fill="6B3FA0"/>
          </w:tcPr>
          <w:p>
            <w:r>
              <w:rPr>
                <w:b/>
                <w:color w:val="FFFFFF"/>
                <w:sz w:val="18"/>
              </w:rPr>
              <w:t>Purpose</w:t>
            </w:r>
          </w:p>
        </w:tc>
      </w:tr>
      <w:tr>
        <w:tc>
          <w:tcPr>
            <w:tcW w:type="dxa" w:w="1872"/>
            <w:shd w:val="clear" w:color="auto" w:fill="F3EEFF"/>
          </w:tcPr>
          <w:p>
            <w:r>
              <w:rPr>
                <w:sz w:val="18"/>
              </w:rPr>
              <w:t>_captcha</w:t>
            </w:r>
          </w:p>
        </w:tc>
        <w:tc>
          <w:tcPr>
            <w:tcW w:type="dxa" w:w="3168"/>
            <w:shd w:val="clear" w:color="auto" w:fill="F3EEFF"/>
          </w:tcPr>
          <w:p>
            <w:r>
              <w:rPr>
                <w:sz w:val="18"/>
              </w:rPr>
              <w:t>false</w:t>
            </w:r>
          </w:p>
        </w:tc>
        <w:tc>
          <w:tcPr>
            <w:tcW w:type="dxa" w:w="4032"/>
            <w:shd w:val="clear" w:color="auto" w:fill="F3EEFF"/>
          </w:tcPr>
          <w:p>
            <w:r>
              <w:rPr>
                <w:sz w:val="18"/>
              </w:rPr>
              <w:t>Disables the default CAPTCHA challenge</w:t>
            </w:r>
          </w:p>
        </w:tc>
      </w:tr>
      <w:tr>
        <w:tc>
          <w:tcPr>
            <w:tcW w:type="dxa" w:w="1872"/>
          </w:tcPr>
          <w:p>
            <w:r>
              <w:rPr>
                <w:sz w:val="18"/>
              </w:rPr>
              <w:t>_subject</w:t>
            </w:r>
          </w:p>
        </w:tc>
        <w:tc>
          <w:tcPr>
            <w:tcW w:type="dxa" w:w="3168"/>
          </w:tcPr>
          <w:p>
            <w:r>
              <w:rPr>
                <w:sz w:val="18"/>
              </w:rPr>
              <w:t>Portfolio Inquiry from Contact Form</w:t>
            </w:r>
          </w:p>
        </w:tc>
        <w:tc>
          <w:tcPr>
            <w:tcW w:type="dxa" w:w="4032"/>
          </w:tcPr>
          <w:p>
            <w:r>
              <w:rPr>
                <w:sz w:val="18"/>
              </w:rPr>
              <w:t>Sets the email subject line</w:t>
            </w:r>
          </w:p>
        </w:tc>
      </w:tr>
      <w:tr>
        <w:tc>
          <w:tcPr>
            <w:tcW w:type="dxa" w:w="1872"/>
            <w:shd w:val="clear" w:color="auto" w:fill="F3EEFF"/>
          </w:tcPr>
          <w:p>
            <w:r>
              <w:rPr>
                <w:sz w:val="18"/>
              </w:rPr>
              <w:t>_template</w:t>
            </w:r>
          </w:p>
        </w:tc>
        <w:tc>
          <w:tcPr>
            <w:tcW w:type="dxa" w:w="3168"/>
            <w:shd w:val="clear" w:color="auto" w:fill="F3EEFF"/>
          </w:tcPr>
          <w:p>
            <w:r>
              <w:rPr>
                <w:sz w:val="18"/>
              </w:rPr>
              <w:t>table</w:t>
            </w:r>
          </w:p>
        </w:tc>
        <w:tc>
          <w:tcPr>
            <w:tcW w:type="dxa" w:w="4032"/>
            <w:shd w:val="clear" w:color="auto" w:fill="F3EEFF"/>
          </w:tcPr>
          <w:p>
            <w:r>
              <w:rPr>
                <w:sz w:val="18"/>
              </w:rPr>
              <w:t>Formats the email body as an HTML table</w:t>
            </w:r>
          </w:p>
        </w:tc>
      </w:tr>
    </w:tbl>
    <w:p>
      <w:pPr>
        <w:pStyle w:val="Heading1"/>
        <w:spacing w:before="0" w:after="200"/>
      </w:pPr>
      <w:r>
        <w:rPr>
          <w:color w:val="6B3FA0"/>
        </w:rPr>
        <w:t>8. How to Customise</w:t>
      </w:r>
    </w:p>
    <w:tbl>
      <w:tblPr>
        <w:tblStyle w:val="TableGrid"/>
        <w:tblW w:type="auto" w:w="0"/>
        <w:tblLook w:firstColumn="1" w:firstRow="1" w:lastColumn="0" w:lastRow="0" w:noHBand="0" w:noVBand="1" w:val="04A0"/>
      </w:tblPr>
      <w:tblGrid>
        <w:gridCol w:w="4703"/>
        <w:gridCol w:w="4703"/>
      </w:tblGrid>
      <w:tr>
        <w:tc>
          <w:tcPr>
            <w:tcW w:type="dxa" w:w="2880"/>
            <w:shd w:val="clear" w:color="auto" w:fill="6B3FA0"/>
          </w:tcPr>
          <w:p>
            <w:r>
              <w:rPr>
                <w:b/>
                <w:color w:val="FFFFFF"/>
                <w:sz w:val="18"/>
              </w:rPr>
              <w:t>What to Change</w:t>
            </w:r>
          </w:p>
        </w:tc>
        <w:tc>
          <w:tcPr>
            <w:tcW w:type="dxa" w:w="6048"/>
            <w:shd w:val="clear" w:color="auto" w:fill="6B3FA0"/>
          </w:tcPr>
          <w:p>
            <w:r>
              <w:rPr>
                <w:b/>
                <w:color w:val="FFFFFF"/>
                <w:sz w:val="18"/>
              </w:rPr>
              <w:t>Where to Find It</w:t>
            </w:r>
          </w:p>
        </w:tc>
      </w:tr>
      <w:tr>
        <w:tc>
          <w:tcPr>
            <w:tcW w:type="dxa" w:w="2880"/>
            <w:shd w:val="clear" w:color="auto" w:fill="F3EEFF"/>
          </w:tcPr>
          <w:p>
            <w:r>
              <w:rPr>
                <w:sz w:val="18"/>
              </w:rPr>
              <w:t>Name / page title</w:t>
            </w:r>
          </w:p>
        </w:tc>
        <w:tc>
          <w:tcPr>
            <w:tcW w:type="dxa" w:w="6048"/>
            <w:shd w:val="clear" w:color="auto" w:fill="F3EEFF"/>
          </w:tcPr>
          <w:p>
            <w:r>
              <w:rPr>
                <w:sz w:val="18"/>
              </w:rPr>
              <w:t>&lt;title&gt;, .nav-logo text, .hero-name, and &lt;footer&gt;</w:t>
            </w:r>
          </w:p>
        </w:tc>
      </w:tr>
      <w:tr>
        <w:tc>
          <w:tcPr>
            <w:tcW w:type="dxa" w:w="2880"/>
          </w:tcPr>
          <w:p>
            <w:r>
              <w:rPr>
                <w:sz w:val="18"/>
              </w:rPr>
              <w:t>Contact details</w:t>
            </w:r>
          </w:p>
        </w:tc>
        <w:tc>
          <w:tcPr>
            <w:tcW w:type="dxa" w:w="6048"/>
          </w:tcPr>
          <w:p>
            <w:r>
              <w:rPr>
                <w:sz w:val="18"/>
              </w:rPr>
              <w:t>href="tel:..." and href="mailto:..." on contact cards; form action="..."</w:t>
            </w:r>
          </w:p>
        </w:tc>
      </w:tr>
      <w:tr>
        <w:tc>
          <w:tcPr>
            <w:tcW w:type="dxa" w:w="2880"/>
            <w:shd w:val="clear" w:color="auto" w:fill="F3EEFF"/>
          </w:tcPr>
          <w:p>
            <w:r>
              <w:rPr>
                <w:sz w:val="18"/>
              </w:rPr>
              <w:t>Job entries</w:t>
            </w:r>
          </w:p>
        </w:tc>
        <w:tc>
          <w:tcPr>
            <w:tcW w:type="dxa" w:w="6048"/>
            <w:shd w:val="clear" w:color="auto" w:fill="F3EEFF"/>
          </w:tcPr>
          <w:p>
            <w:r>
              <w:rPr>
                <w:sz w:val="18"/>
              </w:rPr>
              <w:t>.exp-item blocks inside #experience section</w:t>
            </w:r>
          </w:p>
        </w:tc>
      </w:tr>
      <w:tr>
        <w:tc>
          <w:tcPr>
            <w:tcW w:type="dxa" w:w="2880"/>
          </w:tcPr>
          <w:p>
            <w:r>
              <w:rPr>
                <w:sz w:val="18"/>
              </w:rPr>
              <w:t>Tech chips</w:t>
            </w:r>
          </w:p>
        </w:tc>
        <w:tc>
          <w:tcPr>
            <w:tcW w:type="dxa" w:w="6048"/>
          </w:tcPr>
          <w:p>
            <w:r>
              <w:rPr>
                <w:sz w:val="18"/>
              </w:rPr>
              <w:t>.tech-pill-row in hero; .tech-chips rows in #skills section</w:t>
            </w:r>
          </w:p>
        </w:tc>
      </w:tr>
      <w:tr>
        <w:tc>
          <w:tcPr>
            <w:tcW w:type="dxa" w:w="2880"/>
            <w:shd w:val="clear" w:color="auto" w:fill="F3EEFF"/>
          </w:tcPr>
          <w:p>
            <w:r>
              <w:rPr>
                <w:sz w:val="18"/>
              </w:rPr>
              <w:t>Stat numbers</w:t>
            </w:r>
          </w:p>
        </w:tc>
        <w:tc>
          <w:tcPr>
            <w:tcW w:type="dxa" w:w="6048"/>
            <w:shd w:val="clear" w:color="auto" w:fill="F3EEFF"/>
          </w:tcPr>
          <w:p>
            <w:r>
              <w:rPr>
                <w:sz w:val="18"/>
              </w:rPr>
              <w:t>.stat-card items inside #hero (change both the number and label)</w:t>
            </w:r>
          </w:p>
        </w:tc>
      </w:tr>
      <w:tr>
        <w:tc>
          <w:tcPr>
            <w:tcW w:type="dxa" w:w="2880"/>
          </w:tcPr>
          <w:p>
            <w:r>
              <w:rPr>
                <w:sz w:val="18"/>
              </w:rPr>
              <w:t>About bio text</w:t>
            </w:r>
          </w:p>
        </w:tc>
        <w:tc>
          <w:tcPr>
            <w:tcW w:type="dxa" w:w="6048"/>
          </w:tcPr>
          <w:p>
            <w:r>
              <w:rPr>
                <w:sz w:val="18"/>
              </w:rPr>
              <w:t>The &lt;p&gt; tags and .expertise-item blocks inside #about .about-text</w:t>
            </w:r>
          </w:p>
        </w:tc>
      </w:tr>
      <w:tr>
        <w:tc>
          <w:tcPr>
            <w:tcW w:type="dxa" w:w="2880"/>
            <w:shd w:val="clear" w:color="auto" w:fill="F3EEFF"/>
          </w:tcPr>
          <w:p>
            <w:r>
              <w:rPr>
                <w:sz w:val="18"/>
              </w:rPr>
              <w:t>Certifications</w:t>
            </w:r>
          </w:p>
        </w:tc>
        <w:tc>
          <w:tcPr>
            <w:tcW w:type="dxa" w:w="6048"/>
            <w:shd w:val="clear" w:color="auto" w:fill="F3EEFF"/>
          </w:tcPr>
          <w:p>
            <w:r>
              <w:rPr>
                <w:sz w:val="18"/>
              </w:rPr>
              <w:t>.cert-item blocks inside .cert-panel</w:t>
            </w:r>
          </w:p>
        </w:tc>
      </w:tr>
      <w:tr>
        <w:tc>
          <w:tcPr>
            <w:tcW w:type="dxa" w:w="2880"/>
          </w:tcPr>
          <w:p>
            <w:r>
              <w:rPr>
                <w:sz w:val="18"/>
              </w:rPr>
              <w:t>Education cards</w:t>
            </w:r>
          </w:p>
        </w:tc>
        <w:tc>
          <w:tcPr>
            <w:tcW w:type="dxa" w:w="6048"/>
          </w:tcPr>
          <w:p>
            <w:r>
              <w:rPr>
                <w:sz w:val="18"/>
              </w:rPr>
              <w:t>.edu-card blocks inside #education .edu-grid</w:t>
            </w:r>
          </w:p>
        </w:tc>
      </w:tr>
      <w:tr>
        <w:tc>
          <w:tcPr>
            <w:tcW w:type="dxa" w:w="2880"/>
            <w:shd w:val="clear" w:color="auto" w:fill="F3EEFF"/>
          </w:tcPr>
          <w:p>
            <w:r>
              <w:rPr>
                <w:sz w:val="18"/>
              </w:rPr>
              <w:t>Colour theme</w:t>
            </w:r>
          </w:p>
        </w:tc>
        <w:tc>
          <w:tcPr>
            <w:tcW w:type="dxa" w:w="6048"/>
            <w:shd w:val="clear" w:color="auto" w:fill="F3EEFF"/>
          </w:tcPr>
          <w:p>
            <w:r>
              <w:rPr>
                <w:sz w:val="18"/>
              </w:rPr>
              <w:t>:root CSS variables at the top of the &lt;style&gt; block</w:t>
            </w:r>
          </w:p>
        </w:tc>
      </w:tr>
      <w:tr>
        <w:tc>
          <w:tcPr>
            <w:tcW w:type="dxa" w:w="2880"/>
          </w:tcPr>
          <w:p>
            <w:r>
              <w:rPr>
                <w:sz w:val="18"/>
              </w:rPr>
              <w:t>Canvas icon set</w:t>
            </w:r>
          </w:p>
        </w:tc>
        <w:tc>
          <w:tcPr>
            <w:tcW w:type="dxa" w:w="6048"/>
          </w:tcPr>
          <w:p>
            <w:r>
              <w:rPr>
                <w:sz w:val="18"/>
              </w:rPr>
              <w:t>iconPaths array in the "anime canvas" JS IIFE (add/remove SVG filenames)</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