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The problem statement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/>
      </w:pPr>
      <w:bookmarkStart w:colFirst="0" w:colLast="0" w:name="_nkauhu7vnjj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Title:</w:t>
        <w:br w:type="textWrapping"/>
      </w:r>
      <w:r w:rsidDel="00000000" w:rsidR="00000000" w:rsidRPr="00000000">
        <w:rPr>
          <w:rtl w:val="0"/>
        </w:rPr>
        <w:t xml:space="preserve"> Automated Blood Cell Classification System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  <w:br w:type="textWrapping"/>
      </w:r>
      <w:r w:rsidDel="00000000" w:rsidR="00000000" w:rsidRPr="00000000">
        <w:rPr>
          <w:rtl w:val="0"/>
        </w:rPr>
        <w:t xml:space="preserve"> Traditional blood cell analysis relies heavily on manual microscopic examination, which is time-consuming and subjective.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Manual classification of blood cells is prone to human error, requires skilled professionals, and leads to delayed diagnosis. There is a need for an automated AI-based solution to accurately classify blood cells from microscopic images.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Stakeholders Affected: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Pathologists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Laboratories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diagnosis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workload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diagnostic accuracy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