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jaces7nph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Overview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The solution architecture follows a layered approach consisting of user interface, processing layer, deep learning model, and data storage components.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6aj16uibo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 Components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User Interface Layer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Allows users to upload blood smear images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Displays classification results and reports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Image Preprocessing Layer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Image resizing and normalization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Noise reduction and enhancement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Deep Learning Model Layer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Convolutional Neural Network (CNN)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Feature extraction and classification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Trained using labeled blood cell image datasets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Processing Layer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Handles communication between UI and model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Manages prediction requests and responses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Layer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Stores patient details and classification results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Maintains system logs and reports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suzxqc3df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 Flow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User uploads blood smear image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Image is preprocessed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CNN model analyzes the image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79eycimu531" w:id="1"/>
      <w:bookmarkEnd w:id="1"/>
      <w:r w:rsidDel="00000000" w:rsidR="00000000" w:rsidRPr="00000000">
        <w:rPr>
          <w:sz w:val="22"/>
          <w:szCs w:val="22"/>
          <w:rtl w:val="0"/>
        </w:rPr>
        <w:t xml:space="preserve">Classification results are generated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6p0lue4dyn13" w:id="4"/>
      <w:bookmarkEnd w:id="4"/>
      <w:r w:rsidDel="00000000" w:rsidR="00000000" w:rsidRPr="00000000">
        <w:rPr>
          <w:sz w:val="22"/>
          <w:szCs w:val="22"/>
          <w:rtl w:val="0"/>
        </w:rPr>
        <w:t xml:space="preserve">Results are displayed and stored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3ldorvllj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Overview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c79eycimu531" w:id="1"/>
      <w:bookmarkEnd w:id="1"/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