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 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Feb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LTVIP2026TMIDS86637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35475c"/>
                <w:sz w:val="21"/>
                <w:szCs w:val="21"/>
                <w:highlight w:val="white"/>
                <w:rtl w:val="0"/>
              </w:rPr>
              <w:t xml:space="preserve">hematovision: advanced blood cell classification using transfer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qxmo6mid3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Problem–Solution Fit Template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egkoyk41o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Problem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blood cell classification is time-consuming, error-prone, and depends heavily on skilled professionals, leading to delayed diagnosis and inconsistent results.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ocjdbtsg6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Solution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automated AI-based system that classifies blood cells from microscopic images using deep learning techniques.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qfy8ma4x5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Problem–Solution Mapping</w:t>
      </w:r>
    </w:p>
    <w:tbl>
      <w:tblPr>
        <w:tblStyle w:val="Table2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3890"/>
        <w:tblGridChange w:id="0">
          <w:tblGrid>
            <w:gridCol w:w="3110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Manual and slow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Automated image-based classification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Human error due to fatigue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AI-driven consistent predictions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Need for skilled professionals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Decision-support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Delayed diagnosis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Faster automated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High workload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Reduced manual effort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lre6q82is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of Fit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directly addresses the identified problems by automating the classification process, improving accuracy, and reducing diagnostic time, making it a strong problem–solution fit.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adi1ulad7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Conclusion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and architecture demonstrate a clear alignment with the identified problem. The system design ensures scalability, accuracy, and usability, providing a strong foundation for the development phase.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