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97B4" w14:textId="77777777" w:rsidR="00947EC2" w:rsidRPr="00947EC2" w:rsidRDefault="00947EC2" w:rsidP="00947EC2">
      <w:pPr>
        <w:spacing w:after="0" w:line="300" w:lineRule="atLeast"/>
        <w:ind w:left="720"/>
        <w:rPr>
          <w:rFonts w:ascii="Helvetica Neue" w:eastAsia="Times New Roman" w:hAnsi="Helvetica Neue" w:cs="Calibri"/>
          <w:color w:val="000000"/>
          <w:sz w:val="24"/>
          <w:szCs w:val="24"/>
          <w:lang w:eastAsia="en-IN"/>
        </w:rPr>
      </w:pPr>
      <w:proofErr w:type="spellStart"/>
      <w:r w:rsidRPr="00947EC2">
        <w:rPr>
          <w:rFonts w:ascii="Helvetica Neue" w:eastAsia="Times New Roman" w:hAnsi="Helvetica Neue" w:cs="Calibri"/>
          <w:color w:val="000000"/>
          <w:sz w:val="24"/>
          <w:szCs w:val="24"/>
          <w:shd w:val="clear" w:color="auto" w:fill="FFFFFF"/>
          <w:lang w:eastAsia="en-IN"/>
        </w:rPr>
        <w:t>Guideleines</w:t>
      </w:r>
      <w:proofErr w:type="spellEnd"/>
      <w:r w:rsidRPr="00947EC2">
        <w:rPr>
          <w:rFonts w:ascii="Helvetica Neue" w:eastAsia="Times New Roman" w:hAnsi="Helvetica Neue" w:cs="Calibri"/>
          <w:color w:val="000000"/>
          <w:sz w:val="24"/>
          <w:szCs w:val="24"/>
          <w:shd w:val="clear" w:color="auto" w:fill="FFFFFF"/>
          <w:lang w:eastAsia="en-IN"/>
        </w:rPr>
        <w:t>:</w:t>
      </w:r>
    </w:p>
    <w:p w14:paraId="6487CF7F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hyperlink r:id="rId5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http://build.fhir.org/ig/HL7/carin-bb/toc.html</w:t>
        </w:r>
      </w:hyperlink>
    </w:p>
    <w:p w14:paraId="493025C2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57256F86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proofErr w:type="gramStart"/>
      <w:r w:rsidRPr="00947EC2">
        <w:rPr>
          <w:rFonts w:ascii="Calibri" w:eastAsia="Times New Roman" w:hAnsi="Calibri" w:cs="Calibri"/>
          <w:b/>
          <w:bCs/>
          <w:highlight w:val="yellow"/>
          <w:lang w:eastAsia="en-IN"/>
        </w:rPr>
        <w:t>Important</w:t>
      </w:r>
      <w:r w:rsidRPr="00947EC2">
        <w:rPr>
          <w:rFonts w:ascii="Calibri" w:eastAsia="Times New Roman" w:hAnsi="Calibri" w:cs="Calibri"/>
          <w:highlight w:val="yellow"/>
          <w:lang w:eastAsia="en-IN"/>
        </w:rPr>
        <w:t xml:space="preserve"> :</w:t>
      </w:r>
      <w:proofErr w:type="gramEnd"/>
      <w:r w:rsidRPr="00947EC2">
        <w:rPr>
          <w:rFonts w:ascii="Calibri" w:eastAsia="Times New Roman" w:hAnsi="Calibri" w:cs="Calibri"/>
          <w:highlight w:val="yellow"/>
          <w:lang w:eastAsia="en-IN"/>
        </w:rPr>
        <w:t xml:space="preserve"> Guidance for patient access:</w:t>
      </w:r>
    </w:p>
    <w:p w14:paraId="52343EAC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395521E7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hyperlink r:id="rId6" w:history="1">
        <w:r w:rsidRPr="00947EC2">
          <w:rPr>
            <w:rFonts w:ascii="Calibri" w:eastAsia="Times New Roman" w:hAnsi="Calibri" w:cs="Calibri"/>
            <w:color w:val="0000FF"/>
            <w:highlight w:val="yellow"/>
            <w:u w:val="single"/>
            <w:lang w:eastAsia="en-IN"/>
          </w:rPr>
          <w:t>https://www.cms.gov/Regulations-and-Guidance/Guidance/Interoperability/index</w:t>
        </w:r>
      </w:hyperlink>
    </w:p>
    <w:p w14:paraId="12027775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03AD837F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IG/Profiles:</w:t>
      </w:r>
    </w:p>
    <w:p w14:paraId="329A5742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hyperlink r:id="rId7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http://hl7.org/fhir/us/carin-bb/</w:t>
        </w:r>
      </w:hyperlink>
    </w:p>
    <w:p w14:paraId="66125AB0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92DF85D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hyperlink r:id="rId8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http://hl7.org/fhir/us/davinci-pdex/STU1/</w:t>
        </w:r>
      </w:hyperlink>
    </w:p>
    <w:p w14:paraId="239DED3D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7CA314BF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 xml:space="preserve">Important: (used for data </w:t>
      </w:r>
      <w:proofErr w:type="gramStart"/>
      <w:r w:rsidRPr="00947EC2">
        <w:rPr>
          <w:rFonts w:ascii="Calibri" w:eastAsia="Times New Roman" w:hAnsi="Calibri" w:cs="Calibri"/>
          <w:lang w:eastAsia="en-IN"/>
        </w:rPr>
        <w:t>mapping )</w:t>
      </w:r>
      <w:proofErr w:type="gramEnd"/>
    </w:p>
    <w:p w14:paraId="175FF08E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hyperlink r:id="rId9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http://hl7.org/fhir/us/carin-bb/Common_Payer_Consumer_Data_Set.html</w:t>
        </w:r>
      </w:hyperlink>
    </w:p>
    <w:p w14:paraId="569C3327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41634884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Capability statement for Explanation of Benefits by CARIN:</w:t>
      </w:r>
    </w:p>
    <w:p w14:paraId="18E1D8A1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hyperlink r:id="rId10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http://build.fhir.org/ig/HL7/carin-bb/CapabilityStatement-c4bb.html</w:t>
        </w:r>
      </w:hyperlink>
    </w:p>
    <w:p w14:paraId="2B4068D0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101C29C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artifact</w:t>
      </w:r>
    </w:p>
    <w:p w14:paraId="1B93CCB7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hyperlink r:id="rId11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http://build.fhir.org/ig/HL7/carin-bb/artifacts.html</w:t>
        </w:r>
      </w:hyperlink>
    </w:p>
    <w:p w14:paraId="10214D7E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8A69969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5A584BA7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085B1ED6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2ABAB110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proofErr w:type="spellStart"/>
      <w:r w:rsidRPr="00947EC2">
        <w:rPr>
          <w:rFonts w:ascii="Calibri" w:eastAsia="Times New Roman" w:hAnsi="Calibri" w:cs="Calibri"/>
          <w:lang w:eastAsia="en-IN"/>
        </w:rPr>
        <w:t>Mulesoft</w:t>
      </w:r>
      <w:proofErr w:type="spellEnd"/>
      <w:r w:rsidRPr="00947EC2">
        <w:rPr>
          <w:rFonts w:ascii="Calibri" w:eastAsia="Times New Roman" w:hAnsi="Calibri" w:cs="Calibri"/>
          <w:lang w:eastAsia="en-IN"/>
        </w:rPr>
        <w:t xml:space="preserve"> Implementation:</w:t>
      </w:r>
    </w:p>
    <w:p w14:paraId="57278AED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hyperlink r:id="rId12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https://anypoint.mulesoft.com/exchange/org.mule.examples/hc-accelerator-sfdc-carin-explanationofbenefits-sys-api/minor/1.0/pages/Use%20case/</w:t>
        </w:r>
      </w:hyperlink>
    </w:p>
    <w:p w14:paraId="23099751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41FEC383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59F3E32" w14:textId="4793F861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noProof/>
        </w:rPr>
        <w:drawing>
          <wp:inline distT="0" distB="0" distL="0" distR="0" wp14:anchorId="476427F8" wp14:editId="5D92109B">
            <wp:extent cx="45720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FA8D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1795CCC4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8DD3100" w14:textId="77777777" w:rsidR="00947EC2" w:rsidRPr="00947EC2" w:rsidRDefault="00947EC2" w:rsidP="00947EC2">
      <w:pPr>
        <w:spacing w:after="0" w:line="300" w:lineRule="atLeast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47E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8ADB6E1" w14:textId="77777777" w:rsidR="00947EC2" w:rsidRPr="00947EC2" w:rsidRDefault="00947EC2" w:rsidP="00947EC2">
      <w:pPr>
        <w:spacing w:after="0" w:line="300" w:lineRule="atLeast"/>
        <w:ind w:left="720"/>
        <w:rPr>
          <w:rFonts w:ascii="Helvetica Neue" w:eastAsia="Times New Roman" w:hAnsi="Helvetica Neue" w:cs="Calibri"/>
          <w:color w:val="000000"/>
          <w:sz w:val="24"/>
          <w:szCs w:val="24"/>
          <w:lang w:eastAsia="en-IN"/>
        </w:rPr>
      </w:pPr>
      <w:r w:rsidRPr="00947EC2">
        <w:rPr>
          <w:rFonts w:ascii="Helvetica Neue" w:eastAsia="Times New Roman" w:hAnsi="Helvetica Neue" w:cs="Calibri"/>
          <w:color w:val="000000"/>
          <w:sz w:val="24"/>
          <w:szCs w:val="24"/>
          <w:shd w:val="clear" w:color="auto" w:fill="FFFFFF"/>
          <w:lang w:eastAsia="en-IN"/>
        </w:rPr>
        <w:t>Background</w:t>
      </w:r>
    </w:p>
    <w:p w14:paraId="0B4D7C1B" w14:textId="77777777" w:rsidR="00947EC2" w:rsidRPr="00947EC2" w:rsidRDefault="00947EC2" w:rsidP="00947EC2">
      <w:pPr>
        <w:spacing w:after="140" w:line="240" w:lineRule="auto"/>
        <w:ind w:left="720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lastRenderedPageBreak/>
        <w:t>Consumer-directed exchange occurs when a consumer or an authorized caregiver invokes their HIPAA Individual Right of Access (45 CFR 164.524) and requests their digital health information from a HIPAA covered entity (CE) via an application or other third-party data steward. </w:t>
      </w:r>
    </w:p>
    <w:p w14:paraId="369ECB49" w14:textId="1DFF0979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noProof/>
        </w:rPr>
        <w:drawing>
          <wp:inline distT="0" distB="0" distL="0" distR="0" wp14:anchorId="685E3620" wp14:editId="02234447">
            <wp:extent cx="5731510" cy="1291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8132" w14:textId="77777777" w:rsidR="00947EC2" w:rsidRPr="00947EC2" w:rsidRDefault="00947EC2" w:rsidP="00947EC2">
      <w:pPr>
        <w:spacing w:after="0" w:line="300" w:lineRule="atLeast"/>
        <w:ind w:left="720"/>
        <w:rPr>
          <w:rFonts w:ascii="Helvetica Neue" w:eastAsia="Times New Roman" w:hAnsi="Helvetica Neue" w:cs="Calibri"/>
          <w:color w:val="000000"/>
          <w:sz w:val="24"/>
          <w:szCs w:val="24"/>
          <w:lang w:eastAsia="en-IN"/>
        </w:rPr>
      </w:pPr>
      <w:r w:rsidRPr="00947EC2">
        <w:rPr>
          <w:rFonts w:ascii="Helvetica Neue" w:eastAsia="Times New Roman" w:hAnsi="Helvetica Neue" w:cs="Calibri"/>
          <w:color w:val="000000"/>
          <w:sz w:val="24"/>
          <w:szCs w:val="24"/>
          <w:shd w:val="clear" w:color="auto" w:fill="FFFFFF"/>
          <w:lang w:eastAsia="en-IN"/>
        </w:rPr>
        <w:t>Technical Workflow</w:t>
      </w:r>
    </w:p>
    <w:p w14:paraId="0D0E0E32" w14:textId="64DB0F2A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noProof/>
        </w:rPr>
        <w:drawing>
          <wp:inline distT="0" distB="0" distL="0" distR="0" wp14:anchorId="014F4C16" wp14:editId="4C835184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3C06" w14:textId="77777777" w:rsidR="00947EC2" w:rsidRPr="00947EC2" w:rsidRDefault="00947EC2" w:rsidP="00947EC2">
      <w:pPr>
        <w:spacing w:after="140" w:line="240" w:lineRule="auto"/>
        <w:ind w:left="720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 Actors:</w:t>
      </w:r>
    </w:p>
    <w:p w14:paraId="0162A44D" w14:textId="77777777" w:rsidR="00947EC2" w:rsidRPr="00947EC2" w:rsidRDefault="00947EC2" w:rsidP="00947EC2">
      <w:pPr>
        <w:numPr>
          <w:ilvl w:val="1"/>
          <w:numId w:val="1"/>
        </w:numPr>
        <w:spacing w:after="60" w:line="240" w:lineRule="auto"/>
        <w:textAlignment w:val="center"/>
        <w:rPr>
          <w:rFonts w:ascii="Calibri" w:eastAsia="Times New Roman" w:hAnsi="Calibri" w:cs="Calibri"/>
          <w:color w:val="333333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(aka Subscriber, Beneficiary, Patient, or Personal Representative)</w:t>
      </w:r>
    </w:p>
    <w:p w14:paraId="4045C3A9" w14:textId="77777777" w:rsidR="00947EC2" w:rsidRPr="00947EC2" w:rsidRDefault="00947EC2" w:rsidP="00947EC2">
      <w:pPr>
        <w:numPr>
          <w:ilvl w:val="1"/>
          <w:numId w:val="1"/>
        </w:numPr>
        <w:spacing w:after="60" w:line="240" w:lineRule="auto"/>
        <w:textAlignment w:val="center"/>
        <w:rPr>
          <w:rFonts w:ascii="Calibri" w:eastAsia="Times New Roman" w:hAnsi="Calibri" w:cs="Calibri"/>
          <w:color w:val="333333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App (aka digital third-party application selected by and primarily for the Consumer with a consumer-facing user interface)</w:t>
      </w:r>
    </w:p>
    <w:p w14:paraId="4F70123F" w14:textId="77777777" w:rsidR="00947EC2" w:rsidRPr="00947EC2" w:rsidRDefault="00947EC2" w:rsidP="00947EC2">
      <w:pPr>
        <w:numPr>
          <w:ilvl w:val="1"/>
          <w:numId w:val="1"/>
        </w:numPr>
        <w:spacing w:after="60" w:line="240" w:lineRule="auto"/>
        <w:textAlignment w:val="center"/>
        <w:rPr>
          <w:rFonts w:ascii="Calibri" w:eastAsia="Times New Roman" w:hAnsi="Calibri" w:cs="Calibri"/>
          <w:color w:val="333333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Health Plan API (aka Payer, Covered Entity)</w:t>
      </w:r>
    </w:p>
    <w:p w14:paraId="1978D6C0" w14:textId="77777777" w:rsidR="00947EC2" w:rsidRPr="00947EC2" w:rsidRDefault="00947EC2" w:rsidP="00947EC2">
      <w:pPr>
        <w:numPr>
          <w:ilvl w:val="1"/>
          <w:numId w:val="1"/>
        </w:numPr>
        <w:spacing w:after="60" w:line="240" w:lineRule="auto"/>
        <w:textAlignment w:val="center"/>
        <w:rPr>
          <w:rFonts w:ascii="Calibri" w:eastAsia="Times New Roman" w:hAnsi="Calibri" w:cs="Calibri"/>
          <w:color w:val="333333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Health Plan’s Identity and Access Authorization server</w:t>
      </w:r>
    </w:p>
    <w:p w14:paraId="4BD351C0" w14:textId="77777777" w:rsidR="00947EC2" w:rsidRPr="00947EC2" w:rsidRDefault="00947EC2" w:rsidP="00947EC2">
      <w:pPr>
        <w:spacing w:after="140" w:line="240" w:lineRule="auto"/>
        <w:ind w:left="720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Flow:</w:t>
      </w:r>
    </w:p>
    <w:p w14:paraId="04F40FF7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App presents a list of potential Payers / Health Plans that can be accessed by the Consumer.</w:t>
      </w:r>
    </w:p>
    <w:p w14:paraId="221528B6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selects the Payer / Health Plan.</w:t>
      </w:r>
    </w:p>
    <w:p w14:paraId="20C78784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App opens the link to the Health Plan's Identity and Access Authorization server.</w:t>
      </w:r>
    </w:p>
    <w:p w14:paraId="21A68BAD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enters the credentials.</w:t>
      </w:r>
    </w:p>
    <w:p w14:paraId="0D493295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Health Plan's Identity and Access Authorization server validates the credentials, generates and returns to the Consumer App an OIDC token with Consumer and authorized patient/beneficiary identities encoded.</w:t>
      </w:r>
    </w:p>
    <w:p w14:paraId="4C264396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App successfully links the user to the Payer / Health Plan and notifies the Consumer.</w:t>
      </w:r>
    </w:p>
    <w:p w14:paraId="72FBB9F0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 xml:space="preserve">Consumer requests the Consumer App to fetch Explanation </w:t>
      </w:r>
      <w:proofErr w:type="gramStart"/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Of</w:t>
      </w:r>
      <w:proofErr w:type="gramEnd"/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 xml:space="preserve"> Benefit records.</w:t>
      </w:r>
    </w:p>
    <w:p w14:paraId="3E193455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 xml:space="preserve">Consumer App generates and sends to the Health Plan's CARIN IG for Blue Button® enabled FHIR API a request (which includes Patient ID, and token from </w:t>
      </w: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lastRenderedPageBreak/>
        <w:t xml:space="preserve">the step #5) to fetch the Explanation </w:t>
      </w:r>
      <w:proofErr w:type="gramStart"/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Of</w:t>
      </w:r>
      <w:proofErr w:type="gramEnd"/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 xml:space="preserve"> Benefit (EOB) and supporting reference FHIR resources.</w:t>
      </w:r>
    </w:p>
    <w:p w14:paraId="67F97C5D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Health Plan's CARIN IG for Blue Button® enabled FHIR API responds with a bundle of the requested EOB and supporting reference FHIR resources.</w:t>
      </w:r>
    </w:p>
    <w:p w14:paraId="6924F3AB" w14:textId="77777777" w:rsidR="00947EC2" w:rsidRPr="00947EC2" w:rsidRDefault="00947EC2" w:rsidP="00947EC2">
      <w:pPr>
        <w:numPr>
          <w:ilvl w:val="1"/>
          <w:numId w:val="2"/>
        </w:numPr>
        <w:spacing w:after="60" w:line="240" w:lineRule="auto"/>
        <w:textAlignment w:val="center"/>
        <w:rPr>
          <w:rFonts w:ascii="Verdana" w:eastAsia="Times New Roman" w:hAnsi="Verdana" w:cs="Calibri"/>
          <w:color w:val="333333"/>
          <w:sz w:val="18"/>
          <w:szCs w:val="18"/>
          <w:lang w:eastAsia="en-IN"/>
        </w:rPr>
      </w:pPr>
      <w:r w:rsidRPr="00947EC2">
        <w:rPr>
          <w:rFonts w:ascii="Verdana" w:eastAsia="Times New Roman" w:hAnsi="Verdana" w:cs="Calibri"/>
          <w:color w:val="333333"/>
          <w:sz w:val="18"/>
          <w:szCs w:val="18"/>
          <w:shd w:val="clear" w:color="auto" w:fill="FFFFFF"/>
          <w:lang w:eastAsia="en-IN"/>
        </w:rPr>
        <w:t>Consumer App presents the EOB and supporting reference FHIR resources to the Consumer.</w:t>
      </w:r>
    </w:p>
    <w:p w14:paraId="49A4D8F0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542345A7" w14:textId="77777777" w:rsidR="00947EC2" w:rsidRPr="00947EC2" w:rsidRDefault="00947EC2" w:rsidP="00947EC2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From &lt;</w:t>
      </w:r>
      <w:hyperlink r:id="rId16" w:history="1">
        <w:r w:rsidRPr="00947EC2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en-IN"/>
          </w:rPr>
          <w:t>http://build.fhir.org/ig/HL7/carin-bb/Use_Case.html</w:t>
        </w:r>
      </w:hyperlink>
      <w:r w:rsidRPr="00947EC2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 xml:space="preserve">&gt; </w:t>
      </w:r>
    </w:p>
    <w:p w14:paraId="68340908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2F4B714B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7C46079C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259EE2CF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5B6FF1D8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709DD2B8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proofErr w:type="spellStart"/>
      <w:r w:rsidRPr="00947EC2">
        <w:rPr>
          <w:rFonts w:ascii="Calibri" w:eastAsia="Times New Roman" w:hAnsi="Calibri" w:cs="Calibri"/>
          <w:lang w:eastAsia="en-IN"/>
        </w:rPr>
        <w:t>Mulesoft</w:t>
      </w:r>
      <w:proofErr w:type="spellEnd"/>
      <w:r w:rsidRPr="00947EC2">
        <w:rPr>
          <w:rFonts w:ascii="Calibri" w:eastAsia="Times New Roman" w:hAnsi="Calibri" w:cs="Calibri"/>
          <w:lang w:eastAsia="en-IN"/>
        </w:rPr>
        <w:t xml:space="preserve"> Implementation:</w:t>
      </w:r>
    </w:p>
    <w:p w14:paraId="71A9C238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188CD568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hyperlink r:id="rId17" w:history="1">
        <w:r w:rsidRPr="00947EC2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https://anypoint.mulesoft.com/exchange/org.mule.examples/hc-accelerator-sfdc-carin-explanationofbenefits-sys-api/minor/1.0/pages/Use%20case/</w:t>
        </w:r>
      </w:hyperlink>
    </w:p>
    <w:p w14:paraId="6DE3C262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55A50E01" w14:textId="35B6E622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noProof/>
        </w:rPr>
        <w:drawing>
          <wp:inline distT="0" distB="0" distL="0" distR="0" wp14:anchorId="5A268F07" wp14:editId="59ABFA87">
            <wp:extent cx="457962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257D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B06002D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041C165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55A5340E" w14:textId="3A7A99D4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noProof/>
        </w:rPr>
        <w:drawing>
          <wp:inline distT="0" distB="0" distL="0" distR="0" wp14:anchorId="1449F1BD" wp14:editId="08F1ACB0">
            <wp:extent cx="5731510" cy="184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DA4C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2A256DF4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78F7E308" w14:textId="77777777" w:rsidR="00947EC2" w:rsidRPr="00947EC2" w:rsidRDefault="00947EC2" w:rsidP="00947EC2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947EC2">
        <w:rPr>
          <w:rFonts w:ascii="Calibri" w:eastAsia="Times New Roman" w:hAnsi="Calibri" w:cs="Calibri"/>
          <w:lang w:eastAsia="en-IN"/>
        </w:rPr>
        <w:t> </w:t>
      </w:r>
    </w:p>
    <w:p w14:paraId="69BCC876" w14:textId="77777777" w:rsidR="00151E71" w:rsidRDefault="00151E71"/>
    <w:sectPr w:rsidR="0015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0036E"/>
    <w:multiLevelType w:val="multilevel"/>
    <w:tmpl w:val="7E7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790412">
    <w:abstractNumId w:val="0"/>
  </w:num>
  <w:num w:numId="2" w16cid:durableId="18070751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6"/>
    <w:rsid w:val="00151E71"/>
    <w:rsid w:val="00631EF6"/>
    <w:rsid w:val="0094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72C91-FF06-49E8-AFB8-6D5A19EA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7EC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47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us/davinci-pdex/STU1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l7.org/fhir/us/carin-bb/" TargetMode="External"/><Relationship Id="rId12" Type="http://schemas.openxmlformats.org/officeDocument/2006/relationships/hyperlink" Target="https://anypoint.mulesoft.com/exchange/org.mule.examples/hc-accelerator-sfdc-carin-explanationofbenefits-sys-api/minor/1.0/pages/Use%20case/" TargetMode="External"/><Relationship Id="rId17" Type="http://schemas.openxmlformats.org/officeDocument/2006/relationships/hyperlink" Target="https://anypoint.mulesoft.com/exchange/org.mule.examples/hc-accelerator-sfdc-carin-explanationofbenefits-sys-api/minor/1.0/pages/Use%20case/" TargetMode="External"/><Relationship Id="rId2" Type="http://schemas.openxmlformats.org/officeDocument/2006/relationships/styles" Target="styles.xml"/><Relationship Id="rId16" Type="http://schemas.openxmlformats.org/officeDocument/2006/relationships/hyperlink" Target="http://build.fhir.org/ig/HL7/carin-bb/Use_Cas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ms.gov/Regulations-and-Guidance/Guidance/Interoperability/index" TargetMode="External"/><Relationship Id="rId11" Type="http://schemas.openxmlformats.org/officeDocument/2006/relationships/hyperlink" Target="http://build.fhir.org/ig/HL7/carin-bb/artifacts.html" TargetMode="External"/><Relationship Id="rId5" Type="http://schemas.openxmlformats.org/officeDocument/2006/relationships/hyperlink" Target="http://build.fhir.org/ig/HL7/carin-bb/toc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build.fhir.org/ig/HL7/carin-bb/CapabilityStatement-c4bb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hl7.org/fhir/us/carin-bb/Common_Payer_Consumer_Data_Set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dc:description/>
  <cp:lastModifiedBy>Gowtham B</cp:lastModifiedBy>
  <cp:revision>2</cp:revision>
  <dcterms:created xsi:type="dcterms:W3CDTF">2022-12-12T11:52:00Z</dcterms:created>
  <dcterms:modified xsi:type="dcterms:W3CDTF">2022-12-12T11:53:00Z</dcterms:modified>
</cp:coreProperties>
</file>