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852160" cy="1948815"/>
            <wp:docPr id="1" name="Picture 1"/>
            <wp:cNvGraphicFramePr>
              <a:graphicFrameLocks noChangeAspect="1"/>
            </wp:cNvGraphicFramePr>
            <a:graphic>
              <a:graphicData uri="http://schemas.openxmlformats.org/drawingml/2006/picture">
                <pic:pic>
                  <pic:nvPicPr>
                    <pic:cNvPr id="0" name="ScoreBoard Intelligence New Logo- Sept 2026(1).png"/>
                    <pic:cNvPicPr/>
                  </pic:nvPicPr>
                  <pic:blipFill>
                    <a:blip r:embed="rId9"/>
                    <a:stretch>
                      <a:fillRect/>
                    </a:stretch>
                  </pic:blipFill>
                  <pic:spPr>
                    <a:xfrm>
                      <a:off x="0" y="0"/>
                      <a:ext cx="5852160" cy="1948815"/>
                    </a:xfrm>
                    <a:prstGeom prst="rect"/>
                  </pic:spPr>
                </pic:pic>
              </a:graphicData>
            </a:graphic>
          </wp:inline>
        </w:drawing>
      </w:r>
    </w:p>
    <w:p>
      <w:pPr>
        <w:jc w:val="center"/>
      </w:pPr>
      <w:r>
        <w:rPr>
          <w:b/>
          <w:color w:val="123C7A"/>
          <w:sz w:val="34"/>
        </w:rPr>
        <w:t>WEBSITE DESIGN BASELINE &amp; DISCIPLINE DOCUMENT</w:t>
      </w:r>
    </w:p>
    <w:p>
      <w:pPr>
        <w:jc w:val="center"/>
      </w:pPr>
      <w:r>
        <w:rPr>
          <w:sz w:val="21"/>
        </w:rPr>
        <w:t>Version 1.0  |  01 October 2026</w:t>
      </w:r>
    </w:p>
    <w:p>
      <w:pPr>
        <w:jc w:val="center"/>
      </w:pPr>
      <w:r>
        <w:rPr>
          <w:i/>
          <w:sz w:val="20"/>
        </w:rPr>
        <w:t>Working reference for the design, content, UX, engineering and launch of the standalone ScoreBoard Intelligence™ website</w:t>
      </w:r>
    </w:p>
    <w:p>
      <w:r>
        <w:br w:type="page"/>
      </w:r>
    </w:p>
    <w:p>
      <w:pPr>
        <w:pStyle w:val="Heading1"/>
      </w:pPr>
      <w:r>
        <w:t>1. Document Purpose</w:t>
      </w:r>
    </w:p>
    <w:p>
      <w:r>
        <w:t>This document is the baseline design and execution reference for the standalone ScoreBoard Intelligence™ website. Its purpose is to keep the project disciplined: agreed architecture, positioning, visual direction, product boundaries, website structure and design principles should be referenced here rather than repeatedly re-invented during development.</w:t>
      </w:r>
    </w:p>
    <w:tbl>
      <w:tblPr>
        <w:tblW w:type="auto" w:w="0"/>
        <w:jc w:val="center"/>
        <w:tblLook w:firstColumn="1" w:firstRow="1" w:lastColumn="0" w:lastRow="0" w:noHBand="0" w:noVBand="1" w:val="04A0"/>
      </w:tblPr>
      <w:tblGrid>
        <w:gridCol w:w="10080"/>
      </w:tblGrid>
      <w:tr>
        <w:tc>
          <w:tcPr>
            <w:tcW w:type="dxa" w:w="10080"/>
            <w:shd w:fill="EAF3FF"/>
          </w:tcPr>
          <w:p>
            <w:r>
              <w:rPr>
                <w:b/>
                <w:color w:val="0B3D91"/>
                <w:sz w:val="21"/>
              </w:rPr>
              <w:t>WORKING RULE</w:t>
              <w:br/>
            </w:r>
            <w:r>
              <w:rPr>
                <w:sz w:val="20"/>
              </w:rPr>
              <w:t>New ideas are welcome during development, but they are not automatically part of the website. Any material change to the agreed architecture, positioning, brand relationship, navigation or product claims should be explicitly reviewed and incorporated into a revised version of this document.</w:t>
            </w:r>
          </w:p>
        </w:tc>
      </w:tr>
    </w:tbl>
    <w:p>
      <w:pPr>
        <w:spacing w:after="40"/>
      </w:pPr>
    </w:p>
    <w:p>
      <w:pPr>
        <w:pStyle w:val="Heading2"/>
      </w:pPr>
      <w:r>
        <w:t>Document status</w:t>
      </w:r>
    </w:p>
    <w:tbl>
      <w:tblPr>
        <w:tblW w:type="auto" w:w="0"/>
        <w:jc w:val="center"/>
        <w:tblLook w:firstColumn="1" w:firstRow="1" w:lastColumn="0" w:lastRow="0" w:noHBand="0" w:noVBand="1" w:val="04A0"/>
      </w:tblPr>
      <w:tblGrid>
        <w:gridCol w:w="5040"/>
        <w:gridCol w:w="5040"/>
      </w:tblGrid>
      <w:tr>
        <w:tc>
          <w:tcPr>
            <w:tcW w:type="dxa" w:w="5040"/>
            <w:vAlign w:val="center"/>
            <w:shd w:fill="123C7A"/>
          </w:tcPr>
          <w:p>
            <w:r/>
            <w:r>
              <w:rPr>
                <w:rFonts w:ascii="Aptos" w:hAnsi="Aptos"/>
                <w:b/>
                <w:color w:val="FFFFFF"/>
                <w:sz w:val="19"/>
              </w:rPr>
              <w:t>Document</w:t>
            </w:r>
          </w:p>
        </w:tc>
        <w:tc>
          <w:tcPr>
            <w:tcW w:type="dxa" w:w="5040"/>
            <w:vAlign w:val="center"/>
          </w:tcPr>
          <w:p>
            <w:r/>
            <w:r>
              <w:rPr>
                <w:rFonts w:ascii="Aptos" w:hAnsi="Aptos"/>
                <w:b w:val="0"/>
                <w:color w:val="000000"/>
                <w:sz w:val="19"/>
              </w:rPr>
              <w:t>ScoreBoard Intelligence™ Website Design Baseline</w:t>
            </w:r>
          </w:p>
        </w:tc>
      </w:tr>
      <w:tr>
        <w:tc>
          <w:tcPr>
            <w:tcW w:type="dxa" w:w="5040"/>
            <w:vAlign w:val="center"/>
            <w:shd w:fill="123C7A"/>
          </w:tcPr>
          <w:p>
            <w:r/>
            <w:r>
              <w:rPr>
                <w:rFonts w:ascii="Aptos" w:hAnsi="Aptos"/>
                <w:b/>
                <w:color w:val="FFFFFF"/>
                <w:sz w:val="19"/>
              </w:rPr>
              <w:t>Version</w:t>
            </w:r>
          </w:p>
        </w:tc>
        <w:tc>
          <w:tcPr>
            <w:tcW w:type="dxa" w:w="5040"/>
            <w:vAlign w:val="center"/>
          </w:tcPr>
          <w:p>
            <w:r/>
            <w:r>
              <w:rPr>
                <w:rFonts w:ascii="Aptos" w:hAnsi="Aptos"/>
                <w:b w:val="0"/>
                <w:color w:val="000000"/>
                <w:sz w:val="19"/>
              </w:rPr>
              <w:t>V1.0</w:t>
            </w:r>
          </w:p>
        </w:tc>
      </w:tr>
      <w:tr>
        <w:tc>
          <w:tcPr>
            <w:tcW w:type="dxa" w:w="5040"/>
            <w:vAlign w:val="center"/>
            <w:shd w:fill="123C7A"/>
          </w:tcPr>
          <w:p>
            <w:r/>
            <w:r>
              <w:rPr>
                <w:rFonts w:ascii="Aptos" w:hAnsi="Aptos"/>
                <w:b/>
                <w:color w:val="FFFFFF"/>
                <w:sz w:val="19"/>
              </w:rPr>
              <w:t>Date</w:t>
            </w:r>
          </w:p>
        </w:tc>
        <w:tc>
          <w:tcPr>
            <w:tcW w:type="dxa" w:w="5040"/>
            <w:vAlign w:val="center"/>
          </w:tcPr>
          <w:p>
            <w:r/>
            <w:r>
              <w:rPr>
                <w:rFonts w:ascii="Aptos" w:hAnsi="Aptos"/>
                <w:b w:val="0"/>
                <w:color w:val="000000"/>
                <w:sz w:val="19"/>
              </w:rPr>
              <w:t>01 October 2026</w:t>
            </w:r>
          </w:p>
        </w:tc>
      </w:tr>
      <w:tr>
        <w:tc>
          <w:tcPr>
            <w:tcW w:type="dxa" w:w="5040"/>
            <w:vAlign w:val="center"/>
            <w:shd w:fill="123C7A"/>
          </w:tcPr>
          <w:p>
            <w:r/>
            <w:r>
              <w:rPr>
                <w:rFonts w:ascii="Aptos" w:hAnsi="Aptos"/>
                <w:b/>
                <w:color w:val="FFFFFF"/>
                <w:sz w:val="19"/>
              </w:rPr>
              <w:t>Status</w:t>
            </w:r>
          </w:p>
        </w:tc>
        <w:tc>
          <w:tcPr>
            <w:tcW w:type="dxa" w:w="5040"/>
            <w:vAlign w:val="center"/>
          </w:tcPr>
          <w:p>
            <w:r/>
            <w:r>
              <w:rPr>
                <w:rFonts w:ascii="Aptos" w:hAnsi="Aptos"/>
                <w:b w:val="0"/>
                <w:color w:val="000000"/>
                <w:sz w:val="19"/>
              </w:rPr>
              <w:t>Approved baseline / working master</w:t>
            </w:r>
          </w:p>
        </w:tc>
      </w:tr>
      <w:tr>
        <w:tc>
          <w:tcPr>
            <w:tcW w:type="dxa" w:w="5040"/>
            <w:vAlign w:val="center"/>
            <w:shd w:fill="123C7A"/>
          </w:tcPr>
          <w:p>
            <w:r/>
            <w:r>
              <w:rPr>
                <w:rFonts w:ascii="Aptos" w:hAnsi="Aptos"/>
                <w:b/>
                <w:color w:val="FFFFFF"/>
                <w:sz w:val="19"/>
              </w:rPr>
              <w:t>Primary product</w:t>
            </w:r>
          </w:p>
        </w:tc>
        <w:tc>
          <w:tcPr>
            <w:tcW w:type="dxa" w:w="5040"/>
            <w:vAlign w:val="center"/>
          </w:tcPr>
          <w:p>
            <w:r/>
            <w:r>
              <w:rPr>
                <w:rFonts w:ascii="Aptos" w:hAnsi="Aptos"/>
                <w:b w:val="0"/>
                <w:color w:val="000000"/>
                <w:sz w:val="19"/>
              </w:rPr>
              <w:t>ScoreBoard Intelligence™</w:t>
            </w:r>
          </w:p>
        </w:tc>
      </w:tr>
      <w:tr>
        <w:tc>
          <w:tcPr>
            <w:tcW w:type="dxa" w:w="5040"/>
            <w:vAlign w:val="center"/>
            <w:shd w:fill="123C7A"/>
          </w:tcPr>
          <w:p>
            <w:r/>
            <w:r>
              <w:rPr>
                <w:rFonts w:ascii="Aptos" w:hAnsi="Aptos"/>
                <w:b/>
                <w:color w:val="FFFFFF"/>
                <w:sz w:val="19"/>
              </w:rPr>
              <w:t>Parent company</w:t>
            </w:r>
          </w:p>
        </w:tc>
        <w:tc>
          <w:tcPr>
            <w:tcW w:type="dxa" w:w="5040"/>
            <w:vAlign w:val="center"/>
          </w:tcPr>
          <w:p>
            <w:r/>
            <w:r>
              <w:rPr>
                <w:rFonts w:ascii="Aptos" w:hAnsi="Aptos"/>
                <w:b w:val="0"/>
                <w:color w:val="000000"/>
                <w:sz w:val="19"/>
              </w:rPr>
              <w:t>Bitstar® / Bitstar Technologies</w:t>
            </w:r>
          </w:p>
        </w:tc>
      </w:tr>
      <w:tr>
        <w:tc>
          <w:tcPr>
            <w:tcW w:type="dxa" w:w="5040"/>
            <w:vAlign w:val="center"/>
            <w:shd w:fill="123C7A"/>
          </w:tcPr>
          <w:p>
            <w:r/>
            <w:r>
              <w:rPr>
                <w:rFonts w:ascii="Aptos" w:hAnsi="Aptos"/>
                <w:b/>
                <w:color w:val="FFFFFF"/>
                <w:sz w:val="19"/>
              </w:rPr>
              <w:t>Website type</w:t>
            </w:r>
          </w:p>
        </w:tc>
        <w:tc>
          <w:tcPr>
            <w:tcW w:type="dxa" w:w="5040"/>
            <w:vAlign w:val="center"/>
          </w:tcPr>
          <w:p>
            <w:r/>
            <w:r>
              <w:rPr>
                <w:rFonts w:ascii="Aptos" w:hAnsi="Aptos"/>
                <w:b w:val="0"/>
                <w:color w:val="000000"/>
                <w:sz w:val="19"/>
              </w:rPr>
              <w:t>Standalone product/platform website</w:t>
            </w:r>
          </w:p>
        </w:tc>
      </w:tr>
      <w:tr>
        <w:tc>
          <w:tcPr>
            <w:tcW w:type="dxa" w:w="5040"/>
            <w:vAlign w:val="center"/>
            <w:shd w:fill="123C7A"/>
          </w:tcPr>
          <w:p>
            <w:r/>
            <w:r>
              <w:rPr>
                <w:rFonts w:ascii="Aptos" w:hAnsi="Aptos"/>
                <w:b/>
                <w:color w:val="FFFFFF"/>
                <w:sz w:val="19"/>
              </w:rPr>
              <w:t>Domain</w:t>
            </w:r>
          </w:p>
        </w:tc>
        <w:tc>
          <w:tcPr>
            <w:tcW w:type="dxa" w:w="5040"/>
            <w:vAlign w:val="center"/>
          </w:tcPr>
          <w:p>
            <w:r/>
            <w:r>
              <w:rPr>
                <w:rFonts w:ascii="Aptos" w:hAnsi="Aptos"/>
                <w:b w:val="0"/>
                <w:color w:val="000000"/>
                <w:sz w:val="19"/>
              </w:rPr>
              <w:t>To be selected later</w:t>
            </w:r>
          </w:p>
        </w:tc>
      </w:tr>
      <w:tr>
        <w:tc>
          <w:tcPr>
            <w:tcW w:type="dxa" w:w="5040"/>
            <w:vAlign w:val="center"/>
            <w:shd w:fill="123C7A"/>
          </w:tcPr>
          <w:p>
            <w:r/>
            <w:r>
              <w:rPr>
                <w:rFonts w:ascii="Aptos" w:hAnsi="Aptos"/>
                <w:b/>
                <w:color w:val="FFFFFF"/>
                <w:sz w:val="19"/>
              </w:rPr>
              <w:t>Primary reference</w:t>
            </w:r>
          </w:p>
        </w:tc>
        <w:tc>
          <w:tcPr>
            <w:tcW w:type="dxa" w:w="5040"/>
            <w:vAlign w:val="center"/>
          </w:tcPr>
          <w:p>
            <w:r/>
            <w:r>
              <w:rPr>
                <w:rFonts w:ascii="Aptos" w:hAnsi="Aptos"/>
                <w:b w:val="0"/>
                <w:color w:val="000000"/>
                <w:sz w:val="19"/>
              </w:rPr>
              <w:t>This document</w:t>
            </w:r>
          </w:p>
        </w:tc>
      </w:tr>
    </w:tbl>
    <w:p/>
    <w:p>
      <w:pPr>
        <w:pStyle w:val="Heading1"/>
      </w:pPr>
      <w:r>
        <w:t>2. Executive Design Intent</w:t>
      </w:r>
    </w:p>
    <w:p>
      <w:r>
        <w:t>The ScoreBoard website is intended to establish ScoreBoard Intelligence™ as a serious international deep-technology platform for AI infrastructure intelligence. It must feel like an engineering system rather than a consulting brochure or generic AI/SaaS website.</w:t>
      </w:r>
    </w:p>
    <w:tbl>
      <w:tblPr>
        <w:tblW w:type="auto" w:w="0"/>
        <w:jc w:val="center"/>
        <w:tblLook w:firstColumn="1" w:firstRow="1" w:lastColumn="0" w:lastRow="0" w:noHBand="0" w:noVBand="1" w:val="04A0"/>
      </w:tblPr>
      <w:tblGrid>
        <w:gridCol w:w="10080"/>
      </w:tblGrid>
      <w:tr>
        <w:tc>
          <w:tcPr>
            <w:tcW w:type="dxa" w:w="10080"/>
            <w:shd w:fill="EAF3FF"/>
          </w:tcPr>
          <w:p>
            <w:r>
              <w:rPr>
                <w:b/>
                <w:color w:val="0B3D91"/>
                <w:sz w:val="21"/>
              </w:rPr>
              <w:t>CORE EXPERIENCE</w:t>
              <w:br/>
            </w:r>
            <w:r>
              <w:rPr>
                <w:sz w:val="20"/>
              </w:rPr>
              <w:t>The visitor should feel that they are experiencing what ScoreBoard does — observing infrastructure signals, seeing relationships form, understanding context and arriving at intelligence — rather than simply reading a list of product features.</w:t>
            </w:r>
          </w:p>
        </w:tc>
      </w:tr>
    </w:tbl>
    <w:p>
      <w:pPr>
        <w:spacing w:after="40"/>
      </w:pPr>
    </w:p>
    <w:p>
      <w:r>
        <w:t>The website should communicate five things quickly:</w:t>
      </w:r>
    </w:p>
    <w:p>
      <w:pPr>
        <w:pStyle w:val="ListBullet"/>
        <w:spacing w:after="40"/>
      </w:pPr>
      <w:r>
        <w:t>AI infrastructure produces enormous amounts of distributed operational data.</w:t>
      </w:r>
    </w:p>
    <w:p>
      <w:pPr>
        <w:pStyle w:val="ListBullet"/>
        <w:spacing w:after="40"/>
      </w:pPr>
      <w:r>
        <w:t>Existing infrastructure tools remain valuable, but their intelligence is distributed across systems.</w:t>
      </w:r>
    </w:p>
    <w:p>
      <w:pPr>
        <w:pStyle w:val="ListBullet"/>
        <w:spacing w:after="40"/>
      </w:pPr>
      <w:r>
        <w:t>ScoreBoard Intelligence™ provides an intelligence layer above those systems.</w:t>
      </w:r>
    </w:p>
    <w:p>
      <w:pPr>
        <w:pStyle w:val="ListBullet"/>
        <w:spacing w:after="40"/>
      </w:pPr>
      <w:r>
        <w:t>ScoreBoard progressively connects observation, correlation, understanding, prediction and optimization.</w:t>
      </w:r>
    </w:p>
    <w:p>
      <w:pPr>
        <w:pStyle w:val="ListBullet"/>
        <w:spacing w:after="40"/>
      </w:pPr>
      <w:r>
        <w:t>Intelligence can extend toward the infrastructure through the Software Edge Agent™ and, as it matures, the Hardware Edge Agent™.</w:t>
      </w:r>
    </w:p>
    <w:p>
      <w:pPr>
        <w:pStyle w:val="Heading1"/>
      </w:pPr>
      <w:r>
        <w:t>3. Brand Architecture</w:t>
      </w:r>
    </w:p>
    <w:p>
      <w:r>
        <w:t>The website must preserve a clear separation between the corporate identity and product identities.</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23C7A"/>
          </w:tcPr>
          <w:p>
            <w:r/>
            <w:r>
              <w:rPr>
                <w:rFonts w:ascii="Aptos" w:hAnsi="Aptos"/>
                <w:b/>
                <w:color w:val="FFFFFF"/>
                <w:sz w:val="19"/>
              </w:rPr>
              <w:t>Identity</w:t>
            </w:r>
          </w:p>
        </w:tc>
        <w:tc>
          <w:tcPr>
            <w:tcW w:type="dxa" w:w="2520"/>
            <w:vAlign w:val="center"/>
            <w:shd w:fill="123C7A"/>
          </w:tcPr>
          <w:p>
            <w:r/>
            <w:r>
              <w:rPr>
                <w:rFonts w:ascii="Aptos" w:hAnsi="Aptos"/>
                <w:b/>
                <w:color w:val="FFFFFF"/>
                <w:sz w:val="19"/>
              </w:rPr>
              <w:t>Role</w:t>
            </w:r>
          </w:p>
        </w:tc>
        <w:tc>
          <w:tcPr>
            <w:tcW w:type="dxa" w:w="2520"/>
            <w:vAlign w:val="center"/>
            <w:shd w:fill="123C7A"/>
          </w:tcPr>
          <w:p>
            <w:r/>
            <w:r>
              <w:rPr>
                <w:rFonts w:ascii="Aptos" w:hAnsi="Aptos"/>
                <w:b/>
                <w:color w:val="FFFFFF"/>
                <w:sz w:val="19"/>
              </w:rPr>
              <w:t>Website treatment</w:t>
            </w:r>
          </w:p>
        </w:tc>
        <w:tc>
          <w:tcPr>
            <w:tcW w:type="dxa" w:w="2520"/>
            <w:vAlign w:val="center"/>
            <w:shd w:fill="123C7A"/>
          </w:tcPr>
          <w:p>
            <w:r/>
            <w:r>
              <w:rPr>
                <w:rFonts w:ascii="Aptos" w:hAnsi="Aptos"/>
                <w:b/>
                <w:color w:val="FFFFFF"/>
                <w:sz w:val="19"/>
              </w:rPr>
              <w:t>Status</w:t>
            </w:r>
          </w:p>
        </w:tc>
      </w:tr>
      <w:tr>
        <w:tc>
          <w:tcPr>
            <w:tcW w:type="dxa" w:w="2520"/>
            <w:vAlign w:val="center"/>
          </w:tcPr>
          <w:p>
            <w:r/>
            <w:r>
              <w:rPr>
                <w:rFonts w:ascii="Aptos" w:hAnsi="Aptos"/>
                <w:b/>
                <w:color w:val="000000"/>
                <w:sz w:val="19"/>
              </w:rPr>
              <w:t>Bitstar®</w:t>
            </w:r>
          </w:p>
        </w:tc>
        <w:tc>
          <w:tcPr>
            <w:tcW w:type="dxa" w:w="2520"/>
            <w:vAlign w:val="center"/>
          </w:tcPr>
          <w:p>
            <w:r/>
            <w:r>
              <w:rPr>
                <w:rFonts w:ascii="Aptos" w:hAnsi="Aptos"/>
                <w:b w:val="0"/>
                <w:color w:val="000000"/>
                <w:sz w:val="19"/>
              </w:rPr>
              <w:t>Parent / technology company</w:t>
            </w:r>
          </w:p>
        </w:tc>
        <w:tc>
          <w:tcPr>
            <w:tcW w:type="dxa" w:w="2520"/>
            <w:vAlign w:val="center"/>
          </w:tcPr>
          <w:p>
            <w:r/>
            <w:r>
              <w:rPr>
                <w:rFonts w:ascii="Aptos" w:hAnsi="Aptos"/>
                <w:b w:val="0"/>
                <w:color w:val="000000"/>
                <w:sz w:val="19"/>
              </w:rPr>
              <w:t>Corporate ownership, footer, credibility, legal/contact layer</w:t>
            </w:r>
          </w:p>
        </w:tc>
        <w:tc>
          <w:tcPr>
            <w:tcW w:type="dxa" w:w="2520"/>
            <w:vAlign w:val="center"/>
          </w:tcPr>
          <w:p>
            <w:r/>
            <w:r>
              <w:rPr>
                <w:rFonts w:ascii="Aptos" w:hAnsi="Aptos"/>
                <w:b w:val="0"/>
                <w:color w:val="000000"/>
                <w:sz w:val="19"/>
              </w:rPr>
              <w:t>Established</w:t>
            </w:r>
          </w:p>
        </w:tc>
      </w:tr>
      <w:tr>
        <w:tc>
          <w:tcPr>
            <w:tcW w:type="dxa" w:w="2520"/>
            <w:vAlign w:val="center"/>
          </w:tcPr>
          <w:p>
            <w:r/>
            <w:r>
              <w:rPr>
                <w:rFonts w:ascii="Aptos" w:hAnsi="Aptos"/>
                <w:b/>
                <w:color w:val="000000"/>
                <w:sz w:val="19"/>
              </w:rPr>
              <w:t>ScoreBoard Intelligence™</w:t>
            </w:r>
          </w:p>
        </w:tc>
        <w:tc>
          <w:tcPr>
            <w:tcW w:type="dxa" w:w="2520"/>
            <w:vAlign w:val="center"/>
          </w:tcPr>
          <w:p>
            <w:r/>
            <w:r>
              <w:rPr>
                <w:rFonts w:ascii="Aptos" w:hAnsi="Aptos"/>
                <w:b w:val="0"/>
                <w:color w:val="000000"/>
                <w:sz w:val="19"/>
              </w:rPr>
              <w:t>Main platform</w:t>
            </w:r>
          </w:p>
        </w:tc>
        <w:tc>
          <w:tcPr>
            <w:tcW w:type="dxa" w:w="2520"/>
            <w:vAlign w:val="center"/>
          </w:tcPr>
          <w:p>
            <w:r/>
            <w:r>
              <w:rPr>
                <w:rFonts w:ascii="Aptos" w:hAnsi="Aptos"/>
                <w:b w:val="0"/>
                <w:color w:val="000000"/>
                <w:sz w:val="19"/>
              </w:rPr>
              <w:t>Primary visual identity and dominant website brand</w:t>
            </w:r>
          </w:p>
        </w:tc>
        <w:tc>
          <w:tcPr>
            <w:tcW w:type="dxa" w:w="2520"/>
            <w:vAlign w:val="center"/>
          </w:tcPr>
          <w:p>
            <w:r/>
            <w:r>
              <w:rPr>
                <w:rFonts w:ascii="Aptos" w:hAnsi="Aptos"/>
                <w:b w:val="0"/>
                <w:color w:val="000000"/>
                <w:sz w:val="19"/>
              </w:rPr>
              <w:t>Established</w:t>
            </w:r>
          </w:p>
        </w:tc>
      </w:tr>
      <w:tr>
        <w:tc>
          <w:tcPr>
            <w:tcW w:type="dxa" w:w="2520"/>
            <w:vAlign w:val="center"/>
          </w:tcPr>
          <w:p>
            <w:r/>
            <w:r>
              <w:rPr>
                <w:rFonts w:ascii="Aptos" w:hAnsi="Aptos"/>
                <w:b/>
                <w:color w:val="000000"/>
                <w:sz w:val="19"/>
              </w:rPr>
              <w:t>Bitstar Software Edge Agent™</w:t>
            </w:r>
          </w:p>
        </w:tc>
        <w:tc>
          <w:tcPr>
            <w:tcW w:type="dxa" w:w="2520"/>
            <w:vAlign w:val="center"/>
          </w:tcPr>
          <w:p>
            <w:r/>
            <w:r>
              <w:rPr>
                <w:rFonts w:ascii="Aptos" w:hAnsi="Aptos"/>
                <w:b w:val="0"/>
                <w:color w:val="000000"/>
                <w:sz w:val="19"/>
              </w:rPr>
              <w:t>Software edge component</w:t>
            </w:r>
          </w:p>
        </w:tc>
        <w:tc>
          <w:tcPr>
            <w:tcW w:type="dxa" w:w="2520"/>
            <w:vAlign w:val="center"/>
          </w:tcPr>
          <w:p>
            <w:r/>
            <w:r>
              <w:rPr>
                <w:rFonts w:ascii="Aptos" w:hAnsi="Aptos"/>
                <w:b w:val="0"/>
                <w:color w:val="000000"/>
                <w:sz w:val="19"/>
              </w:rPr>
              <w:t>Edge section and future product page</w:t>
            </w:r>
          </w:p>
        </w:tc>
        <w:tc>
          <w:tcPr>
            <w:tcW w:type="dxa" w:w="2520"/>
            <w:vAlign w:val="center"/>
          </w:tcPr>
          <w:p>
            <w:r/>
            <w:r>
              <w:rPr>
                <w:rFonts w:ascii="Aptos" w:hAnsi="Aptos"/>
                <w:b w:val="0"/>
                <w:color w:val="000000"/>
                <w:sz w:val="19"/>
              </w:rPr>
              <w:t>Established</w:t>
            </w:r>
          </w:p>
        </w:tc>
      </w:tr>
      <w:tr>
        <w:tc>
          <w:tcPr>
            <w:tcW w:type="dxa" w:w="2520"/>
            <w:vAlign w:val="center"/>
          </w:tcPr>
          <w:p>
            <w:r/>
            <w:r>
              <w:rPr>
                <w:rFonts w:ascii="Aptos" w:hAnsi="Aptos"/>
                <w:b/>
                <w:color w:val="000000"/>
                <w:sz w:val="19"/>
              </w:rPr>
              <w:t>Bitstar Hardware Edge Agent™</w:t>
            </w:r>
          </w:p>
        </w:tc>
        <w:tc>
          <w:tcPr>
            <w:tcW w:type="dxa" w:w="2520"/>
            <w:vAlign w:val="center"/>
          </w:tcPr>
          <w:p>
            <w:r/>
            <w:r>
              <w:rPr>
                <w:rFonts w:ascii="Aptos" w:hAnsi="Aptos"/>
                <w:b w:val="0"/>
                <w:color w:val="000000"/>
                <w:sz w:val="19"/>
              </w:rPr>
              <w:t>Hardware edge component</w:t>
            </w:r>
          </w:p>
        </w:tc>
        <w:tc>
          <w:tcPr>
            <w:tcW w:type="dxa" w:w="2520"/>
            <w:vAlign w:val="center"/>
          </w:tcPr>
          <w:p>
            <w:r/>
            <w:r>
              <w:rPr>
                <w:rFonts w:ascii="Aptos" w:hAnsi="Aptos"/>
                <w:b w:val="0"/>
                <w:color w:val="000000"/>
                <w:sz w:val="19"/>
              </w:rPr>
              <w:t>Reserved architecture and future product page</w:t>
            </w:r>
          </w:p>
        </w:tc>
        <w:tc>
          <w:tcPr>
            <w:tcW w:type="dxa" w:w="2520"/>
            <w:vAlign w:val="center"/>
          </w:tcPr>
          <w:p>
            <w:r/>
            <w:r>
              <w:rPr>
                <w:rFonts w:ascii="Aptos" w:hAnsi="Aptos"/>
                <w:b w:val="0"/>
                <w:color w:val="000000"/>
                <w:sz w:val="19"/>
              </w:rPr>
              <w:t>Architecture in progress</w:t>
            </w:r>
          </w:p>
        </w:tc>
      </w:tr>
    </w:tbl>
    <w:p/>
    <w:p>
      <w:pPr>
        <w:jc w:val="center"/>
      </w:pPr>
      <w:r>
        <w:drawing>
          <wp:inline xmlns:a="http://schemas.openxmlformats.org/drawingml/2006/main" xmlns:pic="http://schemas.openxmlformats.org/drawingml/2006/picture">
            <wp:extent cx="2743200" cy="906542"/>
            <wp:docPr id="2" name="Picture 2"/>
            <wp:cNvGraphicFramePr>
              <a:graphicFrameLocks noChangeAspect="1"/>
            </wp:cNvGraphicFramePr>
            <a:graphic>
              <a:graphicData uri="http://schemas.openxmlformats.org/drawingml/2006/picture">
                <pic:pic>
                  <pic:nvPicPr>
                    <pic:cNvPr id="0" name="Bitstar New Logo(20261001-094718).jpeg"/>
                    <pic:cNvPicPr/>
                  </pic:nvPicPr>
                  <pic:blipFill>
                    <a:blip r:embed="rId10"/>
                    <a:stretch>
                      <a:fillRect/>
                    </a:stretch>
                  </pic:blipFill>
                  <pic:spPr>
                    <a:xfrm>
                      <a:off x="0" y="0"/>
                      <a:ext cx="2743200" cy="906542"/>
                    </a:xfrm>
                    <a:prstGeom prst="rect"/>
                  </pic:spPr>
                </pic:pic>
              </a:graphicData>
            </a:graphic>
          </wp:inline>
        </w:drawing>
      </w:r>
    </w:p>
    <w:p>
      <w:pPr>
        <w:jc w:val="center"/>
      </w:pPr>
      <w:r>
        <w:drawing>
          <wp:inline xmlns:a="http://schemas.openxmlformats.org/drawingml/2006/main" xmlns:pic="http://schemas.openxmlformats.org/drawingml/2006/picture">
            <wp:extent cx="4389120" cy="1828423"/>
            <wp:docPr id="3" name="Picture 3"/>
            <wp:cNvGraphicFramePr>
              <a:graphicFrameLocks noChangeAspect="1"/>
            </wp:cNvGraphicFramePr>
            <a:graphic>
              <a:graphicData uri="http://schemas.openxmlformats.org/drawingml/2006/picture">
                <pic:pic>
                  <pic:nvPicPr>
                    <pic:cNvPr id="0" name="Bitstar SW Edge Agent-Logo - Black(1).png"/>
                    <pic:cNvPicPr/>
                  </pic:nvPicPr>
                  <pic:blipFill>
                    <a:blip r:embed="rId11"/>
                    <a:stretch>
                      <a:fillRect/>
                    </a:stretch>
                  </pic:blipFill>
                  <pic:spPr>
                    <a:xfrm>
                      <a:off x="0" y="0"/>
                      <a:ext cx="4389120" cy="1828423"/>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EAF3FF"/>
          </w:tcPr>
          <w:p>
            <w:r>
              <w:rPr>
                <w:b/>
                <w:color w:val="0B3D91"/>
                <w:sz w:val="21"/>
              </w:rPr>
              <w:t>BRAND RULE</w:t>
              <w:br/>
            </w:r>
            <w:r>
              <w:rPr>
                <w:sz w:val="20"/>
              </w:rPr>
              <w:t>The website should make ScoreBoard feel like a standalone international product/platform while clearly identifying it as a Bitstar® technology platform. The Bitstar® logo should not dominate the ScoreBoard hero; it belongs primarily in the corporate relationship and footer.</w:t>
            </w:r>
          </w:p>
        </w:tc>
      </w:tr>
    </w:tbl>
    <w:p>
      <w:pPr>
        <w:spacing w:after="40"/>
      </w:pPr>
    </w:p>
    <w:p>
      <w:pPr>
        <w:pStyle w:val="Heading1"/>
      </w:pPr>
      <w:r>
        <w:t>4. Product Positioning</w:t>
      </w:r>
    </w:p>
    <w:p>
      <w:pPr>
        <w:pStyle w:val="Heading2"/>
      </w:pPr>
      <w:r>
        <w:t>Primary proposition</w:t>
      </w:r>
    </w:p>
    <w:p>
      <w:r>
        <w:rPr>
          <w:b/>
        </w:rPr>
        <w:t>ScoreBoard Intelligence™ is the intelligence layer for AI infrastructure — turning fragmented infrastructure data into operational intelligence.</w:t>
      </w:r>
    </w:p>
    <w:p>
      <w:pPr>
        <w:pStyle w:val="Heading2"/>
      </w:pPr>
      <w:r>
        <w:t>Core narrative</w:t>
      </w:r>
    </w:p>
    <w:p>
      <w:r>
        <w:t>Infrastructure generates data. ScoreBoard generates intelligence.</w:t>
      </w:r>
    </w:p>
    <w:p>
      <w:pPr>
        <w:pStyle w:val="Heading2"/>
      </w:pPr>
      <w:r>
        <w:t>Core intelligence sequence</w:t>
      </w:r>
    </w:p>
    <w:p>
      <w:r>
        <w:t>Observe → Correlate → Understand → Predict → Optimize</w:t>
      </w:r>
    </w:p>
    <w:p>
      <w:pPr>
        <w:pStyle w:val="Heading2"/>
      </w:pPr>
      <w:r>
        <w:t>Important positioning boundary</w:t>
      </w:r>
    </w:p>
    <w:p>
      <w:r>
        <w:t>ScoreBoard is not positioned as a replacement for NVIDIA tools, storage tools, network tools, DCIM, cooling management, BMC/IPMI/Redfish or vendor monitoring systems. The website should consistently communicate that ScoreBoard works above and across existing infrastructure sources.</w:t>
      </w:r>
    </w:p>
    <w:p>
      <w:pPr>
        <w:pStyle w:val="Heading1"/>
      </w:pPr>
      <w:r>
        <w:t>5. Audience</w:t>
      </w:r>
    </w:p>
    <w:tbl>
      <w:tblPr>
        <w:tblW w:type="auto" w:w="0"/>
        <w:tblLook w:firstColumn="1" w:firstRow="1" w:lastColumn="0" w:lastRow="0" w:noHBand="0" w:noVBand="1" w:val="04A0"/>
      </w:tblPr>
      <w:tblGrid>
        <w:gridCol w:w="3360"/>
        <w:gridCol w:w="3360"/>
        <w:gridCol w:w="3360"/>
      </w:tblGrid>
      <w:tr>
        <w:tc>
          <w:tcPr>
            <w:tcW w:type="dxa" w:w="3360"/>
            <w:vAlign w:val="center"/>
            <w:shd w:fill="123C7A"/>
          </w:tcPr>
          <w:p>
            <w:r/>
            <w:r>
              <w:rPr>
                <w:rFonts w:ascii="Aptos" w:hAnsi="Aptos"/>
                <w:b/>
                <w:color w:val="FFFFFF"/>
                <w:sz w:val="19"/>
              </w:rPr>
              <w:t>Priority audience</w:t>
            </w:r>
          </w:p>
        </w:tc>
        <w:tc>
          <w:tcPr>
            <w:tcW w:type="dxa" w:w="3360"/>
            <w:vAlign w:val="center"/>
            <w:shd w:fill="123C7A"/>
          </w:tcPr>
          <w:p>
            <w:r/>
            <w:r>
              <w:rPr>
                <w:rFonts w:ascii="Aptos" w:hAnsi="Aptos"/>
                <w:b/>
                <w:color w:val="FFFFFF"/>
                <w:sz w:val="19"/>
              </w:rPr>
              <w:t>What they need to understand</w:t>
            </w:r>
          </w:p>
        </w:tc>
        <w:tc>
          <w:tcPr>
            <w:tcW w:type="dxa" w:w="3360"/>
            <w:vAlign w:val="center"/>
            <w:shd w:fill="123C7A"/>
          </w:tcPr>
          <w:p>
            <w:r/>
            <w:r>
              <w:rPr>
                <w:rFonts w:ascii="Aptos" w:hAnsi="Aptos"/>
                <w:b/>
                <w:color w:val="FFFFFF"/>
                <w:sz w:val="19"/>
              </w:rPr>
              <w:t>Website response</w:t>
            </w:r>
          </w:p>
        </w:tc>
      </w:tr>
      <w:tr>
        <w:tc>
          <w:tcPr>
            <w:tcW w:type="dxa" w:w="3360"/>
            <w:vAlign w:val="center"/>
          </w:tcPr>
          <w:p>
            <w:r/>
            <w:r>
              <w:rPr>
                <w:rFonts w:ascii="Aptos" w:hAnsi="Aptos"/>
                <w:b/>
                <w:color w:val="000000"/>
                <w:sz w:val="19"/>
              </w:rPr>
              <w:t>AI infrastructure architects / CTOs</w:t>
            </w:r>
          </w:p>
        </w:tc>
        <w:tc>
          <w:tcPr>
            <w:tcW w:type="dxa" w:w="3360"/>
            <w:vAlign w:val="center"/>
          </w:tcPr>
          <w:p>
            <w:r/>
            <w:r>
              <w:rPr>
                <w:rFonts w:ascii="Aptos" w:hAnsi="Aptos"/>
                <w:b w:val="0"/>
                <w:color w:val="000000"/>
                <w:sz w:val="19"/>
              </w:rPr>
              <w:t>Architecture, intelligence model, integration and technical credibility</w:t>
            </w:r>
          </w:p>
        </w:tc>
        <w:tc>
          <w:tcPr>
            <w:tcW w:type="dxa" w:w="3360"/>
            <w:vAlign w:val="center"/>
          </w:tcPr>
          <w:p>
            <w:r/>
            <w:r>
              <w:rPr>
                <w:rFonts w:ascii="Aptos" w:hAnsi="Aptos"/>
                <w:b w:val="0"/>
                <w:color w:val="000000"/>
                <w:sz w:val="19"/>
              </w:rPr>
              <w:t>Technology, Intelligence Layer, architecture and Edge</w:t>
            </w:r>
          </w:p>
        </w:tc>
      </w:tr>
      <w:tr>
        <w:tc>
          <w:tcPr>
            <w:tcW w:type="dxa" w:w="3360"/>
            <w:vAlign w:val="center"/>
          </w:tcPr>
          <w:p>
            <w:r/>
            <w:r>
              <w:rPr>
                <w:rFonts w:ascii="Aptos" w:hAnsi="Aptos"/>
                <w:b/>
                <w:color w:val="000000"/>
                <w:sz w:val="19"/>
              </w:rPr>
              <w:t>Data-center / AI Factory operators</w:t>
            </w:r>
          </w:p>
        </w:tc>
        <w:tc>
          <w:tcPr>
            <w:tcW w:type="dxa" w:w="3360"/>
            <w:vAlign w:val="center"/>
          </w:tcPr>
          <w:p>
            <w:r/>
            <w:r>
              <w:rPr>
                <w:rFonts w:ascii="Aptos" w:hAnsi="Aptos"/>
                <w:b w:val="0"/>
                <w:color w:val="000000"/>
                <w:sz w:val="19"/>
              </w:rPr>
              <w:t>Operational visibility, correlation, optimization and economics</w:t>
            </w:r>
          </w:p>
        </w:tc>
        <w:tc>
          <w:tcPr>
            <w:tcW w:type="dxa" w:w="3360"/>
            <w:vAlign w:val="center"/>
          </w:tcPr>
          <w:p>
            <w:r/>
            <w:r>
              <w:rPr>
                <w:rFonts w:ascii="Aptos" w:hAnsi="Aptos"/>
                <w:b w:val="0"/>
                <w:color w:val="000000"/>
                <w:sz w:val="19"/>
              </w:rPr>
              <w:t>AI Factory, intelligence loop and economics</w:t>
            </w:r>
          </w:p>
        </w:tc>
      </w:tr>
      <w:tr>
        <w:tc>
          <w:tcPr>
            <w:tcW w:type="dxa" w:w="3360"/>
            <w:vAlign w:val="center"/>
          </w:tcPr>
          <w:p>
            <w:r/>
            <w:r>
              <w:rPr>
                <w:rFonts w:ascii="Aptos" w:hAnsi="Aptos"/>
                <w:b/>
                <w:color w:val="000000"/>
                <w:sz w:val="19"/>
              </w:rPr>
              <w:t>OEMs / infrastructure vendors</w:t>
            </w:r>
          </w:p>
        </w:tc>
        <w:tc>
          <w:tcPr>
            <w:tcW w:type="dxa" w:w="3360"/>
            <w:vAlign w:val="center"/>
          </w:tcPr>
          <w:p>
            <w:r/>
            <w:r>
              <w:rPr>
                <w:rFonts w:ascii="Aptos" w:hAnsi="Aptos"/>
                <w:b w:val="0"/>
                <w:color w:val="000000"/>
                <w:sz w:val="19"/>
              </w:rPr>
              <w:t>Ecosystem role and complementarity</w:t>
            </w:r>
          </w:p>
        </w:tc>
        <w:tc>
          <w:tcPr>
            <w:tcW w:type="dxa" w:w="3360"/>
            <w:vAlign w:val="center"/>
          </w:tcPr>
          <w:p>
            <w:r/>
            <w:r>
              <w:rPr>
                <w:rFonts w:ascii="Aptos" w:hAnsi="Aptos"/>
                <w:b w:val="0"/>
                <w:color w:val="000000"/>
                <w:sz w:val="19"/>
              </w:rPr>
              <w:t>Ecosystem / integration story</w:t>
            </w:r>
          </w:p>
        </w:tc>
      </w:tr>
      <w:tr>
        <w:tc>
          <w:tcPr>
            <w:tcW w:type="dxa" w:w="3360"/>
            <w:vAlign w:val="center"/>
          </w:tcPr>
          <w:p>
            <w:r/>
            <w:r>
              <w:rPr>
                <w:rFonts w:ascii="Aptos" w:hAnsi="Aptos"/>
                <w:b/>
                <w:color w:val="000000"/>
                <w:sz w:val="19"/>
              </w:rPr>
              <w:t>Strategic partners</w:t>
            </w:r>
          </w:p>
        </w:tc>
        <w:tc>
          <w:tcPr>
            <w:tcW w:type="dxa" w:w="3360"/>
            <w:vAlign w:val="center"/>
          </w:tcPr>
          <w:p>
            <w:r/>
            <w:r>
              <w:rPr>
                <w:rFonts w:ascii="Aptos" w:hAnsi="Aptos"/>
                <w:b w:val="0"/>
                <w:color w:val="000000"/>
                <w:sz w:val="19"/>
              </w:rPr>
              <w:t>Where ScoreBoard fits and how edge intelligence evolves</w:t>
            </w:r>
          </w:p>
        </w:tc>
        <w:tc>
          <w:tcPr>
            <w:tcW w:type="dxa" w:w="3360"/>
            <w:vAlign w:val="center"/>
          </w:tcPr>
          <w:p>
            <w:r/>
            <w:r>
              <w:rPr>
                <w:rFonts w:ascii="Aptos" w:hAnsi="Aptos"/>
                <w:b w:val="0"/>
                <w:color w:val="000000"/>
                <w:sz w:val="19"/>
              </w:rPr>
              <w:t>Platform + Edge architecture</w:t>
            </w:r>
          </w:p>
        </w:tc>
      </w:tr>
      <w:tr>
        <w:tc>
          <w:tcPr>
            <w:tcW w:type="dxa" w:w="3360"/>
            <w:vAlign w:val="center"/>
          </w:tcPr>
          <w:p>
            <w:r/>
            <w:r>
              <w:rPr>
                <w:rFonts w:ascii="Aptos" w:hAnsi="Aptos"/>
                <w:b/>
                <w:color w:val="000000"/>
                <w:sz w:val="19"/>
              </w:rPr>
              <w:t>Enterprise AI customers</w:t>
            </w:r>
          </w:p>
        </w:tc>
        <w:tc>
          <w:tcPr>
            <w:tcW w:type="dxa" w:w="3360"/>
            <w:vAlign w:val="center"/>
          </w:tcPr>
          <w:p>
            <w:r/>
            <w:r>
              <w:rPr>
                <w:rFonts w:ascii="Aptos" w:hAnsi="Aptos"/>
                <w:b w:val="0"/>
                <w:color w:val="000000"/>
                <w:sz w:val="19"/>
              </w:rPr>
              <w:t>What problem is solved and what outcomes are possible</w:t>
            </w:r>
          </w:p>
        </w:tc>
        <w:tc>
          <w:tcPr>
            <w:tcW w:type="dxa" w:w="3360"/>
            <w:vAlign w:val="center"/>
          </w:tcPr>
          <w:p>
            <w:r/>
            <w:r>
              <w:rPr>
                <w:rFonts w:ascii="Aptos" w:hAnsi="Aptos"/>
                <w:b w:val="0"/>
                <w:color w:val="000000"/>
                <w:sz w:val="19"/>
              </w:rPr>
              <w:t>Home, platform, use cases and contact</w:t>
            </w:r>
          </w:p>
        </w:tc>
      </w:tr>
      <w:tr>
        <w:tc>
          <w:tcPr>
            <w:tcW w:type="dxa" w:w="3360"/>
            <w:vAlign w:val="center"/>
          </w:tcPr>
          <w:p>
            <w:r/>
            <w:r>
              <w:rPr>
                <w:rFonts w:ascii="Aptos" w:hAnsi="Aptos"/>
                <w:b/>
                <w:color w:val="000000"/>
                <w:sz w:val="19"/>
              </w:rPr>
              <w:t>Investors</w:t>
            </w:r>
          </w:p>
        </w:tc>
        <w:tc>
          <w:tcPr>
            <w:tcW w:type="dxa" w:w="3360"/>
            <w:vAlign w:val="center"/>
          </w:tcPr>
          <w:p>
            <w:r/>
            <w:r>
              <w:rPr>
                <w:rFonts w:ascii="Aptos" w:hAnsi="Aptos"/>
                <w:b w:val="0"/>
                <w:color w:val="000000"/>
                <w:sz w:val="19"/>
              </w:rPr>
              <w:t>Market positioning and technology direction</w:t>
            </w:r>
          </w:p>
        </w:tc>
        <w:tc>
          <w:tcPr>
            <w:tcW w:type="dxa" w:w="3360"/>
            <w:vAlign w:val="center"/>
          </w:tcPr>
          <w:p>
            <w:r/>
            <w:r>
              <w:rPr>
                <w:rFonts w:ascii="Aptos" w:hAnsi="Aptos"/>
                <w:b w:val="0"/>
                <w:color w:val="000000"/>
                <w:sz w:val="19"/>
              </w:rPr>
              <w:t>Public story without exposing confidential internal IP</w:t>
            </w:r>
          </w:p>
        </w:tc>
      </w:tr>
    </w:tbl>
    <w:p>
      <w:pPr>
        <w:pStyle w:val="Heading1"/>
      </w:pPr>
      <w:r>
        <w:t>6. Visual &amp; Interaction Direction</w:t>
      </w:r>
    </w:p>
    <w:p>
      <w:pPr>
        <w:pStyle w:val="Heading2"/>
      </w:pPr>
      <w:r>
        <w:t>Approved direction</w:t>
      </w:r>
    </w:p>
    <w:p>
      <w:r>
        <w:t>Hybrid: premium deep-tech + clean engineering. Dark immersive sections may be combined with lighter technical sections.</w:t>
      </w:r>
    </w:p>
    <w:p>
      <w:pPr>
        <w:pStyle w:val="ListBullet"/>
        <w:spacing w:after="40"/>
      </w:pPr>
      <w:r>
        <w:t>Dark, sophisticated, high-contrast opening and infrastructure visualizations.</w:t>
      </w:r>
    </w:p>
    <w:p>
      <w:pPr>
        <w:pStyle w:val="ListBullet"/>
        <w:spacing w:after="40"/>
      </w:pPr>
      <w:r>
        <w:t>Clean engineering diagrams and technical typography in explanatory sections.</w:t>
      </w:r>
    </w:p>
    <w:p>
      <w:pPr>
        <w:pStyle w:val="ListBullet"/>
        <w:spacing w:after="40"/>
      </w:pPr>
      <w:r>
        <w:t>Restrained cyan / blue / violet accents derived from the ScoreBoard visual identity.</w:t>
      </w:r>
    </w:p>
    <w:p>
      <w:pPr>
        <w:pStyle w:val="ListBullet"/>
        <w:spacing w:after="40"/>
      </w:pPr>
      <w:r>
        <w:t>Motion should communicate data, relationships, topology and state — not decorative effects.</w:t>
      </w:r>
    </w:p>
    <w:p>
      <w:pPr>
        <w:pStyle w:val="ListBullet"/>
        <w:spacing w:after="40"/>
      </w:pPr>
      <w:r>
        <w:t>Use real engineering concepts, topology, telemetry and dataflow as visual material.</w:t>
      </w:r>
    </w:p>
    <w:p>
      <w:pPr>
        <w:pStyle w:val="ListBullet"/>
        <w:spacing w:after="40"/>
      </w:pPr>
      <w:r>
        <w:t>Avoid generic AI imagery, humanoids, robots, brains, stock server rooms and meaningless glowing 3D objects.</w:t>
      </w:r>
    </w:p>
    <w:p>
      <w:pPr>
        <w:pStyle w:val="ListBullet"/>
        <w:spacing w:after="40"/>
      </w:pPr>
      <w:r>
        <w:t>No visual imitation of Modular.com; Modular is a reference for interaction quality and product storytelling, not a design template.</w:t>
      </w:r>
    </w:p>
    <w:p>
      <w:pPr>
        <w:pStyle w:val="Heading2"/>
      </w:pPr>
      <w:r>
        <w:t>Interaction philosophy</w:t>
      </w:r>
    </w:p>
    <w:p>
      <w:r>
        <w:t>The website should progressively reveal complexity. Interactions should explain the system and reinforce the product thesis. Animation must have semantic purpose: a signal moves because data moves; a node lights because a system is selected; correlations form because ScoreBoard is connecting signals.</w:t>
      </w:r>
    </w:p>
    <w:p>
      <w:pPr>
        <w:pStyle w:val="Heading1"/>
      </w:pPr>
      <w:r>
        <w:t>7. Website Information Architecture</w:t>
      </w:r>
    </w:p>
    <w:p>
      <w:r>
        <w:t>Initial navigation:</w:t>
      </w:r>
    </w:p>
    <w:p>
      <w:r>
        <w:rPr>
          <w:b/>
        </w:rPr>
        <w:t xml:space="preserve">Platform — </w:t>
      </w:r>
      <w:r>
        <w:t>ScoreBoard platform, intelligence layer and modules</w:t>
      </w:r>
    </w:p>
    <w:p>
      <w:r>
        <w:rPr>
          <w:b/>
        </w:rPr>
        <w:t xml:space="preserve">Intelligence — </w:t>
      </w:r>
      <w:r>
        <w:t>How signals become context, insight and action</w:t>
      </w:r>
    </w:p>
    <w:p>
      <w:r>
        <w:rPr>
          <w:b/>
        </w:rPr>
        <w:t xml:space="preserve">AI Factory — </w:t>
      </w:r>
      <w:r>
        <w:t>Infrastructure operations and economics</w:t>
      </w:r>
    </w:p>
    <w:p>
      <w:r>
        <w:rPr>
          <w:b/>
        </w:rPr>
        <w:t xml:space="preserve">Edge — </w:t>
      </w:r>
      <w:r>
        <w:t>Software Edge Agent™ and Hardware Edge Agent™</w:t>
      </w:r>
    </w:p>
    <w:p>
      <w:r>
        <w:rPr>
          <w:b/>
        </w:rPr>
        <w:t xml:space="preserve">Technology — </w:t>
      </w:r>
      <w:r>
        <w:t>Architecture, telemetry, correlation and integration</w:t>
      </w:r>
    </w:p>
    <w:p>
      <w:r>
        <w:rPr>
          <w:b/>
        </w:rPr>
        <w:t xml:space="preserve">Insights — </w:t>
      </w:r>
      <w:r>
        <w:t>Engineering, infrastructure and AI Factory thought leadership</w:t>
      </w:r>
    </w:p>
    <w:p>
      <w:r>
        <w:rPr>
          <w:b/>
        </w:rPr>
        <w:t xml:space="preserve">Contact — </w:t>
      </w:r>
      <w:r>
        <w:t>Sales, support, partnership and corporate contact</w:t>
      </w:r>
    </w:p>
    <w:p>
      <w:pPr>
        <w:pStyle w:val="Heading2"/>
      </w:pPr>
      <w:r>
        <w:t>Future / secondary pages</w:t>
      </w:r>
    </w:p>
    <w:p>
      <w:pPr>
        <w:pStyle w:val="ListBullet"/>
        <w:spacing w:after="40"/>
      </w:pPr>
      <w:r>
        <w:t>Deployment Intelligence</w:t>
      </w:r>
    </w:p>
    <w:p>
      <w:pPr>
        <w:pStyle w:val="ListBullet"/>
        <w:spacing w:after="40"/>
      </w:pPr>
      <w:r>
        <w:t>Infrastructure Optimization</w:t>
      </w:r>
    </w:p>
    <w:p>
      <w:pPr>
        <w:pStyle w:val="ListBullet"/>
        <w:spacing w:after="40"/>
      </w:pPr>
      <w:r>
        <w:t>Runtime Intelligence</w:t>
      </w:r>
    </w:p>
    <w:p>
      <w:pPr>
        <w:pStyle w:val="ListBullet"/>
        <w:spacing w:after="40"/>
      </w:pPr>
      <w:r>
        <w:t>Validation Intelligence</w:t>
      </w:r>
    </w:p>
    <w:p>
      <w:pPr>
        <w:pStyle w:val="ListBullet"/>
        <w:spacing w:after="40"/>
      </w:pPr>
      <w:r>
        <w:t>Software Edge Agent™</w:t>
      </w:r>
    </w:p>
    <w:p>
      <w:pPr>
        <w:pStyle w:val="ListBullet"/>
        <w:spacing w:after="40"/>
      </w:pPr>
      <w:r>
        <w:t>Hardware Edge Agent™</w:t>
      </w:r>
    </w:p>
    <w:p>
      <w:pPr>
        <w:pStyle w:val="ListBullet"/>
        <w:spacing w:after="40"/>
      </w:pPr>
      <w:r>
        <w:t>Architecture / Technology</w:t>
      </w:r>
    </w:p>
    <w:p>
      <w:pPr>
        <w:pStyle w:val="ListBullet"/>
        <w:spacing w:after="40"/>
      </w:pPr>
      <w:r>
        <w:t>ScoreBoard Insights articles and technical papers</w:t>
      </w:r>
    </w:p>
    <w:p>
      <w:pPr>
        <w:pStyle w:val="ListBullet"/>
        <w:spacing w:after="40"/>
      </w:pPr>
      <w:r>
        <w:t>Privacy / Terms / Licensing / Security</w:t>
      </w:r>
    </w:p>
    <w:p>
      <w:pPr>
        <w:pStyle w:val="Heading1"/>
      </w:pPr>
      <w:r>
        <w:t>8. Homepage Blueprint</w:t>
      </w:r>
    </w:p>
    <w:p>
      <w:r>
        <w:t>The homepage is the primary product narrative. The agreed sequence is: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23C7A"/>
          </w:tcPr>
          <w:p>
            <w:r/>
            <w:r>
              <w:rPr>
                <w:rFonts w:ascii="Aptos" w:hAnsi="Aptos"/>
                <w:b/>
                <w:color w:val="FFFFFF"/>
                <w:sz w:val="17"/>
              </w:rPr>
              <w:t>#</w:t>
            </w:r>
          </w:p>
        </w:tc>
        <w:tc>
          <w:tcPr>
            <w:tcW w:type="dxa" w:w="2016"/>
            <w:vAlign w:val="center"/>
            <w:shd w:fill="123C7A"/>
          </w:tcPr>
          <w:p>
            <w:r/>
            <w:r>
              <w:rPr>
                <w:rFonts w:ascii="Aptos" w:hAnsi="Aptos"/>
                <w:b/>
                <w:color w:val="FFFFFF"/>
                <w:sz w:val="17"/>
              </w:rPr>
              <w:t>Section</w:t>
            </w:r>
          </w:p>
        </w:tc>
        <w:tc>
          <w:tcPr>
            <w:tcW w:type="dxa" w:w="2016"/>
            <w:vAlign w:val="center"/>
            <w:shd w:fill="123C7A"/>
          </w:tcPr>
          <w:p>
            <w:r/>
            <w:r>
              <w:rPr>
                <w:rFonts w:ascii="Aptos" w:hAnsi="Aptos"/>
                <w:b/>
                <w:color w:val="FFFFFF"/>
                <w:sz w:val="17"/>
              </w:rPr>
              <w:t>Purpose / headline</w:t>
            </w:r>
          </w:p>
        </w:tc>
        <w:tc>
          <w:tcPr>
            <w:tcW w:type="dxa" w:w="2016"/>
            <w:vAlign w:val="center"/>
            <w:shd w:fill="123C7A"/>
          </w:tcPr>
          <w:p>
            <w:r/>
            <w:r>
              <w:rPr>
                <w:rFonts w:ascii="Aptos" w:hAnsi="Aptos"/>
                <w:b/>
                <w:color w:val="FFFFFF"/>
                <w:sz w:val="17"/>
              </w:rPr>
              <w:t>Visual / interaction</w:t>
            </w:r>
          </w:p>
        </w:tc>
        <w:tc>
          <w:tcPr>
            <w:tcW w:type="dxa" w:w="2016"/>
            <w:vAlign w:val="center"/>
            <w:shd w:fill="123C7A"/>
          </w:tcPr>
          <w:p>
            <w:r/>
            <w:r>
              <w:rPr>
                <w:rFonts w:ascii="Aptos" w:hAnsi="Aptos"/>
                <w:b/>
                <w:color w:val="FFFFFF"/>
                <w:sz w:val="17"/>
              </w:rPr>
              <w:t>CTA / behavior</w:t>
            </w:r>
          </w:p>
        </w:tc>
      </w:tr>
      <w:tr>
        <w:tc>
          <w:tcPr>
            <w:tcW w:type="dxa" w:w="2016"/>
            <w:vAlign w:val="center"/>
          </w:tcPr>
          <w:p>
            <w:r/>
            <w:r>
              <w:rPr>
                <w:rFonts w:ascii="Aptos" w:hAnsi="Aptos"/>
                <w:b/>
                <w:color w:val="000000"/>
                <w:sz w:val="16"/>
              </w:rPr>
              <w:t>01</w:t>
            </w:r>
          </w:p>
        </w:tc>
        <w:tc>
          <w:tcPr>
            <w:tcW w:type="dxa" w:w="2016"/>
            <w:vAlign w:val="center"/>
          </w:tcPr>
          <w:p>
            <w:r/>
            <w:r>
              <w:rPr>
                <w:rFonts w:ascii="Aptos" w:hAnsi="Aptos"/>
                <w:b/>
                <w:color w:val="000000"/>
                <w:sz w:val="16"/>
              </w:rPr>
              <w:t>Hero</w:t>
            </w:r>
          </w:p>
        </w:tc>
        <w:tc>
          <w:tcPr>
            <w:tcW w:type="dxa" w:w="2016"/>
            <w:vAlign w:val="center"/>
          </w:tcPr>
          <w:p>
            <w:r/>
            <w:r>
              <w:rPr>
                <w:rFonts w:ascii="Aptos" w:hAnsi="Aptos"/>
                <w:b w:val="0"/>
                <w:color w:val="000000"/>
                <w:sz w:val="16"/>
              </w:rPr>
              <w:t>Infrastructure generates data. ScoreBoard generates intelligence.</w:t>
            </w:r>
          </w:p>
        </w:tc>
        <w:tc>
          <w:tcPr>
            <w:tcW w:type="dxa" w:w="2016"/>
            <w:vAlign w:val="center"/>
          </w:tcPr>
          <w:p>
            <w:r/>
            <w:r>
              <w:rPr>
                <w:rFonts w:ascii="Aptos" w:hAnsi="Aptos"/>
                <w:b w:val="0"/>
                <w:color w:val="000000"/>
                <w:sz w:val="16"/>
              </w:rPr>
              <w:t>Dark, immersive infrastructure topology; signals initially fragmented and then converging.</w:t>
            </w:r>
          </w:p>
        </w:tc>
        <w:tc>
          <w:tcPr>
            <w:tcW w:type="dxa" w:w="2016"/>
            <w:vAlign w:val="center"/>
          </w:tcPr>
          <w:p>
            <w:r/>
            <w:r>
              <w:rPr>
                <w:rFonts w:ascii="Aptos" w:hAnsi="Aptos"/>
                <w:b w:val="0"/>
                <w:color w:val="000000"/>
                <w:sz w:val="16"/>
              </w:rPr>
              <w:t>Explore ScoreBoard / Talk to our team</w:t>
            </w:r>
          </w:p>
        </w:tc>
      </w:tr>
      <w:tr>
        <w:tc>
          <w:tcPr>
            <w:tcW w:type="dxa" w:w="2016"/>
            <w:vAlign w:val="center"/>
          </w:tcPr>
          <w:p>
            <w:r/>
            <w:r>
              <w:rPr>
                <w:rFonts w:ascii="Aptos" w:hAnsi="Aptos"/>
                <w:b/>
                <w:color w:val="000000"/>
                <w:sz w:val="16"/>
              </w:rPr>
              <w:t>02</w:t>
            </w:r>
          </w:p>
        </w:tc>
        <w:tc>
          <w:tcPr>
            <w:tcW w:type="dxa" w:w="2016"/>
            <w:vAlign w:val="center"/>
          </w:tcPr>
          <w:p>
            <w:r/>
            <w:r>
              <w:rPr>
                <w:rFonts w:ascii="Aptos" w:hAnsi="Aptos"/>
                <w:b/>
                <w:color w:val="000000"/>
                <w:sz w:val="16"/>
              </w:rPr>
              <w:t>The Fragmentation</w:t>
            </w:r>
          </w:p>
        </w:tc>
        <w:tc>
          <w:tcPr>
            <w:tcW w:type="dxa" w:w="2016"/>
            <w:vAlign w:val="center"/>
          </w:tcPr>
          <w:p>
            <w:r/>
            <w:r>
              <w:rPr>
                <w:rFonts w:ascii="Aptos" w:hAnsi="Aptos"/>
                <w:b w:val="0"/>
                <w:color w:val="000000"/>
                <w:sz w:val="16"/>
              </w:rPr>
              <w:t>The data exists. The context is missing.</w:t>
            </w:r>
          </w:p>
        </w:tc>
        <w:tc>
          <w:tcPr>
            <w:tcW w:type="dxa" w:w="2016"/>
            <w:vAlign w:val="center"/>
          </w:tcPr>
          <w:p>
            <w:r/>
            <w:r>
              <w:rPr>
                <w:rFonts w:ascii="Aptos" w:hAnsi="Aptos"/>
                <w:b w:val="0"/>
                <w:color w:val="000000"/>
                <w:sz w:val="16"/>
              </w:rPr>
              <w:t>Compute, storage, network, power/cooling and operations producing separate signals.</w:t>
            </w:r>
          </w:p>
        </w:tc>
        <w:tc>
          <w:tcPr>
            <w:tcW w:type="dxa" w:w="2016"/>
            <w:vAlign w:val="center"/>
          </w:tcPr>
          <w:p>
            <w:r/>
            <w:r>
              <w:rPr>
                <w:rFonts w:ascii="Aptos" w:hAnsi="Aptos"/>
                <w:b w:val="0"/>
                <w:color w:val="000000"/>
                <w:sz w:val="16"/>
              </w:rPr>
              <w:t>Scroll-driven reveal</w:t>
            </w:r>
          </w:p>
        </w:tc>
      </w:tr>
      <w:tr>
        <w:tc>
          <w:tcPr>
            <w:tcW w:type="dxa" w:w="2016"/>
            <w:vAlign w:val="center"/>
          </w:tcPr>
          <w:p>
            <w:r/>
            <w:r>
              <w:rPr>
                <w:rFonts w:ascii="Aptos" w:hAnsi="Aptos"/>
                <w:b/>
                <w:color w:val="000000"/>
                <w:sz w:val="16"/>
              </w:rPr>
              <w:t>03</w:t>
            </w:r>
          </w:p>
        </w:tc>
        <w:tc>
          <w:tcPr>
            <w:tcW w:type="dxa" w:w="2016"/>
            <w:vAlign w:val="center"/>
          </w:tcPr>
          <w:p>
            <w:r/>
            <w:r>
              <w:rPr>
                <w:rFonts w:ascii="Aptos" w:hAnsi="Aptos"/>
                <w:b/>
                <w:color w:val="000000"/>
                <w:sz w:val="16"/>
              </w:rPr>
              <w:t>Existing Tools</w:t>
            </w:r>
          </w:p>
        </w:tc>
        <w:tc>
          <w:tcPr>
            <w:tcW w:type="dxa" w:w="2016"/>
            <w:vAlign w:val="center"/>
          </w:tcPr>
          <w:p>
            <w:r/>
            <w:r>
              <w:rPr>
                <w:rFonts w:ascii="Aptos" w:hAnsi="Aptos"/>
                <w:b w:val="0"/>
                <w:color w:val="000000"/>
                <w:sz w:val="16"/>
              </w:rPr>
              <w:t>Your infrastructure already has intelligence. But it is distributed.</w:t>
            </w:r>
          </w:p>
        </w:tc>
        <w:tc>
          <w:tcPr>
            <w:tcW w:type="dxa" w:w="2016"/>
            <w:vAlign w:val="center"/>
          </w:tcPr>
          <w:p>
            <w:r/>
            <w:r>
              <w:rPr>
                <w:rFonts w:ascii="Aptos" w:hAnsi="Aptos"/>
                <w:b w:val="0"/>
                <w:color w:val="000000"/>
                <w:sz w:val="16"/>
              </w:rPr>
              <w:t>Existing tool/system categories feeding separate streams.</w:t>
            </w:r>
          </w:p>
        </w:tc>
        <w:tc>
          <w:tcPr>
            <w:tcW w:type="dxa" w:w="2016"/>
            <w:vAlign w:val="center"/>
          </w:tcPr>
          <w:p>
            <w:r/>
            <w:r>
              <w:rPr>
                <w:rFonts w:ascii="Aptos" w:hAnsi="Aptos"/>
                <w:b w:val="0"/>
                <w:color w:val="000000"/>
                <w:sz w:val="16"/>
              </w:rPr>
              <w:t>Show complementarity, not replacement</w:t>
            </w:r>
          </w:p>
        </w:tc>
      </w:tr>
      <w:tr>
        <w:tc>
          <w:tcPr>
            <w:tcW w:type="dxa" w:w="2016"/>
            <w:vAlign w:val="center"/>
          </w:tcPr>
          <w:p>
            <w:r/>
            <w:r>
              <w:rPr>
                <w:rFonts w:ascii="Aptos" w:hAnsi="Aptos"/>
                <w:b/>
                <w:color w:val="000000"/>
                <w:sz w:val="16"/>
              </w:rPr>
              <w:t>04</w:t>
            </w:r>
          </w:p>
        </w:tc>
        <w:tc>
          <w:tcPr>
            <w:tcW w:type="dxa" w:w="2016"/>
            <w:vAlign w:val="center"/>
          </w:tcPr>
          <w:p>
            <w:r/>
            <w:r>
              <w:rPr>
                <w:rFonts w:ascii="Aptos" w:hAnsi="Aptos"/>
                <w:b/>
                <w:color w:val="000000"/>
                <w:sz w:val="16"/>
              </w:rPr>
              <w:t>The Intelligence Layer</w:t>
            </w:r>
          </w:p>
        </w:tc>
        <w:tc>
          <w:tcPr>
            <w:tcW w:type="dxa" w:w="2016"/>
            <w:vAlign w:val="center"/>
          </w:tcPr>
          <w:p>
            <w:r/>
            <w:r>
              <w:rPr>
                <w:rFonts w:ascii="Aptos" w:hAnsi="Aptos"/>
                <w:b w:val="0"/>
                <w:color w:val="000000"/>
                <w:sz w:val="16"/>
              </w:rPr>
              <w:t>Meet the Intelligence Layer.</w:t>
            </w:r>
          </w:p>
        </w:tc>
        <w:tc>
          <w:tcPr>
            <w:tcW w:type="dxa" w:w="2016"/>
            <w:vAlign w:val="center"/>
          </w:tcPr>
          <w:p>
            <w:r/>
            <w:r>
              <w:rPr>
                <w:rFonts w:ascii="Aptos" w:hAnsi="Aptos"/>
                <w:b w:val="0"/>
                <w:color w:val="000000"/>
                <w:sz w:val="16"/>
              </w:rPr>
              <w:t>ScoreBoard sits above and across infrastructure sources.</w:t>
            </w:r>
          </w:p>
        </w:tc>
        <w:tc>
          <w:tcPr>
            <w:tcW w:type="dxa" w:w="2016"/>
            <w:vAlign w:val="center"/>
          </w:tcPr>
          <w:p>
            <w:r/>
            <w:r>
              <w:rPr>
                <w:rFonts w:ascii="Aptos" w:hAnsi="Aptos"/>
                <w:b w:val="0"/>
                <w:color w:val="000000"/>
                <w:sz w:val="16"/>
              </w:rPr>
              <w:t>Explore the Intelligence Layer</w:t>
            </w:r>
          </w:p>
        </w:tc>
      </w:tr>
      <w:tr>
        <w:tc>
          <w:tcPr>
            <w:tcW w:type="dxa" w:w="2016"/>
            <w:vAlign w:val="center"/>
          </w:tcPr>
          <w:p>
            <w:r/>
            <w:r>
              <w:rPr>
                <w:rFonts w:ascii="Aptos" w:hAnsi="Aptos"/>
                <w:b/>
                <w:color w:val="000000"/>
                <w:sz w:val="16"/>
              </w:rPr>
              <w:t>05</w:t>
            </w:r>
          </w:p>
        </w:tc>
        <w:tc>
          <w:tcPr>
            <w:tcW w:type="dxa" w:w="2016"/>
            <w:vAlign w:val="center"/>
          </w:tcPr>
          <w:p>
            <w:r/>
            <w:r>
              <w:rPr>
                <w:rFonts w:ascii="Aptos" w:hAnsi="Aptos"/>
                <w:b/>
                <w:color w:val="000000"/>
                <w:sz w:val="16"/>
              </w:rPr>
              <w:t>Intelligence Loop</w:t>
            </w:r>
          </w:p>
        </w:tc>
        <w:tc>
          <w:tcPr>
            <w:tcW w:type="dxa" w:w="2016"/>
            <w:vAlign w:val="center"/>
          </w:tcPr>
          <w:p>
            <w:r/>
            <w:r>
              <w:rPr>
                <w:rFonts w:ascii="Aptos" w:hAnsi="Aptos"/>
                <w:b w:val="0"/>
                <w:color w:val="000000"/>
                <w:sz w:val="16"/>
              </w:rPr>
              <w:t>Observe → Correlate → Understand → Predict → Optimize</w:t>
            </w:r>
          </w:p>
        </w:tc>
        <w:tc>
          <w:tcPr>
            <w:tcW w:type="dxa" w:w="2016"/>
            <w:vAlign w:val="center"/>
          </w:tcPr>
          <w:p>
            <w:r/>
            <w:r>
              <w:rPr>
                <w:rFonts w:ascii="Aptos" w:hAnsi="Aptos"/>
                <w:b w:val="0"/>
                <w:color w:val="000000"/>
                <w:sz w:val="16"/>
              </w:rPr>
              <w:t>Interactive loop with infrastructure response on hover/click.</w:t>
            </w:r>
          </w:p>
        </w:tc>
        <w:tc>
          <w:tcPr>
            <w:tcW w:type="dxa" w:w="2016"/>
            <w:vAlign w:val="center"/>
          </w:tcPr>
          <w:p>
            <w:r/>
            <w:r>
              <w:rPr>
                <w:rFonts w:ascii="Aptos" w:hAnsi="Aptos"/>
                <w:b w:val="0"/>
                <w:color w:val="000000"/>
                <w:sz w:val="16"/>
              </w:rPr>
              <w:t>Explore each stage</w:t>
            </w:r>
          </w:p>
        </w:tc>
      </w:tr>
      <w:tr>
        <w:tc>
          <w:tcPr>
            <w:tcW w:type="dxa" w:w="2016"/>
            <w:vAlign w:val="center"/>
          </w:tcPr>
          <w:p>
            <w:r/>
            <w:r>
              <w:rPr>
                <w:rFonts w:ascii="Aptos" w:hAnsi="Aptos"/>
                <w:b/>
                <w:color w:val="000000"/>
                <w:sz w:val="16"/>
              </w:rPr>
              <w:t>06</w:t>
            </w:r>
          </w:p>
        </w:tc>
        <w:tc>
          <w:tcPr>
            <w:tcW w:type="dxa" w:w="2016"/>
            <w:vAlign w:val="center"/>
          </w:tcPr>
          <w:p>
            <w:r/>
            <w:r>
              <w:rPr>
                <w:rFonts w:ascii="Aptos" w:hAnsi="Aptos"/>
                <w:b/>
                <w:color w:val="000000"/>
                <w:sz w:val="16"/>
              </w:rPr>
              <w:t>What ScoreBoard Understands</w:t>
            </w:r>
          </w:p>
        </w:tc>
        <w:tc>
          <w:tcPr>
            <w:tcW w:type="dxa" w:w="2016"/>
            <w:vAlign w:val="center"/>
          </w:tcPr>
          <w:p>
            <w:r/>
            <w:r>
              <w:rPr>
                <w:rFonts w:ascii="Aptos" w:hAnsi="Aptos"/>
                <w:b w:val="0"/>
                <w:color w:val="000000"/>
                <w:sz w:val="16"/>
              </w:rPr>
              <w:t>One platform, multiple infrastructure domains.</w:t>
            </w:r>
          </w:p>
        </w:tc>
        <w:tc>
          <w:tcPr>
            <w:tcW w:type="dxa" w:w="2016"/>
            <w:vAlign w:val="center"/>
          </w:tcPr>
          <w:p>
            <w:r/>
            <w:r>
              <w:rPr>
                <w:rFonts w:ascii="Aptos" w:hAnsi="Aptos"/>
                <w:b w:val="0"/>
                <w:color w:val="000000"/>
                <w:sz w:val="16"/>
              </w:rPr>
              <w:t>Interactive compute/data/network/facility/operations model.</w:t>
            </w:r>
          </w:p>
        </w:tc>
        <w:tc>
          <w:tcPr>
            <w:tcW w:type="dxa" w:w="2016"/>
            <w:vAlign w:val="center"/>
          </w:tcPr>
          <w:p>
            <w:r/>
            <w:r>
              <w:rPr>
                <w:rFonts w:ascii="Aptos" w:hAnsi="Aptos"/>
                <w:b w:val="0"/>
                <w:color w:val="000000"/>
                <w:sz w:val="16"/>
              </w:rPr>
              <w:t>Domain exploration</w:t>
            </w:r>
          </w:p>
        </w:tc>
      </w:tr>
      <w:tr>
        <w:tc>
          <w:tcPr>
            <w:tcW w:type="dxa" w:w="2016"/>
            <w:vAlign w:val="center"/>
          </w:tcPr>
          <w:p>
            <w:r/>
            <w:r>
              <w:rPr>
                <w:rFonts w:ascii="Aptos" w:hAnsi="Aptos"/>
                <w:b/>
                <w:color w:val="000000"/>
                <w:sz w:val="16"/>
              </w:rPr>
              <w:t>07</w:t>
            </w:r>
          </w:p>
        </w:tc>
        <w:tc>
          <w:tcPr>
            <w:tcW w:type="dxa" w:w="2016"/>
            <w:vAlign w:val="center"/>
          </w:tcPr>
          <w:p>
            <w:r/>
            <w:r>
              <w:rPr>
                <w:rFonts w:ascii="Aptos" w:hAnsi="Aptos"/>
                <w:b/>
                <w:color w:val="000000"/>
                <w:sz w:val="16"/>
              </w:rPr>
              <w:t>Signals to Answers</w:t>
            </w:r>
          </w:p>
        </w:tc>
        <w:tc>
          <w:tcPr>
            <w:tcW w:type="dxa" w:w="2016"/>
            <w:vAlign w:val="center"/>
          </w:tcPr>
          <w:p>
            <w:r/>
            <w:r>
              <w:rPr>
                <w:rFonts w:ascii="Aptos" w:hAnsi="Aptos"/>
                <w:b w:val="0"/>
                <w:color w:val="000000"/>
                <w:sz w:val="16"/>
              </w:rPr>
              <w:t>From telemetry to context to intelligence.</w:t>
            </w:r>
          </w:p>
        </w:tc>
        <w:tc>
          <w:tcPr>
            <w:tcW w:type="dxa" w:w="2016"/>
            <w:vAlign w:val="center"/>
          </w:tcPr>
          <w:p>
            <w:r/>
            <w:r>
              <w:rPr>
                <w:rFonts w:ascii="Aptos" w:hAnsi="Aptos"/>
                <w:b w:val="0"/>
                <w:color w:val="000000"/>
                <w:sz w:val="16"/>
              </w:rPr>
              <w:t>Example signals converge into a correlated infrastructure insight.</w:t>
            </w:r>
          </w:p>
        </w:tc>
        <w:tc>
          <w:tcPr>
            <w:tcW w:type="dxa" w:w="2016"/>
            <w:vAlign w:val="center"/>
          </w:tcPr>
          <w:p>
            <w:r/>
            <w:r>
              <w:rPr>
                <w:rFonts w:ascii="Aptos" w:hAnsi="Aptos"/>
                <w:b w:val="0"/>
                <w:color w:val="000000"/>
                <w:sz w:val="16"/>
              </w:rPr>
              <w:t>Interactive scenario</w:t>
            </w:r>
          </w:p>
        </w:tc>
      </w:tr>
      <w:tr>
        <w:tc>
          <w:tcPr>
            <w:tcW w:type="dxa" w:w="2016"/>
            <w:vAlign w:val="center"/>
          </w:tcPr>
          <w:p>
            <w:r/>
            <w:r>
              <w:rPr>
                <w:rFonts w:ascii="Aptos" w:hAnsi="Aptos"/>
                <w:b/>
                <w:color w:val="000000"/>
                <w:sz w:val="16"/>
              </w:rPr>
              <w:t>08</w:t>
            </w:r>
          </w:p>
        </w:tc>
        <w:tc>
          <w:tcPr>
            <w:tcW w:type="dxa" w:w="2016"/>
            <w:vAlign w:val="center"/>
          </w:tcPr>
          <w:p>
            <w:r/>
            <w:r>
              <w:rPr>
                <w:rFonts w:ascii="Aptos" w:hAnsi="Aptos"/>
                <w:b/>
                <w:color w:val="000000"/>
                <w:sz w:val="16"/>
              </w:rPr>
              <w:t>Intelligence Modules</w:t>
            </w:r>
          </w:p>
        </w:tc>
        <w:tc>
          <w:tcPr>
            <w:tcW w:type="dxa" w:w="2016"/>
            <w:vAlign w:val="center"/>
          </w:tcPr>
          <w:p>
            <w:r/>
            <w:r>
              <w:rPr>
                <w:rFonts w:ascii="Aptos" w:hAnsi="Aptos"/>
                <w:b w:val="0"/>
                <w:color w:val="000000"/>
                <w:sz w:val="16"/>
              </w:rPr>
              <w:t>A modular intelligence platform.</w:t>
            </w:r>
          </w:p>
        </w:tc>
        <w:tc>
          <w:tcPr>
            <w:tcW w:type="dxa" w:w="2016"/>
            <w:vAlign w:val="center"/>
          </w:tcPr>
          <w:p>
            <w:r/>
            <w:r>
              <w:rPr>
                <w:rFonts w:ascii="Aptos" w:hAnsi="Aptos"/>
                <w:b w:val="0"/>
                <w:color w:val="000000"/>
                <w:sz w:val="16"/>
              </w:rPr>
              <w:t>Deployment, Optimization, Runtime and Validation modules.</w:t>
            </w:r>
          </w:p>
        </w:tc>
        <w:tc>
          <w:tcPr>
            <w:tcW w:type="dxa" w:w="2016"/>
            <w:vAlign w:val="center"/>
          </w:tcPr>
          <w:p>
            <w:r/>
            <w:r>
              <w:rPr>
                <w:rFonts w:ascii="Aptos" w:hAnsi="Aptos"/>
                <w:b w:val="0"/>
                <w:color w:val="000000"/>
                <w:sz w:val="16"/>
              </w:rPr>
              <w:t>Explore modules</w:t>
            </w:r>
          </w:p>
        </w:tc>
      </w:tr>
      <w:tr>
        <w:tc>
          <w:tcPr>
            <w:tcW w:type="dxa" w:w="2016"/>
            <w:vAlign w:val="center"/>
          </w:tcPr>
          <w:p>
            <w:r/>
            <w:r>
              <w:rPr>
                <w:rFonts w:ascii="Aptos" w:hAnsi="Aptos"/>
                <w:b/>
                <w:color w:val="000000"/>
                <w:sz w:val="16"/>
              </w:rPr>
              <w:t>09</w:t>
            </w:r>
          </w:p>
        </w:tc>
        <w:tc>
          <w:tcPr>
            <w:tcW w:type="dxa" w:w="2016"/>
            <w:vAlign w:val="center"/>
          </w:tcPr>
          <w:p>
            <w:r/>
            <w:r>
              <w:rPr>
                <w:rFonts w:ascii="Aptos" w:hAnsi="Aptos"/>
                <w:b/>
                <w:color w:val="000000"/>
                <w:sz w:val="16"/>
              </w:rPr>
              <w:t>AI Factory</w:t>
            </w:r>
          </w:p>
        </w:tc>
        <w:tc>
          <w:tcPr>
            <w:tcW w:type="dxa" w:w="2016"/>
            <w:vAlign w:val="center"/>
          </w:tcPr>
          <w:p>
            <w:r/>
            <w:r>
              <w:rPr>
                <w:rFonts w:ascii="Aptos" w:hAnsi="Aptos"/>
                <w:b w:val="0"/>
                <w:color w:val="000000"/>
                <w:sz w:val="16"/>
              </w:rPr>
              <w:t>An AI Factory is more than compute.</w:t>
            </w:r>
          </w:p>
        </w:tc>
        <w:tc>
          <w:tcPr>
            <w:tcW w:type="dxa" w:w="2016"/>
            <w:vAlign w:val="center"/>
          </w:tcPr>
          <w:p>
            <w:r/>
            <w:r>
              <w:rPr>
                <w:rFonts w:ascii="Aptos" w:hAnsi="Aptos"/>
                <w:b w:val="0"/>
                <w:color w:val="000000"/>
                <w:sz w:val="16"/>
              </w:rPr>
              <w:t>Compute, data, execution, power, cooling and economics.</w:t>
            </w:r>
          </w:p>
        </w:tc>
        <w:tc>
          <w:tcPr>
            <w:tcW w:type="dxa" w:w="2016"/>
            <w:vAlign w:val="center"/>
          </w:tcPr>
          <w:p>
            <w:r/>
            <w:r>
              <w:rPr>
                <w:rFonts w:ascii="Aptos" w:hAnsi="Aptos"/>
                <w:b w:val="0"/>
                <w:color w:val="000000"/>
                <w:sz w:val="16"/>
              </w:rPr>
              <w:t>Explore AI Factory</w:t>
            </w:r>
          </w:p>
        </w:tc>
      </w:tr>
      <w:tr>
        <w:tc>
          <w:tcPr>
            <w:tcW w:type="dxa" w:w="2016"/>
            <w:vAlign w:val="center"/>
          </w:tcPr>
          <w:p>
            <w:r/>
            <w:r>
              <w:rPr>
                <w:rFonts w:ascii="Aptos" w:hAnsi="Aptos"/>
                <w:b/>
                <w:color w:val="000000"/>
                <w:sz w:val="16"/>
              </w:rPr>
              <w:t>10</w:t>
            </w:r>
          </w:p>
        </w:tc>
        <w:tc>
          <w:tcPr>
            <w:tcW w:type="dxa" w:w="2016"/>
            <w:vAlign w:val="center"/>
          </w:tcPr>
          <w:p>
            <w:r/>
            <w:r>
              <w:rPr>
                <w:rFonts w:ascii="Aptos" w:hAnsi="Aptos"/>
                <w:b/>
                <w:color w:val="000000"/>
                <w:sz w:val="16"/>
              </w:rPr>
              <w:t>Infrastructure Economics</w:t>
            </w:r>
          </w:p>
        </w:tc>
        <w:tc>
          <w:tcPr>
            <w:tcW w:type="dxa" w:w="2016"/>
            <w:vAlign w:val="center"/>
          </w:tcPr>
          <w:p>
            <w:r/>
            <w:r>
              <w:rPr>
                <w:rFonts w:ascii="Aptos" w:hAnsi="Aptos"/>
                <w:b w:val="0"/>
                <w:color w:val="000000"/>
                <w:sz w:val="16"/>
              </w:rPr>
              <w:t>Measure the infrastructure behind every token.</w:t>
            </w:r>
          </w:p>
        </w:tc>
        <w:tc>
          <w:tcPr>
            <w:tcW w:type="dxa" w:w="2016"/>
            <w:vAlign w:val="center"/>
          </w:tcPr>
          <w:p>
            <w:r/>
            <w:r>
              <w:rPr>
                <w:rFonts w:ascii="Aptos" w:hAnsi="Aptos"/>
                <w:b w:val="0"/>
                <w:color w:val="000000"/>
                <w:sz w:val="16"/>
              </w:rPr>
              <w:t>Cost/token, tokens/watt, performance/dollar, utilization and related concepts.</w:t>
            </w:r>
          </w:p>
        </w:tc>
        <w:tc>
          <w:tcPr>
            <w:tcW w:type="dxa" w:w="2016"/>
            <w:vAlign w:val="center"/>
          </w:tcPr>
          <w:p>
            <w:r/>
            <w:r>
              <w:rPr>
                <w:rFonts w:ascii="Aptos" w:hAnsi="Aptos"/>
                <w:b w:val="0"/>
                <w:color w:val="000000"/>
                <w:sz w:val="16"/>
              </w:rPr>
              <w:t>Explore economics</w:t>
            </w:r>
          </w:p>
        </w:tc>
      </w:tr>
      <w:tr>
        <w:tc>
          <w:tcPr>
            <w:tcW w:type="dxa" w:w="2016"/>
            <w:vAlign w:val="center"/>
          </w:tcPr>
          <w:p>
            <w:r/>
            <w:r>
              <w:rPr>
                <w:rFonts w:ascii="Aptos" w:hAnsi="Aptos"/>
                <w:b/>
                <w:color w:val="000000"/>
                <w:sz w:val="16"/>
              </w:rPr>
              <w:t>11</w:t>
            </w:r>
          </w:p>
        </w:tc>
        <w:tc>
          <w:tcPr>
            <w:tcW w:type="dxa" w:w="2016"/>
            <w:vAlign w:val="center"/>
          </w:tcPr>
          <w:p>
            <w:r/>
            <w:r>
              <w:rPr>
                <w:rFonts w:ascii="Aptos" w:hAnsi="Aptos"/>
                <w:b/>
                <w:color w:val="000000"/>
                <w:sz w:val="16"/>
              </w:rPr>
              <w:t>Edge Intelligence</w:t>
            </w:r>
          </w:p>
        </w:tc>
        <w:tc>
          <w:tcPr>
            <w:tcW w:type="dxa" w:w="2016"/>
            <w:vAlign w:val="center"/>
          </w:tcPr>
          <w:p>
            <w:r/>
            <w:r>
              <w:rPr>
                <w:rFonts w:ascii="Aptos" w:hAnsi="Aptos"/>
                <w:b w:val="0"/>
                <w:color w:val="000000"/>
                <w:sz w:val="16"/>
              </w:rPr>
              <w:t>Intelligence shouldn't stop at the dashboard.</w:t>
            </w:r>
          </w:p>
        </w:tc>
        <w:tc>
          <w:tcPr>
            <w:tcW w:type="dxa" w:w="2016"/>
            <w:vAlign w:val="center"/>
          </w:tcPr>
          <w:p>
            <w:r/>
            <w:r>
              <w:rPr>
                <w:rFonts w:ascii="Aptos" w:hAnsi="Aptos"/>
                <w:b w:val="0"/>
                <w:color w:val="000000"/>
                <w:sz w:val="16"/>
              </w:rPr>
              <w:t>Software Edge Agent™ and Hardware Edge Agent™.</w:t>
            </w:r>
          </w:p>
        </w:tc>
        <w:tc>
          <w:tcPr>
            <w:tcW w:type="dxa" w:w="2016"/>
            <w:vAlign w:val="center"/>
          </w:tcPr>
          <w:p>
            <w:r/>
            <w:r>
              <w:rPr>
                <w:rFonts w:ascii="Aptos" w:hAnsi="Aptos"/>
                <w:b w:val="0"/>
                <w:color w:val="000000"/>
                <w:sz w:val="16"/>
              </w:rPr>
              <w:t>Explore Edge</w:t>
            </w:r>
          </w:p>
        </w:tc>
      </w:tr>
      <w:tr>
        <w:tc>
          <w:tcPr>
            <w:tcW w:type="dxa" w:w="2016"/>
            <w:vAlign w:val="center"/>
          </w:tcPr>
          <w:p>
            <w:r/>
            <w:r>
              <w:rPr>
                <w:rFonts w:ascii="Aptos" w:hAnsi="Aptos"/>
                <w:b/>
                <w:color w:val="000000"/>
                <w:sz w:val="16"/>
              </w:rPr>
              <w:t>12</w:t>
            </w:r>
          </w:p>
        </w:tc>
        <w:tc>
          <w:tcPr>
            <w:tcW w:type="dxa" w:w="2016"/>
            <w:vAlign w:val="center"/>
          </w:tcPr>
          <w:p>
            <w:r/>
            <w:r>
              <w:rPr>
                <w:rFonts w:ascii="Aptos" w:hAnsi="Aptos"/>
                <w:b/>
                <w:color w:val="000000"/>
                <w:sz w:val="16"/>
              </w:rPr>
              <w:t>Technology</w:t>
            </w:r>
          </w:p>
        </w:tc>
        <w:tc>
          <w:tcPr>
            <w:tcW w:type="dxa" w:w="2016"/>
            <w:vAlign w:val="center"/>
          </w:tcPr>
          <w:p>
            <w:r/>
            <w:r>
              <w:rPr>
                <w:rFonts w:ascii="Aptos" w:hAnsi="Aptos"/>
                <w:b w:val="0"/>
                <w:color w:val="000000"/>
                <w:sz w:val="16"/>
              </w:rPr>
              <w:t>From telemetry to intelligence.</w:t>
            </w:r>
          </w:p>
        </w:tc>
        <w:tc>
          <w:tcPr>
            <w:tcW w:type="dxa" w:w="2016"/>
            <w:vAlign w:val="center"/>
          </w:tcPr>
          <w:p>
            <w:r/>
            <w:r>
              <w:rPr>
                <w:rFonts w:ascii="Aptos" w:hAnsi="Aptos"/>
                <w:b w:val="0"/>
                <w:color w:val="000000"/>
                <w:sz w:val="16"/>
              </w:rPr>
              <w:t>Data → Telemetry → Normalization → Context → Correlation → Intelligence → Decision → Action.</w:t>
            </w:r>
          </w:p>
        </w:tc>
        <w:tc>
          <w:tcPr>
            <w:tcW w:type="dxa" w:w="2016"/>
            <w:vAlign w:val="center"/>
          </w:tcPr>
          <w:p>
            <w:r/>
            <w:r>
              <w:rPr>
                <w:rFonts w:ascii="Aptos" w:hAnsi="Aptos"/>
                <w:b w:val="0"/>
                <w:color w:val="000000"/>
                <w:sz w:val="16"/>
              </w:rPr>
              <w:t>Explore architecture</w:t>
            </w:r>
          </w:p>
        </w:tc>
      </w:tr>
      <w:tr>
        <w:tc>
          <w:tcPr>
            <w:tcW w:type="dxa" w:w="2016"/>
            <w:vAlign w:val="center"/>
          </w:tcPr>
          <w:p>
            <w:r/>
            <w:r>
              <w:rPr>
                <w:rFonts w:ascii="Aptos" w:hAnsi="Aptos"/>
                <w:b/>
                <w:color w:val="000000"/>
                <w:sz w:val="16"/>
              </w:rPr>
              <w:t>13</w:t>
            </w:r>
          </w:p>
        </w:tc>
        <w:tc>
          <w:tcPr>
            <w:tcW w:type="dxa" w:w="2016"/>
            <w:vAlign w:val="center"/>
          </w:tcPr>
          <w:p>
            <w:r/>
            <w:r>
              <w:rPr>
                <w:rFonts w:ascii="Aptos" w:hAnsi="Aptos"/>
                <w:b/>
                <w:color w:val="000000"/>
                <w:sz w:val="16"/>
              </w:rPr>
              <w:t>Ecosystem</w:t>
            </w:r>
          </w:p>
        </w:tc>
        <w:tc>
          <w:tcPr>
            <w:tcW w:type="dxa" w:w="2016"/>
            <w:vAlign w:val="center"/>
          </w:tcPr>
          <w:p>
            <w:r/>
            <w:r>
              <w:rPr>
                <w:rFonts w:ascii="Aptos" w:hAnsi="Aptos"/>
                <w:b w:val="0"/>
                <w:color w:val="000000"/>
                <w:sz w:val="16"/>
              </w:rPr>
              <w:t>One intelligence layer. Many infrastructure sources.</w:t>
            </w:r>
          </w:p>
        </w:tc>
        <w:tc>
          <w:tcPr>
            <w:tcW w:type="dxa" w:w="2016"/>
            <w:vAlign w:val="center"/>
          </w:tcPr>
          <w:p>
            <w:r/>
            <w:r>
              <w:rPr>
                <w:rFonts w:ascii="Aptos" w:hAnsi="Aptos"/>
                <w:b w:val="0"/>
                <w:color w:val="000000"/>
                <w:sz w:val="16"/>
              </w:rPr>
              <w:t>Compute, storage, network, memory, power/cooling, DCIM, BMC/Redfish and vendor outputs.</w:t>
            </w:r>
          </w:p>
        </w:tc>
        <w:tc>
          <w:tcPr>
            <w:tcW w:type="dxa" w:w="2016"/>
            <w:vAlign w:val="center"/>
          </w:tcPr>
          <w:p>
            <w:r/>
            <w:r>
              <w:rPr>
                <w:rFonts w:ascii="Aptos" w:hAnsi="Aptos"/>
                <w:b w:val="0"/>
                <w:color w:val="000000"/>
                <w:sz w:val="16"/>
              </w:rPr>
              <w:t>Technology / integration</w:t>
            </w:r>
          </w:p>
        </w:tc>
      </w:tr>
      <w:tr>
        <w:tc>
          <w:tcPr>
            <w:tcW w:type="dxa" w:w="2016"/>
            <w:vAlign w:val="center"/>
          </w:tcPr>
          <w:p>
            <w:r/>
            <w:r>
              <w:rPr>
                <w:rFonts w:ascii="Aptos" w:hAnsi="Aptos"/>
                <w:b/>
                <w:color w:val="000000"/>
                <w:sz w:val="16"/>
              </w:rPr>
              <w:t>14</w:t>
            </w:r>
          </w:p>
        </w:tc>
        <w:tc>
          <w:tcPr>
            <w:tcW w:type="dxa" w:w="2016"/>
            <w:vAlign w:val="center"/>
          </w:tcPr>
          <w:p>
            <w:r/>
            <w:r>
              <w:rPr>
                <w:rFonts w:ascii="Aptos" w:hAnsi="Aptos"/>
                <w:b/>
                <w:color w:val="000000"/>
                <w:sz w:val="16"/>
              </w:rPr>
              <w:t>Insights</w:t>
            </w:r>
          </w:p>
        </w:tc>
        <w:tc>
          <w:tcPr>
            <w:tcW w:type="dxa" w:w="2016"/>
            <w:vAlign w:val="center"/>
          </w:tcPr>
          <w:p>
            <w:r/>
            <w:r>
              <w:rPr>
                <w:rFonts w:ascii="Aptos" w:hAnsi="Aptos"/>
                <w:b w:val="0"/>
                <w:color w:val="000000"/>
                <w:sz w:val="16"/>
              </w:rPr>
              <w:t>ScoreBoard Insights</w:t>
            </w:r>
          </w:p>
        </w:tc>
        <w:tc>
          <w:tcPr>
            <w:tcW w:type="dxa" w:w="2016"/>
            <w:vAlign w:val="center"/>
          </w:tcPr>
          <w:p>
            <w:r/>
            <w:r>
              <w:rPr>
                <w:rFonts w:ascii="Aptos" w:hAnsi="Aptos"/>
                <w:b w:val="0"/>
                <w:color w:val="000000"/>
                <w:sz w:val="16"/>
              </w:rPr>
              <w:t>Engineering and infrastructure thought leadership.</w:t>
            </w:r>
          </w:p>
        </w:tc>
        <w:tc>
          <w:tcPr>
            <w:tcW w:type="dxa" w:w="2016"/>
            <w:vAlign w:val="center"/>
          </w:tcPr>
          <w:p>
            <w:r/>
            <w:r>
              <w:rPr>
                <w:rFonts w:ascii="Aptos" w:hAnsi="Aptos"/>
                <w:b w:val="0"/>
                <w:color w:val="000000"/>
                <w:sz w:val="16"/>
              </w:rPr>
              <w:t>Read Insights</w:t>
            </w:r>
          </w:p>
        </w:tc>
      </w:tr>
      <w:tr>
        <w:tc>
          <w:tcPr>
            <w:tcW w:type="dxa" w:w="2016"/>
            <w:vAlign w:val="center"/>
          </w:tcPr>
          <w:p>
            <w:r/>
            <w:r>
              <w:rPr>
                <w:rFonts w:ascii="Aptos" w:hAnsi="Aptos"/>
                <w:b/>
                <w:color w:val="000000"/>
                <w:sz w:val="16"/>
              </w:rPr>
              <w:t>15</w:t>
            </w:r>
          </w:p>
        </w:tc>
        <w:tc>
          <w:tcPr>
            <w:tcW w:type="dxa" w:w="2016"/>
            <w:vAlign w:val="center"/>
          </w:tcPr>
          <w:p>
            <w:r/>
            <w:r>
              <w:rPr>
                <w:rFonts w:ascii="Aptos" w:hAnsi="Aptos"/>
                <w:b/>
                <w:color w:val="000000"/>
                <w:sz w:val="16"/>
              </w:rPr>
              <w:t>Final CTA</w:t>
            </w:r>
          </w:p>
        </w:tc>
        <w:tc>
          <w:tcPr>
            <w:tcW w:type="dxa" w:w="2016"/>
            <w:vAlign w:val="center"/>
          </w:tcPr>
          <w:p>
            <w:r/>
            <w:r>
              <w:rPr>
                <w:rFonts w:ascii="Aptos" w:hAnsi="Aptos"/>
                <w:b w:val="0"/>
                <w:color w:val="000000"/>
                <w:sz w:val="16"/>
              </w:rPr>
              <w:t>Ready to see your infrastructure differently?</w:t>
            </w:r>
          </w:p>
        </w:tc>
        <w:tc>
          <w:tcPr>
            <w:tcW w:type="dxa" w:w="2016"/>
            <w:vAlign w:val="center"/>
          </w:tcPr>
          <w:p>
            <w:r/>
            <w:r>
              <w:rPr>
                <w:rFonts w:ascii="Aptos" w:hAnsi="Aptos"/>
                <w:b w:val="0"/>
                <w:color w:val="000000"/>
                <w:sz w:val="16"/>
              </w:rPr>
              <w:t>Subtle animated infrastructure topology.</w:t>
            </w:r>
          </w:p>
        </w:tc>
        <w:tc>
          <w:tcPr>
            <w:tcW w:type="dxa" w:w="2016"/>
            <w:vAlign w:val="center"/>
          </w:tcPr>
          <w:p>
            <w:r/>
            <w:r>
              <w:rPr>
                <w:rFonts w:ascii="Aptos" w:hAnsi="Aptos"/>
                <w:b w:val="0"/>
                <w:color w:val="000000"/>
                <w:sz w:val="16"/>
              </w:rPr>
              <w:t>Explore ScoreBoard / Talk to our team</w:t>
            </w:r>
          </w:p>
        </w:tc>
      </w:tr>
      <w:tr>
        <w:tc>
          <w:tcPr>
            <w:tcW w:type="dxa" w:w="2016"/>
            <w:vAlign w:val="center"/>
          </w:tcPr>
          <w:p>
            <w:r/>
            <w:r>
              <w:rPr>
                <w:rFonts w:ascii="Aptos" w:hAnsi="Aptos"/>
                <w:b/>
                <w:color w:val="000000"/>
                <w:sz w:val="16"/>
              </w:rPr>
              <w:t>16</w:t>
            </w:r>
          </w:p>
        </w:tc>
        <w:tc>
          <w:tcPr>
            <w:tcW w:type="dxa" w:w="2016"/>
            <w:vAlign w:val="center"/>
          </w:tcPr>
          <w:p>
            <w:r/>
            <w:r>
              <w:rPr>
                <w:rFonts w:ascii="Aptos" w:hAnsi="Aptos"/>
                <w:b/>
                <w:color w:val="000000"/>
                <w:sz w:val="16"/>
              </w:rPr>
              <w:t>Footer</w:t>
            </w:r>
          </w:p>
        </w:tc>
        <w:tc>
          <w:tcPr>
            <w:tcW w:type="dxa" w:w="2016"/>
            <w:vAlign w:val="center"/>
          </w:tcPr>
          <w:p>
            <w:r/>
            <w:r>
              <w:rPr>
                <w:rFonts w:ascii="Aptos" w:hAnsi="Aptos"/>
                <w:b w:val="0"/>
                <w:color w:val="000000"/>
                <w:sz w:val="16"/>
              </w:rPr>
              <w:t>ScoreBoard Intelligence™ by Bitstar®</w:t>
            </w:r>
          </w:p>
        </w:tc>
        <w:tc>
          <w:tcPr>
            <w:tcW w:type="dxa" w:w="2016"/>
            <w:vAlign w:val="center"/>
          </w:tcPr>
          <w:p>
            <w:r/>
            <w:r>
              <w:rPr>
                <w:rFonts w:ascii="Aptos" w:hAnsi="Aptos"/>
                <w:b w:val="0"/>
                <w:color w:val="000000"/>
                <w:sz w:val="16"/>
              </w:rPr>
              <w:t>Corporate identity, locations, contact and legal links.</w:t>
            </w:r>
          </w:p>
        </w:tc>
        <w:tc>
          <w:tcPr>
            <w:tcW w:type="dxa" w:w="2016"/>
            <w:vAlign w:val="center"/>
          </w:tcPr>
          <w:p>
            <w:r/>
            <w:r>
              <w:rPr>
                <w:rFonts w:ascii="Aptos" w:hAnsi="Aptos"/>
                <w:b w:val="0"/>
                <w:color w:val="000000"/>
                <w:sz w:val="16"/>
              </w:rPr>
              <w:t>Contact / legal</w:t>
            </w:r>
          </w:p>
        </w:tc>
      </w:tr>
    </w:tbl>
    <w:p>
      <w:pPr>
        <w:pStyle w:val="Heading1"/>
      </w:pPr>
      <w:r>
        <w:t>9. Platform Module Framework</w:t>
      </w:r>
    </w:p>
    <w:p>
      <w:r>
        <w:rPr>
          <w:b/>
        </w:rPr>
        <w:t xml:space="preserve">Deployment Intelligence — </w:t>
      </w:r>
      <w:r>
        <w:t>Understand what is deployed, configured and connected.</w:t>
      </w:r>
    </w:p>
    <w:p>
      <w:r>
        <w:rPr>
          <w:b/>
        </w:rPr>
        <w:t xml:space="preserve">Infrastructure Optimization — </w:t>
      </w:r>
      <w:r>
        <w:t>Identify bottlenecks, inefficiencies and opportunities.</w:t>
      </w:r>
    </w:p>
    <w:p>
      <w:r>
        <w:rPr>
          <w:b/>
        </w:rPr>
        <w:t xml:space="preserve">Runtime Intelligence — </w:t>
      </w:r>
      <w:r>
        <w:t>Understand infrastructure behavior as workloads execute.</w:t>
      </w:r>
    </w:p>
    <w:p>
      <w:r>
        <w:rPr>
          <w:b/>
        </w:rPr>
        <w:t xml:space="preserve">Validation Intelligence — </w:t>
      </w:r>
      <w:r>
        <w:t>Validate infrastructure performance against expected behavior.</w:t>
      </w:r>
    </w:p>
    <w:p>
      <w:pPr>
        <w:pStyle w:val="Heading1"/>
      </w:pPr>
      <w:r>
        <w:t>10. Edge Architecture</w:t>
      </w:r>
    </w:p>
    <w:tbl>
      <w:tblPr>
        <w:tblW w:type="auto" w:w="0"/>
        <w:jc w:val="center"/>
        <w:tblLook w:firstColumn="1" w:firstRow="1" w:lastColumn="0" w:lastRow="0" w:noHBand="0" w:noVBand="1" w:val="04A0"/>
      </w:tblPr>
      <w:tblGrid>
        <w:gridCol w:w="10080"/>
      </w:tblGrid>
      <w:tr>
        <w:tc>
          <w:tcPr>
            <w:tcW w:type="dxa" w:w="10080"/>
            <w:shd w:fill="EAF3FF"/>
          </w:tcPr>
          <w:p>
            <w:r>
              <w:rPr>
                <w:b/>
                <w:color w:val="0B3D91"/>
                <w:sz w:val="21"/>
              </w:rPr>
              <w:t>DESIGN DECISION</w:t>
              <w:br/>
            </w:r>
            <w:r>
              <w:rPr>
                <w:sz w:val="20"/>
              </w:rPr>
              <w:t>The website architecture reserves a first-class place for both Software Edge Agent™ and Hardware Edge Agent™ from V1. The Hardware Edge Agent™ may initially be presented as an architecture-in-development and must not be described as commercially available until that status is true.</w:t>
            </w:r>
          </w:p>
        </w:tc>
      </w:tr>
    </w:tbl>
    <w:p>
      <w:pPr>
        <w:spacing w:after="40"/>
      </w:pPr>
    </w:p>
    <w:p>
      <w:r>
        <w:t>Conceptual relationship:</w:t>
      </w:r>
    </w:p>
    <w:p>
      <w:pPr>
        <w:jc w:val="center"/>
      </w:pPr>
      <w:r>
        <w:rPr>
          <w:b/>
          <w:sz w:val="24"/>
        </w:rPr>
        <w:t>ScoreBoard Intelligence™</w:t>
        <w:br/>
        <w:t xml:space="preserve">          ↓</w:t>
        <w:br/>
        <w:t>Software Edge Agent™     Hardware Edge Agent™</w:t>
        <w:br/>
        <w:t xml:space="preserve">          ↓                    ↓</w:t>
        <w:br/>
        <w:t xml:space="preserve">                 AI Infrastructure</w:t>
      </w:r>
    </w:p>
    <w:p>
      <w:r>
        <w:t>The Hardware Edge Agent™ identity should ultimately belong to the Edge Agent family rather than becoming an unrelated fourth brand. Its final visual identity should be designed after the team's hardware architecture has matured sufficiently to provide the correct product cues.</w:t>
      </w:r>
    </w:p>
    <w:p>
      <w:pPr>
        <w:pStyle w:val="Heading1"/>
      </w:pPr>
      <w:r>
        <w:t>11. Public vs Internal Technology Boundary</w:t>
      </w:r>
    </w:p>
    <w:tbl>
      <w:tblPr>
        <w:tblW w:type="auto" w:w="0"/>
        <w:tblLook w:firstColumn="1" w:firstRow="1" w:lastColumn="0" w:lastRow="0" w:noHBand="0" w:noVBand="1" w:val="04A0"/>
      </w:tblPr>
      <w:tblGrid>
        <w:gridCol w:w="3360"/>
        <w:gridCol w:w="3360"/>
        <w:gridCol w:w="3360"/>
      </w:tblGrid>
      <w:tr>
        <w:tc>
          <w:tcPr>
            <w:tcW w:type="dxa" w:w="3360"/>
            <w:vAlign w:val="center"/>
            <w:shd w:fill="123C7A"/>
          </w:tcPr>
          <w:p>
            <w:r/>
            <w:r>
              <w:rPr>
                <w:rFonts w:ascii="Aptos" w:hAnsi="Aptos"/>
                <w:b/>
                <w:color w:val="FFFFFF"/>
                <w:sz w:val="19"/>
              </w:rPr>
              <w:t>Topic</w:t>
            </w:r>
          </w:p>
        </w:tc>
        <w:tc>
          <w:tcPr>
            <w:tcW w:type="dxa" w:w="3360"/>
            <w:vAlign w:val="center"/>
            <w:shd w:fill="123C7A"/>
          </w:tcPr>
          <w:p>
            <w:r/>
            <w:r>
              <w:rPr>
                <w:rFonts w:ascii="Aptos" w:hAnsi="Aptos"/>
                <w:b/>
                <w:color w:val="FFFFFF"/>
                <w:sz w:val="19"/>
              </w:rPr>
              <w:t>Website treatment</w:t>
            </w:r>
          </w:p>
        </w:tc>
        <w:tc>
          <w:tcPr>
            <w:tcW w:type="dxa" w:w="3360"/>
            <w:vAlign w:val="center"/>
            <w:shd w:fill="123C7A"/>
          </w:tcPr>
          <w:p>
            <w:r/>
            <w:r>
              <w:rPr>
                <w:rFonts w:ascii="Aptos" w:hAnsi="Aptos"/>
                <w:b/>
                <w:color w:val="FFFFFF"/>
                <w:sz w:val="19"/>
              </w:rPr>
              <w:t>Rule</w:t>
            </w:r>
          </w:p>
        </w:tc>
      </w:tr>
      <w:tr>
        <w:tc>
          <w:tcPr>
            <w:tcW w:type="dxa" w:w="3360"/>
            <w:vAlign w:val="center"/>
          </w:tcPr>
          <w:p>
            <w:r/>
            <w:r>
              <w:rPr>
                <w:rFonts w:ascii="Aptos" w:hAnsi="Aptos"/>
                <w:b/>
                <w:color w:val="000000"/>
                <w:sz w:val="19"/>
              </w:rPr>
              <w:t>ScoreBoard Intelligence™</w:t>
            </w:r>
          </w:p>
        </w:tc>
        <w:tc>
          <w:tcPr>
            <w:tcW w:type="dxa" w:w="3360"/>
            <w:vAlign w:val="center"/>
          </w:tcPr>
          <w:p>
            <w:r/>
            <w:r>
              <w:rPr>
                <w:rFonts w:ascii="Aptos" w:hAnsi="Aptos"/>
                <w:b w:val="0"/>
                <w:color w:val="000000"/>
                <w:sz w:val="19"/>
              </w:rPr>
              <w:t>Public</w:t>
            </w:r>
          </w:p>
        </w:tc>
        <w:tc>
          <w:tcPr>
            <w:tcW w:type="dxa" w:w="3360"/>
            <w:vAlign w:val="center"/>
          </w:tcPr>
          <w:p>
            <w:r/>
            <w:r>
              <w:rPr>
                <w:rFonts w:ascii="Aptos" w:hAnsi="Aptos"/>
                <w:b w:val="0"/>
                <w:color w:val="000000"/>
                <w:sz w:val="19"/>
              </w:rPr>
              <w:t>Core market-facing product/platform</w:t>
            </w:r>
          </w:p>
        </w:tc>
      </w:tr>
      <w:tr>
        <w:tc>
          <w:tcPr>
            <w:tcW w:type="dxa" w:w="3360"/>
            <w:vAlign w:val="center"/>
          </w:tcPr>
          <w:p>
            <w:r/>
            <w:r>
              <w:rPr>
                <w:rFonts w:ascii="Aptos" w:hAnsi="Aptos"/>
                <w:b/>
                <w:color w:val="000000"/>
                <w:sz w:val="19"/>
              </w:rPr>
              <w:t>Software Edge Agent™</w:t>
            </w:r>
          </w:p>
        </w:tc>
        <w:tc>
          <w:tcPr>
            <w:tcW w:type="dxa" w:w="3360"/>
            <w:vAlign w:val="center"/>
          </w:tcPr>
          <w:p>
            <w:r/>
            <w:r>
              <w:rPr>
                <w:rFonts w:ascii="Aptos" w:hAnsi="Aptos"/>
                <w:b w:val="0"/>
                <w:color w:val="000000"/>
                <w:sz w:val="19"/>
              </w:rPr>
              <w:t>Public</w:t>
            </w:r>
          </w:p>
        </w:tc>
        <w:tc>
          <w:tcPr>
            <w:tcW w:type="dxa" w:w="3360"/>
            <w:vAlign w:val="center"/>
          </w:tcPr>
          <w:p>
            <w:r/>
            <w:r>
              <w:rPr>
                <w:rFonts w:ascii="Aptos" w:hAnsi="Aptos"/>
                <w:b w:val="0"/>
                <w:color w:val="000000"/>
                <w:sz w:val="19"/>
              </w:rPr>
              <w:t>Public product/component story</w:t>
            </w:r>
          </w:p>
        </w:tc>
      </w:tr>
      <w:tr>
        <w:tc>
          <w:tcPr>
            <w:tcW w:type="dxa" w:w="3360"/>
            <w:vAlign w:val="center"/>
          </w:tcPr>
          <w:p>
            <w:r/>
            <w:r>
              <w:rPr>
                <w:rFonts w:ascii="Aptos" w:hAnsi="Aptos"/>
                <w:b/>
                <w:color w:val="000000"/>
                <w:sz w:val="19"/>
              </w:rPr>
              <w:t>Hardware Edge Agent™</w:t>
            </w:r>
          </w:p>
        </w:tc>
        <w:tc>
          <w:tcPr>
            <w:tcW w:type="dxa" w:w="3360"/>
            <w:vAlign w:val="center"/>
          </w:tcPr>
          <w:p>
            <w:r/>
            <w:r>
              <w:rPr>
                <w:rFonts w:ascii="Aptos" w:hAnsi="Aptos"/>
                <w:b w:val="0"/>
                <w:color w:val="000000"/>
                <w:sz w:val="19"/>
              </w:rPr>
              <w:t>Public when appropriate</w:t>
            </w:r>
          </w:p>
        </w:tc>
        <w:tc>
          <w:tcPr>
            <w:tcW w:type="dxa" w:w="3360"/>
            <w:vAlign w:val="center"/>
          </w:tcPr>
          <w:p>
            <w:r/>
            <w:r>
              <w:rPr>
                <w:rFonts w:ascii="Aptos" w:hAnsi="Aptos"/>
                <w:b w:val="0"/>
                <w:color w:val="000000"/>
                <w:sz w:val="19"/>
              </w:rPr>
              <w:t>Architecture may be discussed; commercial status must be accurate</w:t>
            </w:r>
          </w:p>
        </w:tc>
      </w:tr>
      <w:tr>
        <w:tc>
          <w:tcPr>
            <w:tcW w:type="dxa" w:w="3360"/>
            <w:vAlign w:val="center"/>
          </w:tcPr>
          <w:p>
            <w:r/>
            <w:r>
              <w:rPr>
                <w:rFonts w:ascii="Aptos" w:hAnsi="Aptos"/>
                <w:b/>
                <w:color w:val="000000"/>
                <w:sz w:val="19"/>
              </w:rPr>
              <w:t>DXP / Data Execution Platform</w:t>
            </w:r>
          </w:p>
        </w:tc>
        <w:tc>
          <w:tcPr>
            <w:tcW w:type="dxa" w:w="3360"/>
            <w:vAlign w:val="center"/>
          </w:tcPr>
          <w:p>
            <w:r/>
            <w:r>
              <w:rPr>
                <w:rFonts w:ascii="Aptos" w:hAnsi="Aptos"/>
                <w:b w:val="0"/>
                <w:color w:val="000000"/>
                <w:sz w:val="19"/>
              </w:rPr>
              <w:t>Internal</w:t>
            </w:r>
          </w:p>
        </w:tc>
        <w:tc>
          <w:tcPr>
            <w:tcW w:type="dxa" w:w="3360"/>
            <w:vAlign w:val="center"/>
          </w:tcPr>
          <w:p>
            <w:r/>
            <w:r>
              <w:rPr>
                <w:rFonts w:ascii="Aptos" w:hAnsi="Aptos"/>
                <w:b w:val="0"/>
                <w:color w:val="000000"/>
                <w:sz w:val="19"/>
              </w:rPr>
              <w:t>Do not expose as the underlying proprietary architecture</w:t>
            </w:r>
          </w:p>
        </w:tc>
      </w:tr>
      <w:tr>
        <w:tc>
          <w:tcPr>
            <w:tcW w:type="dxa" w:w="3360"/>
            <w:vAlign w:val="center"/>
          </w:tcPr>
          <w:p>
            <w:r/>
            <w:r>
              <w:rPr>
                <w:rFonts w:ascii="Aptos" w:hAnsi="Aptos"/>
                <w:b/>
                <w:color w:val="000000"/>
                <w:sz w:val="19"/>
              </w:rPr>
              <w:t>AI Infrastructure Knowledge Core (AIKC)</w:t>
            </w:r>
          </w:p>
        </w:tc>
        <w:tc>
          <w:tcPr>
            <w:tcW w:type="dxa" w:w="3360"/>
            <w:vAlign w:val="center"/>
          </w:tcPr>
          <w:p>
            <w:r/>
            <w:r>
              <w:rPr>
                <w:rFonts w:ascii="Aptos" w:hAnsi="Aptos"/>
                <w:b w:val="0"/>
                <w:color w:val="000000"/>
                <w:sz w:val="19"/>
              </w:rPr>
              <w:t>Internal</w:t>
            </w:r>
          </w:p>
        </w:tc>
        <w:tc>
          <w:tcPr>
            <w:tcW w:type="dxa" w:w="3360"/>
            <w:vAlign w:val="center"/>
          </w:tcPr>
          <w:p>
            <w:r/>
            <w:r>
              <w:rPr>
                <w:rFonts w:ascii="Aptos" w:hAnsi="Aptos"/>
                <w:b w:val="0"/>
                <w:color w:val="000000"/>
                <w:sz w:val="19"/>
              </w:rPr>
              <w:t>Do not discuss externally</w:t>
            </w:r>
          </w:p>
        </w:tc>
      </w:tr>
      <w:tr>
        <w:tc>
          <w:tcPr>
            <w:tcW w:type="dxa" w:w="3360"/>
            <w:vAlign w:val="center"/>
          </w:tcPr>
          <w:p>
            <w:r/>
            <w:r>
              <w:rPr>
                <w:rFonts w:ascii="Aptos" w:hAnsi="Aptos"/>
                <w:b/>
                <w:color w:val="000000"/>
                <w:sz w:val="19"/>
              </w:rPr>
              <w:t>Detailed proprietary algorithms / implementation</w:t>
            </w:r>
          </w:p>
        </w:tc>
        <w:tc>
          <w:tcPr>
            <w:tcW w:type="dxa" w:w="3360"/>
            <w:vAlign w:val="center"/>
          </w:tcPr>
          <w:p>
            <w:r/>
            <w:r>
              <w:rPr>
                <w:rFonts w:ascii="Aptos" w:hAnsi="Aptos"/>
                <w:b w:val="0"/>
                <w:color w:val="000000"/>
                <w:sz w:val="19"/>
              </w:rPr>
              <w:t>Internal</w:t>
            </w:r>
          </w:p>
        </w:tc>
        <w:tc>
          <w:tcPr>
            <w:tcW w:type="dxa" w:w="3360"/>
            <w:vAlign w:val="center"/>
          </w:tcPr>
          <w:p>
            <w:r/>
            <w:r>
              <w:rPr>
                <w:rFonts w:ascii="Aptos" w:hAnsi="Aptos"/>
                <w:b w:val="0"/>
                <w:color w:val="000000"/>
                <w:sz w:val="19"/>
              </w:rPr>
              <w:t>Publish only after explicit approval</w:t>
            </w:r>
          </w:p>
        </w:tc>
      </w:tr>
    </w:tbl>
    <w:p>
      <w:pPr>
        <w:pStyle w:val="Heading1"/>
      </w:pPr>
      <w:r>
        <w:t>12. Content &amp; Messaging Discipline</w:t>
      </w:r>
    </w:p>
    <w:p>
      <w:pPr>
        <w:pStyle w:val="ListBullet"/>
        <w:spacing w:after="40"/>
      </w:pPr>
      <w:r>
        <w:t>Use precise engineering language. Avoid generic AI hype.</w:t>
      </w:r>
    </w:p>
    <w:p>
      <w:pPr>
        <w:pStyle w:val="ListBullet"/>
        <w:spacing w:after="40"/>
      </w:pPr>
      <w:r>
        <w:t>Do not claim capabilities that are not implemented or validated.</w:t>
      </w:r>
    </w:p>
    <w:p>
      <w:pPr>
        <w:pStyle w:val="ListBullet"/>
        <w:spacing w:after="40"/>
      </w:pPr>
      <w:r>
        <w:t>Clearly distinguish current V1 capability, roadmap capability and architectural direction.</w:t>
      </w:r>
    </w:p>
    <w:p>
      <w:pPr>
        <w:pStyle w:val="ListBullet"/>
        <w:spacing w:after="40"/>
      </w:pPr>
      <w:r>
        <w:t>Prefer showing how a system works over making broad marketing claims.</w:t>
      </w:r>
    </w:p>
    <w:p>
      <w:pPr>
        <w:pStyle w:val="ListBullet"/>
        <w:spacing w:after="40"/>
      </w:pPr>
      <w:r>
        <w:t>Use short, strong statements followed by technical explanation.</w:t>
      </w:r>
    </w:p>
    <w:p>
      <w:pPr>
        <w:pStyle w:val="ListBullet"/>
        <w:spacing w:after="40"/>
      </w:pPr>
      <w:r>
        <w:t>Do not reveal confidential partner information, internal product names, internal IP or unapproved customer data.</w:t>
      </w:r>
    </w:p>
    <w:p>
      <w:pPr>
        <w:pStyle w:val="ListBullet"/>
        <w:spacing w:after="40"/>
      </w:pPr>
      <w:r>
        <w:t>Use the ™ marks consistently for ScoreBoard Intelligence™ and Bitstar Software Edge Agent™. Use Bitstar® for the registered Bitstar company name.</w:t>
      </w:r>
    </w:p>
    <w:p>
      <w:pPr>
        <w:pStyle w:val="ListBullet"/>
        <w:spacing w:after="40"/>
      </w:pPr>
      <w:r>
        <w:t>The website should remain understandable to executives while offering enough technical depth for architects.</w:t>
      </w:r>
    </w:p>
    <w:p>
      <w:pPr>
        <w:pStyle w:val="Heading1"/>
      </w:pPr>
      <w:r>
        <w:t>13. Corporate / Contact Layer</w:t>
      </w:r>
    </w:p>
    <w:p>
      <w:r>
        <w:t>The ScoreBoard website remains a standalone product experience, but its corporate ownership and contact information are explicit in the footer and contact page.</w:t>
      </w:r>
    </w:p>
    <w:tbl>
      <w:tblPr>
        <w:tblW w:type="auto" w:w="0"/>
        <w:tblLook w:firstColumn="1" w:firstRow="1" w:lastColumn="0" w:lastRow="0" w:noHBand="0" w:noVBand="1" w:val="04A0"/>
      </w:tblPr>
      <w:tblGrid>
        <w:gridCol w:w="5040"/>
        <w:gridCol w:w="5040"/>
      </w:tblGrid>
      <w:tr>
        <w:tc>
          <w:tcPr>
            <w:tcW w:type="dxa" w:w="5040"/>
            <w:vAlign w:val="center"/>
            <w:shd w:fill="123C7A"/>
          </w:tcPr>
          <w:p>
            <w:r/>
            <w:r>
              <w:rPr>
                <w:rFonts w:ascii="Aptos" w:hAnsi="Aptos"/>
                <w:b/>
                <w:color w:val="FFFFFF"/>
                <w:sz w:val="19"/>
              </w:rPr>
              <w:t>Field</w:t>
            </w:r>
          </w:p>
        </w:tc>
        <w:tc>
          <w:tcPr>
            <w:tcW w:type="dxa" w:w="5040"/>
            <w:vAlign w:val="center"/>
            <w:shd w:fill="123C7A"/>
          </w:tcPr>
          <w:p>
            <w:r/>
            <w:r>
              <w:rPr>
                <w:rFonts w:ascii="Aptos" w:hAnsi="Aptos"/>
                <w:b/>
                <w:color w:val="FFFFFF"/>
                <w:sz w:val="19"/>
              </w:rPr>
              <w:t>Approved information</w:t>
            </w:r>
          </w:p>
        </w:tc>
      </w:tr>
      <w:tr>
        <w:tc>
          <w:tcPr>
            <w:tcW w:type="dxa" w:w="5040"/>
            <w:vAlign w:val="center"/>
          </w:tcPr>
          <w:p>
            <w:r/>
            <w:r>
              <w:rPr>
                <w:rFonts w:ascii="Aptos" w:hAnsi="Aptos"/>
                <w:b/>
                <w:color w:val="000000"/>
                <w:sz w:val="19"/>
              </w:rPr>
              <w:t>Company</w:t>
            </w:r>
          </w:p>
        </w:tc>
        <w:tc>
          <w:tcPr>
            <w:tcW w:type="dxa" w:w="5040"/>
            <w:vAlign w:val="center"/>
          </w:tcPr>
          <w:p>
            <w:r/>
            <w:r>
              <w:rPr>
                <w:rFonts w:ascii="Aptos" w:hAnsi="Aptos"/>
                <w:b w:val="0"/>
                <w:color w:val="000000"/>
                <w:sz w:val="19"/>
              </w:rPr>
              <w:t>Bitstar Technologies / Bitstar®</w:t>
            </w:r>
          </w:p>
        </w:tc>
      </w:tr>
      <w:tr>
        <w:tc>
          <w:tcPr>
            <w:tcW w:type="dxa" w:w="5040"/>
            <w:vAlign w:val="center"/>
          </w:tcPr>
          <w:p>
            <w:r/>
            <w:r>
              <w:rPr>
                <w:rFonts w:ascii="Aptos" w:hAnsi="Aptos"/>
                <w:b/>
                <w:color w:val="000000"/>
                <w:sz w:val="19"/>
              </w:rPr>
              <w:t>India</w:t>
            </w:r>
          </w:p>
        </w:tc>
        <w:tc>
          <w:tcPr>
            <w:tcW w:type="dxa" w:w="5040"/>
            <w:vAlign w:val="center"/>
          </w:tcPr>
          <w:p>
            <w:r/>
            <w:r>
              <w:rPr>
                <w:rFonts w:ascii="Aptos" w:hAnsi="Aptos"/>
                <w:b w:val="0"/>
                <w:color w:val="000000"/>
                <w:sz w:val="19"/>
              </w:rPr>
              <w:t>Novel MSR Tech Park, Marathahalli, Bengaluru 560037, Karnataka, India</w:t>
            </w:r>
          </w:p>
        </w:tc>
      </w:tr>
      <w:tr>
        <w:tc>
          <w:tcPr>
            <w:tcW w:type="dxa" w:w="5040"/>
            <w:vAlign w:val="center"/>
          </w:tcPr>
          <w:p>
            <w:r/>
            <w:r>
              <w:rPr>
                <w:rFonts w:ascii="Aptos" w:hAnsi="Aptos"/>
                <w:b/>
                <w:color w:val="000000"/>
                <w:sz w:val="19"/>
              </w:rPr>
              <w:t>USA</w:t>
            </w:r>
          </w:p>
        </w:tc>
        <w:tc>
          <w:tcPr>
            <w:tcW w:type="dxa" w:w="5040"/>
            <w:vAlign w:val="center"/>
          </w:tcPr>
          <w:p>
            <w:r/>
            <w:r>
              <w:rPr>
                <w:rFonts w:ascii="Aptos" w:hAnsi="Aptos"/>
                <w:b w:val="0"/>
                <w:color w:val="000000"/>
                <w:sz w:val="19"/>
              </w:rPr>
              <w:t>4500 Great America Parkway, Santa Clara, CA 95054, USA</w:t>
            </w:r>
          </w:p>
        </w:tc>
      </w:tr>
      <w:tr>
        <w:tc>
          <w:tcPr>
            <w:tcW w:type="dxa" w:w="5040"/>
            <w:vAlign w:val="center"/>
          </w:tcPr>
          <w:p>
            <w:r/>
            <w:r>
              <w:rPr>
                <w:rFonts w:ascii="Aptos" w:hAnsi="Aptos"/>
                <w:b/>
                <w:color w:val="000000"/>
                <w:sz w:val="19"/>
              </w:rPr>
              <w:t>Phone</w:t>
            </w:r>
          </w:p>
        </w:tc>
        <w:tc>
          <w:tcPr>
            <w:tcW w:type="dxa" w:w="5040"/>
            <w:vAlign w:val="center"/>
          </w:tcPr>
          <w:p>
            <w:r/>
            <w:r>
              <w:rPr>
                <w:rFonts w:ascii="Aptos" w:hAnsi="Aptos"/>
                <w:b w:val="0"/>
                <w:color w:val="000000"/>
                <w:sz w:val="19"/>
              </w:rPr>
              <w:t>+91 9971647227</w:t>
            </w:r>
          </w:p>
        </w:tc>
      </w:tr>
      <w:tr>
        <w:tc>
          <w:tcPr>
            <w:tcW w:type="dxa" w:w="5040"/>
            <w:vAlign w:val="center"/>
          </w:tcPr>
          <w:p>
            <w:r/>
            <w:r>
              <w:rPr>
                <w:rFonts w:ascii="Aptos" w:hAnsi="Aptos"/>
                <w:b/>
                <w:color w:val="000000"/>
                <w:sz w:val="19"/>
              </w:rPr>
              <w:t>General email</w:t>
            </w:r>
          </w:p>
        </w:tc>
        <w:tc>
          <w:tcPr>
            <w:tcW w:type="dxa" w:w="5040"/>
            <w:vAlign w:val="center"/>
          </w:tcPr>
          <w:p>
            <w:r/>
            <w:r>
              <w:rPr>
                <w:rFonts w:ascii="Aptos" w:hAnsi="Aptos"/>
                <w:b w:val="0"/>
                <w:color w:val="000000"/>
                <w:sz w:val="19"/>
              </w:rPr>
              <w:t>info@bitstar-tech.com</w:t>
            </w:r>
          </w:p>
        </w:tc>
      </w:tr>
      <w:tr>
        <w:tc>
          <w:tcPr>
            <w:tcW w:type="dxa" w:w="5040"/>
            <w:vAlign w:val="center"/>
          </w:tcPr>
          <w:p>
            <w:r/>
            <w:r>
              <w:rPr>
                <w:rFonts w:ascii="Aptos" w:hAnsi="Aptos"/>
                <w:b/>
                <w:color w:val="000000"/>
                <w:sz w:val="19"/>
              </w:rPr>
              <w:t>Sales</w:t>
            </w:r>
          </w:p>
        </w:tc>
        <w:tc>
          <w:tcPr>
            <w:tcW w:type="dxa" w:w="5040"/>
            <w:vAlign w:val="center"/>
          </w:tcPr>
          <w:p>
            <w:r/>
            <w:r>
              <w:rPr>
                <w:rFonts w:ascii="Aptos" w:hAnsi="Aptos"/>
                <w:b w:val="0"/>
                <w:color w:val="000000"/>
                <w:sz w:val="19"/>
              </w:rPr>
              <w:t>sales@bitstar-tech.com</w:t>
            </w:r>
          </w:p>
        </w:tc>
      </w:tr>
      <w:tr>
        <w:tc>
          <w:tcPr>
            <w:tcW w:type="dxa" w:w="5040"/>
            <w:vAlign w:val="center"/>
          </w:tcPr>
          <w:p>
            <w:r/>
            <w:r>
              <w:rPr>
                <w:rFonts w:ascii="Aptos" w:hAnsi="Aptos"/>
                <w:b/>
                <w:color w:val="000000"/>
                <w:sz w:val="19"/>
              </w:rPr>
              <w:t>Support</w:t>
            </w:r>
          </w:p>
        </w:tc>
        <w:tc>
          <w:tcPr>
            <w:tcW w:type="dxa" w:w="5040"/>
            <w:vAlign w:val="center"/>
          </w:tcPr>
          <w:p>
            <w:r/>
            <w:r>
              <w:rPr>
                <w:rFonts w:ascii="Aptos" w:hAnsi="Aptos"/>
                <w:b w:val="0"/>
                <w:color w:val="000000"/>
                <w:sz w:val="19"/>
              </w:rPr>
              <w:t>support@bitstar-tech.com</w:t>
            </w:r>
          </w:p>
        </w:tc>
      </w:tr>
    </w:tbl>
    <w:p>
      <w:pPr>
        <w:pStyle w:val="Heading1"/>
      </w:pPr>
      <w:r>
        <w:t>14. Footer &amp; Legal Structure</w:t>
      </w:r>
    </w:p>
    <w:p>
      <w:r>
        <w:t>Proposed footer identity:</w:t>
      </w:r>
    </w:p>
    <w:p>
      <w:pPr>
        <w:jc w:val="center"/>
      </w:pPr>
      <w:r>
        <w:rPr>
          <w:b/>
          <w:sz w:val="26"/>
        </w:rPr>
        <w:t>ScoreBoard Intelligence™</w:t>
        <w:br/>
        <w:t>An intelligence platform by Bitstar®</w:t>
      </w:r>
    </w:p>
    <w:p>
      <w:pPr>
        <w:pStyle w:val="ListBullet"/>
        <w:spacing w:after="40"/>
      </w:pPr>
      <w:r>
        <w:t>Product / Platform links</w:t>
      </w:r>
    </w:p>
    <w:p>
      <w:pPr>
        <w:pStyle w:val="ListBullet"/>
        <w:spacing w:after="40"/>
      </w:pPr>
      <w:r>
        <w:t>Edge links</w:t>
      </w:r>
    </w:p>
    <w:p>
      <w:pPr>
        <w:pStyle w:val="ListBullet"/>
        <w:spacing w:after="40"/>
      </w:pPr>
      <w:r>
        <w:t>Technology / Insights links</w:t>
      </w:r>
    </w:p>
    <w:p>
      <w:pPr>
        <w:pStyle w:val="ListBullet"/>
        <w:spacing w:after="40"/>
      </w:pPr>
      <w:r>
        <w:t>Contact</w:t>
      </w:r>
    </w:p>
    <w:p>
      <w:pPr>
        <w:pStyle w:val="ListBullet"/>
        <w:spacing w:after="40"/>
      </w:pPr>
      <w:r>
        <w:t>Privacy</w:t>
      </w:r>
    </w:p>
    <w:p>
      <w:pPr>
        <w:pStyle w:val="ListBullet"/>
        <w:spacing w:after="40"/>
      </w:pPr>
      <w:r>
        <w:t>Terms</w:t>
      </w:r>
    </w:p>
    <w:p>
      <w:pPr>
        <w:pStyle w:val="ListBullet"/>
        <w:spacing w:after="40"/>
      </w:pPr>
      <w:r>
        <w:t>Licensing</w:t>
      </w:r>
    </w:p>
    <w:p>
      <w:pPr>
        <w:pStyle w:val="ListBullet"/>
        <w:spacing w:after="40"/>
      </w:pPr>
      <w:r>
        <w:t>Security</w:t>
      </w:r>
    </w:p>
    <w:p>
      <w:pPr>
        <w:pStyle w:val="ListBullet"/>
        <w:spacing w:after="40"/>
      </w:pPr>
      <w:r>
        <w:t>© 2026 Bitstar Technologies. All rights reserved.</w:t>
      </w:r>
    </w:p>
    <w:p>
      <w:pPr>
        <w:pStyle w:val="Heading1"/>
      </w:pPr>
      <w:r>
        <w:t>15. Website Development Discipline</w:t>
      </w:r>
    </w:p>
    <w:tbl>
      <w:tblPr>
        <w:tblW w:type="auto" w:w="0"/>
        <w:tblLook w:firstColumn="1" w:firstRow="1" w:lastColumn="0" w:lastRow="0" w:noHBand="0" w:noVBand="1" w:val="04A0"/>
      </w:tblPr>
      <w:tblGrid>
        <w:gridCol w:w="3360"/>
        <w:gridCol w:w="3360"/>
        <w:gridCol w:w="3360"/>
      </w:tblGrid>
      <w:tr>
        <w:tc>
          <w:tcPr>
            <w:tcW w:type="dxa" w:w="3360"/>
            <w:vAlign w:val="center"/>
            <w:shd w:fill="123C7A"/>
          </w:tcPr>
          <w:p>
            <w:r/>
            <w:r>
              <w:rPr>
                <w:rFonts w:ascii="Aptos" w:hAnsi="Aptos"/>
                <w:b/>
                <w:color w:val="FFFFFF"/>
                <w:sz w:val="19"/>
              </w:rPr>
              <w:t>Phase</w:t>
            </w:r>
          </w:p>
        </w:tc>
        <w:tc>
          <w:tcPr>
            <w:tcW w:type="dxa" w:w="3360"/>
            <w:vAlign w:val="center"/>
            <w:shd w:fill="123C7A"/>
          </w:tcPr>
          <w:p>
            <w:r/>
            <w:r>
              <w:rPr>
                <w:rFonts w:ascii="Aptos" w:hAnsi="Aptos"/>
                <w:b/>
                <w:color w:val="FFFFFF"/>
                <w:sz w:val="19"/>
              </w:rPr>
              <w:t>Workstream</w:t>
            </w:r>
          </w:p>
        </w:tc>
        <w:tc>
          <w:tcPr>
            <w:tcW w:type="dxa" w:w="3360"/>
            <w:vAlign w:val="center"/>
            <w:shd w:fill="123C7A"/>
          </w:tcPr>
          <w:p>
            <w:r/>
            <w:r>
              <w:rPr>
                <w:rFonts w:ascii="Aptos" w:hAnsi="Aptos"/>
                <w:b/>
                <w:color w:val="FFFFFF"/>
                <w:sz w:val="19"/>
              </w:rPr>
              <w:t>Baseline objective</w:t>
            </w:r>
          </w:p>
        </w:tc>
      </w:tr>
      <w:tr>
        <w:tc>
          <w:tcPr>
            <w:tcW w:type="dxa" w:w="3360"/>
            <w:vAlign w:val="center"/>
          </w:tcPr>
          <w:p>
            <w:r/>
            <w:r>
              <w:rPr>
                <w:rFonts w:ascii="Aptos" w:hAnsi="Aptos"/>
                <w:b/>
                <w:color w:val="000000"/>
                <w:sz w:val="19"/>
              </w:rPr>
              <w:t>Phase 1</w:t>
            </w:r>
          </w:p>
        </w:tc>
        <w:tc>
          <w:tcPr>
            <w:tcW w:type="dxa" w:w="3360"/>
            <w:vAlign w:val="center"/>
          </w:tcPr>
          <w:p>
            <w:r/>
            <w:r>
              <w:rPr>
                <w:rFonts w:ascii="Aptos" w:hAnsi="Aptos"/>
                <w:b w:val="0"/>
                <w:color w:val="000000"/>
                <w:sz w:val="19"/>
              </w:rPr>
              <w:t>Architecture &amp; strategy</w:t>
            </w:r>
          </w:p>
        </w:tc>
        <w:tc>
          <w:tcPr>
            <w:tcW w:type="dxa" w:w="3360"/>
            <w:vAlign w:val="center"/>
          </w:tcPr>
          <w:p>
            <w:r/>
            <w:r>
              <w:rPr>
                <w:rFonts w:ascii="Aptos" w:hAnsi="Aptos"/>
                <w:b w:val="0"/>
                <w:color w:val="000000"/>
                <w:sz w:val="19"/>
              </w:rPr>
              <w:t>Lock sitemap, positioning, homepage narrative, brand relationship, product boundaries and design principles.</w:t>
            </w:r>
          </w:p>
        </w:tc>
      </w:tr>
      <w:tr>
        <w:tc>
          <w:tcPr>
            <w:tcW w:type="dxa" w:w="3360"/>
            <w:vAlign w:val="center"/>
          </w:tcPr>
          <w:p>
            <w:r/>
            <w:r>
              <w:rPr>
                <w:rFonts w:ascii="Aptos" w:hAnsi="Aptos"/>
                <w:b/>
                <w:color w:val="000000"/>
                <w:sz w:val="19"/>
              </w:rPr>
              <w:t>Phase 2</w:t>
            </w:r>
          </w:p>
        </w:tc>
        <w:tc>
          <w:tcPr>
            <w:tcW w:type="dxa" w:w="3360"/>
            <w:vAlign w:val="center"/>
          </w:tcPr>
          <w:p>
            <w:r/>
            <w:r>
              <w:rPr>
                <w:rFonts w:ascii="Aptos" w:hAnsi="Aptos"/>
                <w:b w:val="0"/>
                <w:color w:val="000000"/>
                <w:sz w:val="19"/>
              </w:rPr>
              <w:t>Visual system</w:t>
            </w:r>
          </w:p>
        </w:tc>
        <w:tc>
          <w:tcPr>
            <w:tcW w:type="dxa" w:w="3360"/>
            <w:vAlign w:val="center"/>
          </w:tcPr>
          <w:p>
            <w:r/>
            <w:r>
              <w:rPr>
                <w:rFonts w:ascii="Aptos" w:hAnsi="Aptos"/>
                <w:b w:val="0"/>
                <w:color w:val="000000"/>
                <w:sz w:val="19"/>
              </w:rPr>
              <w:t>Typography, colors, spacing, components, diagrams, motion language, responsive behavior and interaction rules.</w:t>
            </w:r>
          </w:p>
        </w:tc>
      </w:tr>
      <w:tr>
        <w:tc>
          <w:tcPr>
            <w:tcW w:type="dxa" w:w="3360"/>
            <w:vAlign w:val="center"/>
          </w:tcPr>
          <w:p>
            <w:r/>
            <w:r>
              <w:rPr>
                <w:rFonts w:ascii="Aptos" w:hAnsi="Aptos"/>
                <w:b/>
                <w:color w:val="000000"/>
                <w:sz w:val="19"/>
              </w:rPr>
              <w:t>Phase 3</w:t>
            </w:r>
          </w:p>
        </w:tc>
        <w:tc>
          <w:tcPr>
            <w:tcW w:type="dxa" w:w="3360"/>
            <w:vAlign w:val="center"/>
          </w:tcPr>
          <w:p>
            <w:r/>
            <w:r>
              <w:rPr>
                <w:rFonts w:ascii="Aptos" w:hAnsi="Aptos"/>
                <w:b w:val="0"/>
                <w:color w:val="000000"/>
                <w:sz w:val="19"/>
              </w:rPr>
              <w:t>Homepage prototype</w:t>
            </w:r>
          </w:p>
        </w:tc>
        <w:tc>
          <w:tcPr>
            <w:tcW w:type="dxa" w:w="3360"/>
            <w:vAlign w:val="center"/>
          </w:tcPr>
          <w:p>
            <w:r/>
            <w:r>
              <w:rPr>
                <w:rFonts w:ascii="Aptos" w:hAnsi="Aptos"/>
                <w:b w:val="0"/>
                <w:color w:val="000000"/>
                <w:sz w:val="19"/>
              </w:rPr>
              <w:t>Build the first interactive homepage experience and validate the narrative.</w:t>
            </w:r>
          </w:p>
        </w:tc>
      </w:tr>
      <w:tr>
        <w:tc>
          <w:tcPr>
            <w:tcW w:type="dxa" w:w="3360"/>
            <w:vAlign w:val="center"/>
          </w:tcPr>
          <w:p>
            <w:r/>
            <w:r>
              <w:rPr>
                <w:rFonts w:ascii="Aptos" w:hAnsi="Aptos"/>
                <w:b/>
                <w:color w:val="000000"/>
                <w:sz w:val="19"/>
              </w:rPr>
              <w:t>Phase 4</w:t>
            </w:r>
          </w:p>
        </w:tc>
        <w:tc>
          <w:tcPr>
            <w:tcW w:type="dxa" w:w="3360"/>
            <w:vAlign w:val="center"/>
          </w:tcPr>
          <w:p>
            <w:r/>
            <w:r>
              <w:rPr>
                <w:rFonts w:ascii="Aptos" w:hAnsi="Aptos"/>
                <w:b w:val="0"/>
                <w:color w:val="000000"/>
                <w:sz w:val="19"/>
              </w:rPr>
              <w:t>Platform / inner pages</w:t>
            </w:r>
          </w:p>
        </w:tc>
        <w:tc>
          <w:tcPr>
            <w:tcW w:type="dxa" w:w="3360"/>
            <w:vAlign w:val="center"/>
          </w:tcPr>
          <w:p>
            <w:r/>
            <w:r>
              <w:rPr>
                <w:rFonts w:ascii="Aptos" w:hAnsi="Aptos"/>
                <w:b w:val="0"/>
                <w:color w:val="000000"/>
                <w:sz w:val="19"/>
              </w:rPr>
              <w:t>Build Intelligence, AI Factory, Edge, Technology and Insights structures.</w:t>
            </w:r>
          </w:p>
        </w:tc>
      </w:tr>
      <w:tr>
        <w:tc>
          <w:tcPr>
            <w:tcW w:type="dxa" w:w="3360"/>
            <w:vAlign w:val="center"/>
          </w:tcPr>
          <w:p>
            <w:r/>
            <w:r>
              <w:rPr>
                <w:rFonts w:ascii="Aptos" w:hAnsi="Aptos"/>
                <w:b/>
                <w:color w:val="000000"/>
                <w:sz w:val="19"/>
              </w:rPr>
              <w:t>Phase 5</w:t>
            </w:r>
          </w:p>
        </w:tc>
        <w:tc>
          <w:tcPr>
            <w:tcW w:type="dxa" w:w="3360"/>
            <w:vAlign w:val="center"/>
          </w:tcPr>
          <w:p>
            <w:r/>
            <w:r>
              <w:rPr>
                <w:rFonts w:ascii="Aptos" w:hAnsi="Aptos"/>
                <w:b w:val="0"/>
                <w:color w:val="000000"/>
                <w:sz w:val="19"/>
              </w:rPr>
              <w:t>Content &amp; technical validation</w:t>
            </w:r>
          </w:p>
        </w:tc>
        <w:tc>
          <w:tcPr>
            <w:tcW w:type="dxa" w:w="3360"/>
            <w:vAlign w:val="center"/>
          </w:tcPr>
          <w:p>
            <w:r/>
            <w:r>
              <w:rPr>
                <w:rFonts w:ascii="Aptos" w:hAnsi="Aptos"/>
                <w:b w:val="0"/>
                <w:color w:val="000000"/>
                <w:sz w:val="19"/>
              </w:rPr>
              <w:t>Verify product claims, diagrams, legal language, contacts, links and responsive behavior.</w:t>
            </w:r>
          </w:p>
        </w:tc>
      </w:tr>
      <w:tr>
        <w:tc>
          <w:tcPr>
            <w:tcW w:type="dxa" w:w="3360"/>
            <w:vAlign w:val="center"/>
          </w:tcPr>
          <w:p>
            <w:r/>
            <w:r>
              <w:rPr>
                <w:rFonts w:ascii="Aptos" w:hAnsi="Aptos"/>
                <w:b/>
                <w:color w:val="000000"/>
                <w:sz w:val="19"/>
              </w:rPr>
              <w:t>Phase 6</w:t>
            </w:r>
          </w:p>
        </w:tc>
        <w:tc>
          <w:tcPr>
            <w:tcW w:type="dxa" w:w="3360"/>
            <w:vAlign w:val="center"/>
          </w:tcPr>
          <w:p>
            <w:r/>
            <w:r>
              <w:rPr>
                <w:rFonts w:ascii="Aptos" w:hAnsi="Aptos"/>
                <w:b w:val="0"/>
                <w:color w:val="000000"/>
                <w:sz w:val="19"/>
              </w:rPr>
              <w:t>Domain &amp; production</w:t>
            </w:r>
          </w:p>
        </w:tc>
        <w:tc>
          <w:tcPr>
            <w:tcW w:type="dxa" w:w="3360"/>
            <w:vAlign w:val="center"/>
          </w:tcPr>
          <w:p>
            <w:r/>
            <w:r>
              <w:rPr>
                <w:rFonts w:ascii="Aptos" w:hAnsi="Aptos"/>
                <w:b w:val="0"/>
                <w:color w:val="000000"/>
                <w:sz w:val="19"/>
              </w:rPr>
              <w:t>Select/register domain, configure hosting, analytics/security as appropriate, test and launch.</w:t>
            </w:r>
          </w:p>
        </w:tc>
      </w:tr>
    </w:tbl>
    <w:p>
      <w:pPr>
        <w:pStyle w:val="Heading1"/>
      </w:pPr>
      <w:r>
        <w:t>16. Change Control / How We Will Use This Document</w:t>
      </w:r>
    </w:p>
    <w:p>
      <w:r>
        <w:t>This document is the reference point when development discussions become scattered. If a later discussion introduces a new idea, we will first determine whether it is an implementation detail, a content improvement, or a change to the agreed architecture.</w:t>
      </w:r>
    </w:p>
    <w:p>
      <w:pPr>
        <w:pStyle w:val="ListBullet"/>
        <w:spacing w:after="40"/>
      </w:pPr>
      <w:r>
        <w:t>Implementation detail: may proceed without changing this baseline if it does not alter the agreed product story or structure.</w:t>
      </w:r>
    </w:p>
    <w:p>
      <w:pPr>
        <w:pStyle w:val="ListBullet"/>
        <w:spacing w:after="40"/>
      </w:pPr>
      <w:r>
        <w:t>Content improvement: may be incorporated during content drafting and recorded in the next revision if material.</w:t>
      </w:r>
    </w:p>
    <w:p>
      <w:pPr>
        <w:pStyle w:val="ListBullet"/>
        <w:spacing w:after="40"/>
      </w:pPr>
      <w:r>
        <w:t>Architecture / brand / positioning change: must be explicitly agreed and added to the next baseline revision.</w:t>
      </w:r>
    </w:p>
    <w:p>
      <w:pPr>
        <w:pStyle w:val="ListBullet"/>
        <w:spacing w:after="40"/>
      </w:pPr>
      <w:r>
        <w:t>New product capability: must be represented accurately as current, in development or roadmap.</w:t>
      </w:r>
    </w:p>
    <w:p>
      <w:pPr>
        <w:pStyle w:val="ListBullet"/>
        <w:spacing w:after="40"/>
      </w:pPr>
      <w:r>
        <w:t>Confidential/internal technology: remains outside the public website unless explicitly approved.</w:t>
      </w:r>
    </w:p>
    <w:tbl>
      <w:tblPr>
        <w:tblW w:type="auto" w:w="0"/>
        <w:jc w:val="center"/>
        <w:tblLook w:firstColumn="1" w:firstRow="1" w:lastColumn="0" w:lastRow="0" w:noHBand="0" w:noVBand="1" w:val="04A0"/>
      </w:tblPr>
      <w:tblGrid>
        <w:gridCol w:w="10080"/>
      </w:tblGrid>
      <w:tr>
        <w:tc>
          <w:tcPr>
            <w:tcW w:type="dxa" w:w="10080"/>
            <w:shd w:fill="EAF3FF"/>
          </w:tcPr>
          <w:p>
            <w:r>
              <w:rPr>
                <w:b/>
                <w:color w:val="0B3D91"/>
                <w:sz w:val="21"/>
              </w:rPr>
              <w:t>VERSIONING RULE</w:t>
              <w:br/>
            </w:r>
            <w:r>
              <w:rPr>
                <w:sz w:val="20"/>
              </w:rPr>
              <w:t>If the project reaches a point where we are unsure what was originally agreed, return to this document. The latest explicitly approved version becomes the source of truth.</w:t>
            </w:r>
          </w:p>
        </w:tc>
      </w:tr>
    </w:tbl>
    <w:p>
      <w:pPr>
        <w:spacing w:after="40"/>
      </w:pPr>
    </w:p>
    <w:p>
      <w:pPr>
        <w:pStyle w:val="Heading1"/>
      </w:pPr>
      <w:r>
        <w:t>17. Decisions Still Open</w:t>
      </w:r>
    </w:p>
    <w:p>
      <w:pPr>
        <w:pStyle w:val="ListBullet"/>
        <w:spacing w:after="40"/>
      </w:pPr>
      <w:r>
        <w:t>Final standalone domain name.</w:t>
      </w:r>
    </w:p>
    <w:p>
      <w:pPr>
        <w:pStyle w:val="ListBullet"/>
        <w:spacing w:after="40"/>
      </w:pPr>
      <w:r>
        <w:t>Final navigation labels after visual prototyping.</w:t>
      </w:r>
    </w:p>
    <w:p>
      <w:pPr>
        <w:pStyle w:val="ListBullet"/>
        <w:spacing w:after="40"/>
      </w:pPr>
      <w:r>
        <w:t>Final homepage copy and wording of the core proposition.</w:t>
      </w:r>
    </w:p>
    <w:p>
      <w:pPr>
        <w:pStyle w:val="ListBullet"/>
        <w:spacing w:after="40"/>
      </w:pPr>
      <w:r>
        <w:t>Exact visual palette and typography after the visual system exploration.</w:t>
      </w:r>
    </w:p>
    <w:p>
      <w:pPr>
        <w:pStyle w:val="ListBullet"/>
        <w:spacing w:after="40"/>
      </w:pPr>
      <w:r>
        <w:t>Final commercial messaging for Hardware Edge Agent™ once the architecture is sufficiently mature.</w:t>
      </w:r>
    </w:p>
    <w:p>
      <w:pPr>
        <w:pStyle w:val="ListBullet"/>
        <w:spacing w:after="40"/>
      </w:pPr>
      <w:r>
        <w:t>Final technical claims and supported integrations for the first public release.</w:t>
      </w:r>
    </w:p>
    <w:p>
      <w:pPr>
        <w:pStyle w:val="ListBullet"/>
        <w:spacing w:after="40"/>
      </w:pPr>
      <w:r>
        <w:t>Hosting / deployment stack and analytics approach.</w:t>
      </w:r>
    </w:p>
    <w:p>
      <w:pPr>
        <w:pStyle w:val="Heading1"/>
      </w:pPr>
      <w:r>
        <w:t>18. Agreed Baseline — Quick Reference</w:t>
      </w:r>
    </w:p>
    <w:tbl>
      <w:tblPr>
        <w:tblW w:type="auto" w:w="0"/>
        <w:tblLook w:firstColumn="1" w:firstRow="1" w:lastColumn="0" w:lastRow="0" w:noHBand="0" w:noVBand="1" w:val="04A0"/>
      </w:tblPr>
      <w:tblGrid>
        <w:gridCol w:w="5040"/>
        <w:gridCol w:w="5040"/>
      </w:tblGrid>
      <w:tr>
        <w:tc>
          <w:tcPr>
            <w:tcW w:type="dxa" w:w="5040"/>
            <w:vAlign w:val="center"/>
            <w:shd w:fill="123C7A"/>
          </w:tcPr>
          <w:p>
            <w:r/>
            <w:r>
              <w:rPr>
                <w:rFonts w:ascii="Aptos" w:hAnsi="Aptos"/>
                <w:b/>
                <w:color w:val="FFFFFF"/>
                <w:sz w:val="19"/>
              </w:rPr>
              <w:t>Decision</w:t>
            </w:r>
          </w:p>
        </w:tc>
        <w:tc>
          <w:tcPr>
            <w:tcW w:type="dxa" w:w="5040"/>
            <w:vAlign w:val="center"/>
            <w:shd w:fill="123C7A"/>
          </w:tcPr>
          <w:p>
            <w:r/>
            <w:r>
              <w:rPr>
                <w:rFonts w:ascii="Aptos" w:hAnsi="Aptos"/>
                <w:b/>
                <w:color w:val="FFFFFF"/>
                <w:sz w:val="19"/>
              </w:rPr>
              <w:t>Agreed direction</w:t>
            </w:r>
          </w:p>
        </w:tc>
      </w:tr>
      <w:tr>
        <w:tc>
          <w:tcPr>
            <w:tcW w:type="dxa" w:w="5040"/>
            <w:vAlign w:val="center"/>
          </w:tcPr>
          <w:p>
            <w:r/>
            <w:r>
              <w:rPr>
                <w:rFonts w:ascii="Aptos" w:hAnsi="Aptos"/>
                <w:b/>
                <w:color w:val="000000"/>
                <w:sz w:val="19"/>
              </w:rPr>
              <w:t>Standalone website</w:t>
            </w:r>
          </w:p>
        </w:tc>
        <w:tc>
          <w:tcPr>
            <w:tcW w:type="dxa" w:w="5040"/>
            <w:vAlign w:val="center"/>
          </w:tcPr>
          <w:p>
            <w:r/>
            <w:r>
              <w:rPr>
                <w:rFonts w:ascii="Aptos" w:hAnsi="Aptos"/>
                <w:b w:val="0"/>
                <w:color w:val="000000"/>
                <w:sz w:val="19"/>
              </w:rPr>
              <w:t>Yes — ScoreBoard gets an independent website/domain.</w:t>
            </w:r>
          </w:p>
        </w:tc>
      </w:tr>
      <w:tr>
        <w:tc>
          <w:tcPr>
            <w:tcW w:type="dxa" w:w="5040"/>
            <w:vAlign w:val="center"/>
          </w:tcPr>
          <w:p>
            <w:r/>
            <w:r>
              <w:rPr>
                <w:rFonts w:ascii="Aptos" w:hAnsi="Aptos"/>
                <w:b/>
                <w:color w:val="000000"/>
                <w:sz w:val="19"/>
              </w:rPr>
              <w:t>Corporate relationship</w:t>
            </w:r>
          </w:p>
        </w:tc>
        <w:tc>
          <w:tcPr>
            <w:tcW w:type="dxa" w:w="5040"/>
            <w:vAlign w:val="center"/>
          </w:tcPr>
          <w:p>
            <w:r/>
            <w:r>
              <w:rPr>
                <w:rFonts w:ascii="Aptos" w:hAnsi="Aptos"/>
                <w:b w:val="0"/>
                <w:color w:val="000000"/>
                <w:sz w:val="19"/>
              </w:rPr>
              <w:t>ScoreBoard is a Bitstar® technology platform; Bitstar does not dominate the product experience.</w:t>
            </w:r>
          </w:p>
        </w:tc>
      </w:tr>
      <w:tr>
        <w:tc>
          <w:tcPr>
            <w:tcW w:type="dxa" w:w="5040"/>
            <w:vAlign w:val="center"/>
          </w:tcPr>
          <w:p>
            <w:r/>
            <w:r>
              <w:rPr>
                <w:rFonts w:ascii="Aptos" w:hAnsi="Aptos"/>
                <w:b/>
                <w:color w:val="000000"/>
                <w:sz w:val="19"/>
              </w:rPr>
              <w:t>Visual direction</w:t>
            </w:r>
          </w:p>
        </w:tc>
        <w:tc>
          <w:tcPr>
            <w:tcW w:type="dxa" w:w="5040"/>
            <w:vAlign w:val="center"/>
          </w:tcPr>
          <w:p>
            <w:r/>
            <w:r>
              <w:rPr>
                <w:rFonts w:ascii="Aptos" w:hAnsi="Aptos"/>
                <w:b w:val="0"/>
                <w:color w:val="000000"/>
                <w:sz w:val="19"/>
              </w:rPr>
              <w:t>Hybrid premium deep-tech + clean engineering.</w:t>
            </w:r>
          </w:p>
        </w:tc>
      </w:tr>
      <w:tr>
        <w:tc>
          <w:tcPr>
            <w:tcW w:type="dxa" w:w="5040"/>
            <w:vAlign w:val="center"/>
          </w:tcPr>
          <w:p>
            <w:r/>
            <w:r>
              <w:rPr>
                <w:rFonts w:ascii="Aptos" w:hAnsi="Aptos"/>
                <w:b/>
                <w:color w:val="000000"/>
                <w:sz w:val="19"/>
              </w:rPr>
              <w:t>Interaction level</w:t>
            </w:r>
          </w:p>
        </w:tc>
        <w:tc>
          <w:tcPr>
            <w:tcW w:type="dxa" w:w="5040"/>
            <w:vAlign w:val="center"/>
          </w:tcPr>
          <w:p>
            <w:r/>
            <w:r>
              <w:rPr>
                <w:rFonts w:ascii="Aptos" w:hAnsi="Aptos"/>
                <w:b w:val="0"/>
                <w:color w:val="000000"/>
                <w:sz w:val="19"/>
              </w:rPr>
              <w:t>High and purposeful; inspired by the quality of Modular, not copied.</w:t>
            </w:r>
          </w:p>
        </w:tc>
      </w:tr>
      <w:tr>
        <w:tc>
          <w:tcPr>
            <w:tcW w:type="dxa" w:w="5040"/>
            <w:vAlign w:val="center"/>
          </w:tcPr>
          <w:p>
            <w:r/>
            <w:r>
              <w:rPr>
                <w:rFonts w:ascii="Aptos" w:hAnsi="Aptos"/>
                <w:b/>
                <w:color w:val="000000"/>
                <w:sz w:val="19"/>
              </w:rPr>
              <w:t>Core message</w:t>
            </w:r>
          </w:p>
        </w:tc>
        <w:tc>
          <w:tcPr>
            <w:tcW w:type="dxa" w:w="5040"/>
            <w:vAlign w:val="center"/>
          </w:tcPr>
          <w:p>
            <w:r/>
            <w:r>
              <w:rPr>
                <w:rFonts w:ascii="Aptos" w:hAnsi="Aptos"/>
                <w:b w:val="0"/>
                <w:color w:val="000000"/>
                <w:sz w:val="19"/>
              </w:rPr>
              <w:t>Infrastructure generates data. ScoreBoard generates intelligence.</w:t>
            </w:r>
          </w:p>
        </w:tc>
      </w:tr>
      <w:tr>
        <w:tc>
          <w:tcPr>
            <w:tcW w:type="dxa" w:w="5040"/>
            <w:vAlign w:val="center"/>
          </w:tcPr>
          <w:p>
            <w:r/>
            <w:r>
              <w:rPr>
                <w:rFonts w:ascii="Aptos" w:hAnsi="Aptos"/>
                <w:b/>
                <w:color w:val="000000"/>
                <w:sz w:val="19"/>
              </w:rPr>
              <w:t>Core sequence</w:t>
            </w:r>
          </w:p>
        </w:tc>
        <w:tc>
          <w:tcPr>
            <w:tcW w:type="dxa" w:w="5040"/>
            <w:vAlign w:val="center"/>
          </w:tcPr>
          <w:p>
            <w:r/>
            <w:r>
              <w:rPr>
                <w:rFonts w:ascii="Aptos" w:hAnsi="Aptos"/>
                <w:b w:val="0"/>
                <w:color w:val="000000"/>
                <w:sz w:val="19"/>
              </w:rPr>
              <w:t>Observe → Correlate → Understand → Predict → Optimize.</w:t>
            </w:r>
          </w:p>
        </w:tc>
      </w:tr>
      <w:tr>
        <w:tc>
          <w:tcPr>
            <w:tcW w:type="dxa" w:w="5040"/>
            <w:vAlign w:val="center"/>
          </w:tcPr>
          <w:p>
            <w:r/>
            <w:r>
              <w:rPr>
                <w:rFonts w:ascii="Aptos" w:hAnsi="Aptos"/>
                <w:b/>
                <w:color w:val="000000"/>
                <w:sz w:val="19"/>
              </w:rPr>
              <w:t>Edge</w:t>
            </w:r>
          </w:p>
        </w:tc>
        <w:tc>
          <w:tcPr>
            <w:tcW w:type="dxa" w:w="5040"/>
            <w:vAlign w:val="center"/>
          </w:tcPr>
          <w:p>
            <w:r/>
            <w:r>
              <w:rPr>
                <w:rFonts w:ascii="Aptos" w:hAnsi="Aptos"/>
                <w:b w:val="0"/>
                <w:color w:val="000000"/>
                <w:sz w:val="19"/>
              </w:rPr>
              <w:t>Software Edge Agent™ and Hardware Edge Agent™ are both part of the long-term architecture.</w:t>
            </w:r>
          </w:p>
        </w:tc>
      </w:tr>
      <w:tr>
        <w:tc>
          <w:tcPr>
            <w:tcW w:type="dxa" w:w="5040"/>
            <w:vAlign w:val="center"/>
          </w:tcPr>
          <w:p>
            <w:r/>
            <w:r>
              <w:rPr>
                <w:rFonts w:ascii="Aptos" w:hAnsi="Aptos"/>
                <w:b/>
                <w:color w:val="000000"/>
                <w:sz w:val="19"/>
              </w:rPr>
              <w:t>Hardware Edge status</w:t>
            </w:r>
          </w:p>
        </w:tc>
        <w:tc>
          <w:tcPr>
            <w:tcW w:type="dxa" w:w="5040"/>
            <w:vAlign w:val="center"/>
          </w:tcPr>
          <w:p>
            <w:r/>
            <w:r>
              <w:rPr>
                <w:rFonts w:ascii="Aptos" w:hAnsi="Aptos"/>
                <w:b w:val="0"/>
                <w:color w:val="000000"/>
                <w:sz w:val="19"/>
              </w:rPr>
              <w:t>Architecture reserved now; public commercial claims only when accurate.</w:t>
            </w:r>
          </w:p>
        </w:tc>
      </w:tr>
      <w:tr>
        <w:tc>
          <w:tcPr>
            <w:tcW w:type="dxa" w:w="5040"/>
            <w:vAlign w:val="center"/>
          </w:tcPr>
          <w:p>
            <w:r/>
            <w:r>
              <w:rPr>
                <w:rFonts w:ascii="Aptos" w:hAnsi="Aptos"/>
                <w:b/>
                <w:color w:val="000000"/>
                <w:sz w:val="19"/>
              </w:rPr>
              <w:t>Public IP boundary</w:t>
            </w:r>
          </w:p>
        </w:tc>
        <w:tc>
          <w:tcPr>
            <w:tcW w:type="dxa" w:w="5040"/>
            <w:vAlign w:val="center"/>
          </w:tcPr>
          <w:p>
            <w:r/>
            <w:r>
              <w:rPr>
                <w:rFonts w:ascii="Aptos" w:hAnsi="Aptos"/>
                <w:b w:val="0"/>
                <w:color w:val="000000"/>
                <w:sz w:val="19"/>
              </w:rPr>
              <w:t>DXP and AIKC remain internal.</w:t>
            </w:r>
          </w:p>
        </w:tc>
      </w:tr>
      <w:tr>
        <w:tc>
          <w:tcPr>
            <w:tcW w:type="dxa" w:w="5040"/>
            <w:vAlign w:val="center"/>
          </w:tcPr>
          <w:p>
            <w:r/>
            <w:r>
              <w:rPr>
                <w:rFonts w:ascii="Aptos" w:hAnsi="Aptos"/>
                <w:b/>
                <w:color w:val="000000"/>
                <w:sz w:val="19"/>
              </w:rPr>
              <w:t>Visual assets</w:t>
            </w:r>
          </w:p>
        </w:tc>
        <w:tc>
          <w:tcPr>
            <w:tcW w:type="dxa" w:w="5040"/>
            <w:vAlign w:val="center"/>
          </w:tcPr>
          <w:p>
            <w:r/>
            <w:r>
              <w:rPr>
                <w:rFonts w:ascii="Aptos" w:hAnsi="Aptos"/>
                <w:b w:val="0"/>
                <w:color w:val="000000"/>
                <w:sz w:val="19"/>
              </w:rPr>
              <w:t>Use the approved ScoreBoard, Bitstar and Software Edge Agent identities provided by the company.</w:t>
            </w:r>
          </w:p>
        </w:tc>
      </w:tr>
      <w:tr>
        <w:tc>
          <w:tcPr>
            <w:tcW w:type="dxa" w:w="5040"/>
            <w:vAlign w:val="center"/>
          </w:tcPr>
          <w:p>
            <w:r/>
            <w:r>
              <w:rPr>
                <w:rFonts w:ascii="Aptos" w:hAnsi="Aptos"/>
                <w:b/>
                <w:color w:val="000000"/>
                <w:sz w:val="19"/>
              </w:rPr>
              <w:t>Marketing style</w:t>
            </w:r>
          </w:p>
        </w:tc>
        <w:tc>
          <w:tcPr>
            <w:tcW w:type="dxa" w:w="5040"/>
            <w:vAlign w:val="center"/>
          </w:tcPr>
          <w:p>
            <w:r/>
            <w:r>
              <w:rPr>
                <w:rFonts w:ascii="Aptos" w:hAnsi="Aptos"/>
                <w:b w:val="0"/>
                <w:color w:val="000000"/>
                <w:sz w:val="19"/>
              </w:rPr>
              <w:t>Engineering-led; no generic AI/stock imagery.</w:t>
            </w:r>
          </w:p>
        </w:tc>
      </w:tr>
      <w:tr>
        <w:tc>
          <w:tcPr>
            <w:tcW w:type="dxa" w:w="5040"/>
            <w:vAlign w:val="center"/>
          </w:tcPr>
          <w:p>
            <w:r/>
            <w:r>
              <w:rPr>
                <w:rFonts w:ascii="Aptos" w:hAnsi="Aptos"/>
                <w:b/>
                <w:color w:val="000000"/>
                <w:sz w:val="19"/>
              </w:rPr>
              <w:t>Footer</w:t>
            </w:r>
          </w:p>
        </w:tc>
        <w:tc>
          <w:tcPr>
            <w:tcW w:type="dxa" w:w="5040"/>
            <w:vAlign w:val="center"/>
          </w:tcPr>
          <w:p>
            <w:r/>
            <w:r>
              <w:rPr>
                <w:rFonts w:ascii="Aptos" w:hAnsi="Aptos"/>
                <w:b w:val="0"/>
                <w:color w:val="000000"/>
                <w:sz w:val="19"/>
              </w:rPr>
              <w:t>ScoreBoard Intelligence™ by Bitstar®, with India/USA contact details and legal links.</w:t>
            </w:r>
          </w:p>
        </w:tc>
      </w:tr>
    </w:tbl>
    <w:p/>
    <w:tbl>
      <w:tblPr>
        <w:tblW w:type="auto" w:w="0"/>
        <w:jc w:val="center"/>
        <w:tblLook w:firstColumn="1" w:firstRow="1" w:lastColumn="0" w:lastRow="0" w:noHBand="0" w:noVBand="1" w:val="04A0"/>
      </w:tblPr>
      <w:tblGrid>
        <w:gridCol w:w="10080"/>
      </w:tblGrid>
      <w:tr>
        <w:tc>
          <w:tcPr>
            <w:tcW w:type="dxa" w:w="10080"/>
            <w:shd w:fill="EAF3FF"/>
          </w:tcPr>
          <w:p>
            <w:r>
              <w:rPr>
                <w:b/>
                <w:color w:val="0B3D91"/>
                <w:sz w:val="21"/>
              </w:rPr>
              <w:t>NEXT WORK PRODUCT</w:t>
              <w:br/>
            </w:r>
            <w:r>
              <w:rPr>
                <w:sz w:val="20"/>
              </w:rPr>
              <w:t>The next controlled design artifact should be the ScoreBoard Intelligence™ Homepage Visual &amp; Interaction Specification V1. It will define each homepage section screen-by-screen, including layout, copy direction, diagrams, animation, interaction, CTA and transition behavior.</w:t>
            </w:r>
          </w:p>
        </w:tc>
      </w:tr>
    </w:tbl>
    <w:p>
      <w:pPr>
        <w:spacing w:after="40"/>
      </w:pP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ScoreBoard Intelligence™ Website Design Baseline V1.0  |  Bitstar®  |  01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73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C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65C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7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