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b/>
          <w:bCs/>
        </w:rPr>
      </w:pPr>
      <w:r>
        <w:rPr>
          <w:b/>
          <w:bCs/>
        </w:rPr>
        <w:t xml:space="preserve">Objective</w:t>
      </w:r>
    </w:p>
    <w:p>
      <w:r>
        <w:t xml:space="preserve">Salesforce is retiring username and password authentication for external integrations and is moving integrations off the legacy Connected App framework onto External Client Apps (ECA). An integration that signs in with a stored username and password will stop connecting once that change reaches the org.</w:t>
      </w:r>
    </w:p>
    <w:p>
      <w:r>
        <w:t xml:space="preserve">A number of Salesforce Data Loader jobs run daily on the batch server. Each one authenticates today with an integration user’s username and an encrypted password held inside its own bean file. This document describes migrating those jobs from username and password authentication to External Client App authentication using the OAuth 2.0 Client Credentials flow.</w:t>
      </w:r>
    </w:p>
    <w:p>
      <w:r>
        <w:rPr>
          <w:b/>
          <w:bCs/>
        </w:rPr>
        <w:t xml:space="preserve">Only the login method changes. </w:t>
      </w:r>
      <w:r>
        <w:t xml:space="preserve">The bean files, batch files, SDL mapping files, folder structure, file paths and the daily schedule on the production server all stay exactly as they are. The only edit made to a bean file is the removal of the four entries that carried the old login. Nothing else in it is touched.</w:t>
      </w:r>
    </w:p>
    <w:p>
      <w:r>
        <w:t xml:space="preserve">The change is being proved first in a local folder that mirrors the production tree, to confirm both that the External Client App login succeeds and that the bulk loads still run correctly through it.</w:t>
      </w:r>
    </w:p>
    <w:p/>
    <w:p>
      <w:pPr>
        <w:rPr>
          <w:b/>
          <w:bCs/>
        </w:rPr>
      </w:pPr>
      <w:r>
        <w:rPr>
          <w:b/>
          <w:bCs/>
        </w:rPr>
        <w:t xml:space="preserve">Prerequisites</w:t>
      </w:r>
    </w:p>
    <w:p>
      <w:r>
        <w:t xml:space="preserve">Before starting the authentication setup, ensure the following are completed in Salesforce:</w:t>
      </w:r>
    </w:p>
    <w:p>
      <w:pPr>
        <w:numPr>
          <w:ilvl w:val="0"/>
          <w:numId w:val="4"/>
        </w:numPr>
        <w:ind w:left="720"/>
      </w:pPr>
      <w:r>
        <w:t xml:space="preserve">External Client Apps are enabled in the Salesforce org.</w:t>
      </w:r>
    </w:p>
    <w:p>
      <w:pPr>
        <w:numPr>
          <w:ilvl w:val="0"/>
          <w:numId w:val="4"/>
        </w:numPr>
        <w:ind w:left="720"/>
      </w:pPr>
      <w:r>
        <w:t xml:space="preserve">An External Client App has been created for the Data Loader integration.</w:t>
      </w:r>
    </w:p>
    <w:p>
      <w:pPr>
        <w:numPr>
          <w:ilvl w:val="0"/>
          <w:numId w:val="4"/>
        </w:numPr>
        <w:ind w:left="720"/>
      </w:pPr>
      <w:r>
        <w:t xml:space="preserve">OAuth settings are enabled on that app.</w:t>
      </w:r>
    </w:p>
    <w:p>
      <w:pPr>
        <w:numPr>
          <w:ilvl w:val="0"/>
          <w:numId w:val="4"/>
        </w:numPr>
        <w:ind w:left="720"/>
      </w:pPr>
      <w:r>
        <w:t xml:space="preserve">The Client Credentials flow is enabled on that app and a Run As user is set.</w:t>
      </w:r>
    </w:p>
    <w:p>
      <w:pPr>
        <w:numPr>
          <w:ilvl w:val="0"/>
          <w:numId w:val="4"/>
        </w:numPr>
        <w:ind w:left="720"/>
      </w:pPr>
      <w:r>
        <w:t xml:space="preserve">The Run As user holds every permission the daily jobs need.</w:t>
      </w:r>
    </w:p>
    <w:p>
      <w:r>
        <w:t xml:space="preserve">And on the batch server:</w:t>
      </w:r>
    </w:p>
    <w:p>
      <w:pPr>
        <w:numPr>
          <w:ilvl w:val="0"/>
          <w:numId w:val="4"/>
        </w:numPr>
        <w:ind w:left="720"/>
      </w:pPr>
      <w:r>
        <w:t xml:space="preserve">The Salesforce CLI (sf) is installed and available on the system PATH.</w:t>
      </w:r>
    </w:p>
    <w:p>
      <w:pPr>
        <w:numPr>
          <w:ilvl w:val="0"/>
          <w:numId w:val="4"/>
        </w:numPr>
        <w:ind w:left="720"/>
      </w:pPr>
      <w:r>
        <w:t xml:space="preserve">curl.exe is present in System32. Windows 10 version 1803 and later ship it as standard.</w:t>
      </w:r>
    </w:p>
    <w:p/>
    <w:p>
      <w:pPr>
        <w:rPr>
          <w:b/>
          <w:bCs/>
        </w:rPr>
      </w:pPr>
      <w:r>
        <w:rPr>
          <w:b/>
          <w:bCs/>
        </w:rPr>
        <w:t xml:space="preserve">Salesforce Configuration Steps</w:t>
      </w:r>
    </w:p>
    <w:p>
      <w:r>
        <w:rPr>
          <w:b/>
          <w:bCs/>
        </w:rPr>
        <w:t xml:space="preserve">Step 1 - Create the External Client App</w:t>
      </w:r>
    </w:p>
    <w:p>
      <w:r>
        <w:t xml:space="preserve">Navigate to:</w:t>
      </w:r>
    </w:p>
    <w:p>
      <w:r>
        <w:rPr>
          <w:rFonts w:ascii="Consolas" w:hAnsi="Consolas"/>
        </w:rPr>
        <w:t xml:space="preserve">Setup → Apps → External Client Apps → External Client App Manager</w:t>
      </w:r>
    </w:p>
    <w:p>
      <w:r>
        <w:t xml:space="preserve">Select New External Client App and give it a name that identifies it as the Data Loader batch integration.</w:t>
      </w:r>
    </w:p>
    <w:p>
      <w:r>
        <w:rPr>
          <w:b/>
          <w:bCs/>
        </w:rPr>
        <w:t xml:space="preserve">[ Screenshot: External Client App Manager, new app ]</w:t>
      </w:r>
    </w:p>
    <w:p/>
    <w:p>
      <w:r>
        <w:rPr>
          <w:b/>
          <w:bCs/>
        </w:rPr>
        <w:t xml:space="preserve">Step 2 - Enable OAuth Settings</w:t>
      </w:r>
    </w:p>
    <w:p>
      <w:r>
        <w:t xml:space="preserve">In the app, open the API (Enable OAuth Settings) section and enable OAuth.</w:t>
      </w:r>
    </w:p>
    <w:p>
      <w:pPr>
        <w:numPr>
          <w:ilvl w:val="0"/>
          <w:numId w:val="4"/>
        </w:numPr>
        <w:ind w:left="720"/>
      </w:pPr>
      <w:r>
        <w:t xml:space="preserve">A Callback URL is required by the form even though the Client Credentials flow never redirects a browser. Any valid HTTPS URL satisfies it.</w:t>
      </w:r>
    </w:p>
    <w:p>
      <w:pPr>
        <w:numPr>
          <w:ilvl w:val="0"/>
          <w:numId w:val="4"/>
        </w:numPr>
        <w:ind w:left="720"/>
      </w:pPr>
      <w:r>
        <w:t xml:space="preserve">Grant the OAuth scope that allows managing user data via APIs. This is the scope the Data Loader jobs need in order to query, insert, update, upsert and delete records.</w:t>
      </w:r>
    </w:p>
    <w:p>
      <w:r>
        <w:rPr>
          <w:b/>
          <w:bCs/>
        </w:rPr>
        <w:t xml:space="preserve">[ Screenshot: OAuth settings and scopes ]</w:t>
      </w:r>
    </w:p>
    <w:p/>
    <w:p>
      <w:r>
        <w:rPr>
          <w:b/>
          <w:bCs/>
        </w:rPr>
        <w:t xml:space="preserve">Step 3 - Enable the Client Credentials Flow and set the Run As user</w:t>
      </w:r>
    </w:p>
    <w:p>
      <w:r>
        <w:t xml:space="preserve">In the app’s policies, enable the Client Credentials flow and set the Run As user.</w:t>
      </w:r>
    </w:p>
    <w:p>
      <w:r>
        <w:rPr>
          <w:b/>
          <w:bCs/>
        </w:rPr>
        <w:t xml:space="preserve">Note: </w:t>
      </w:r>
      <w:r>
        <w:t xml:space="preserve">The Client Credentials flow has no interactive user. Every record the daily jobs read, write or delete is processed as the Run As user, so that user’s profile and permission sets are the effective permissions for the whole integration. Grant it what the jobs need and no more.</w:t>
      </w:r>
    </w:p>
    <w:p>
      <w:r>
        <w:rPr>
          <w:b/>
          <w:bCs/>
        </w:rPr>
        <w:t xml:space="preserve">[ Screenshot: Client Credentials flow enabled, Run As user set ]</w:t>
      </w:r>
    </w:p>
    <w:p/>
    <w:p>
      <w:r>
        <w:rPr>
          <w:b/>
          <w:bCs/>
        </w:rPr>
        <w:t xml:space="preserve">Step 4 - Retrieve the Consumer Key and Consumer Secret</w:t>
      </w:r>
    </w:p>
    <w:p>
      <w:r>
        <w:t xml:space="preserve">Open the app’s OAuth settings and reveal the Consumer Key and Consumer Secret. These two values are what the batch server presents in place of a username and password:</w:t>
      </w:r>
    </w:p>
    <w:tbl>
      <w:tblPr>
        <w:tblW w:w="0" w:type="auto"/>
        <w:tblCellMar>
          <w:left w:w="0" w:type="dxa"/>
          <w:right w:w="0" w:type="dxa"/>
        </w:tblCellMar>
        <w:tblLook w:val="04A0" w:firstRow="1" w:lastRow="0" w:firstColumn="1" w:lastColumn="0" w:noHBand="0" w:noVBand="1"/>
      </w:tblPr>
      <w:tblGrid>
        <w:gridCol w:w="3200"/>
        <w:gridCol w:w="3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Salesforce field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Used on the server as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Key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clientId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Secret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clientSecret</w:t>
            </w:r>
          </w:p>
        </w:tc>
      </w:tr>
    </w:tbl>
    <w:p>
      <w:r>
        <w:rPr>
          <w:b/>
          <w:bCs/>
        </w:rPr>
        <w:t xml:space="preserve">Note: </w:t>
      </w:r>
      <w:r>
        <w:t xml:space="preserve">The Consumer Secret is a credential in its own right. Treat it the way the integration user’s password was treated.</w:t>
      </w:r>
    </w:p>
    <w:p/>
    <w:p>
      <w:r>
        <w:rPr>
          <w:b/>
          <w:bCs/>
        </w:rPr>
        <w:t xml:space="preserve">Step 5 - Service Account Permissions</w:t>
      </w:r>
    </w:p>
    <w:p>
      <w:r>
        <w:t xml:space="preserve">Record the Run As user’s configuration here so the effective access is documented:</w:t>
      </w:r>
    </w:p>
    <w:tbl>
      <w:tblPr>
        <w:tblW w:w="0" w:type="auto"/>
        <w:tblCellMar>
          <w:left w:w="0" w:type="dxa"/>
          <w:right w:w="0" w:type="dxa"/>
        </w:tblCellMar>
        <w:tblLook w:val="04A0" w:firstRow="1" w:lastRow="0" w:firstColumn="1" w:lastColumn="0" w:noHBand="0" w:noVBand="1"/>
      </w:tblPr>
      <w:tblGrid>
        <w:gridCol w:w="2600"/>
        <w:gridCol w:w="4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Setting</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Value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Username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&lt;Run As user&gt;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Profile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&lt;profile name&gt;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Permission sets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&lt;permission sets assigned&gt;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UI access restriction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&lt;API Enabled / API Only User, as applicable&gt;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Login IP ranges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&lt;ranges applied to this account&gt;</w:t>
            </w:r>
          </w:p>
        </w:tc>
      </w:tr>
    </w:tbl>
    <w:p>
      <w:r>
        <w:rPr>
          <w:b/>
          <w:bCs/>
        </w:rPr>
        <w:t xml:space="preserve">Note: </w:t>
      </w:r>
      <w:r>
        <w:t xml:space="preserve">If Login IP Ranges are enforced on the Run As user or its profile, the batch server’s outbound address must fall inside them or the token request is refused.</w:t>
      </w:r>
    </w:p>
    <w:p/>
    <w:p>
      <w:pPr>
        <w:rPr>
          <w:b/>
          <w:bCs/>
        </w:rPr>
      </w:pPr>
      <w:r>
        <w:rPr>
          <w:b/>
          <w:bCs/>
        </w:rPr>
        <w:t xml:space="preserve">Batch Server Configuration</w:t>
      </w:r>
    </w:p>
    <w:p>
      <w:r>
        <w:rPr>
          <w:b/>
          <w:bCs/>
        </w:rPr>
        <w:t xml:space="preserve">Authentication Flow: </w:t>
      </w:r>
      <w:r>
        <w:t xml:space="preserve">The Data Loader jobs authenticate using the OAuth 2.0 Client Credentials Grant. This is a server-to-server flow. There is no browser redirect, no consent screen, no refresh token and no interactive login, which is what makes it suitable for unattended jobs running on a schedule.</w:t>
      </w:r>
    </w:p>
    <w:p/>
    <w:p>
      <w:r>
        <w:rPr>
          <w:b/>
          <w:bCs/>
        </w:rPr>
        <w:t xml:space="preserve">Step 1 - Create the credentials file</w:t>
      </w:r>
    </w:p>
    <w:p>
      <w:r>
        <w:t xml:space="preserve">The client id and client secret are held in a single JSON file, clientcreds.json, kept in the Config folder under the NLG root and shared by every job on the server:</w:t>
      </w:r>
    </w:p>
    <w:p>
      <w:r>
        <w:rPr>
          <w:rFonts w:ascii="Consolas" w:hAnsi="Consolas"/>
        </w:rPr>
        <w:t xml:space="preserve">...\NLG\Config\clientcreds.json</w:t>
      </w:r>
    </w:p>
    <w:p>
      <w:r>
        <w:t xml:space="preserve">It carries four keys:</w:t>
      </w:r>
    </w:p>
    <w:tbl>
      <w:tblPr>
        <w:tblW w:w="0" w:type="auto"/>
        <w:tblCellMar>
          <w:left w:w="0" w:type="dxa"/>
          <w:right w:w="0" w:type="dxa"/>
        </w:tblCellMar>
        <w:tblLook w:val="04A0" w:firstRow="1" w:lastRow="0" w:firstColumn="1" w:lastColumn="0" w:noHBand="0" w:noVBand="1"/>
      </w:tblPr>
      <w:tblGrid>
        <w:gridCol w:w="1800"/>
        <w:gridCol w:w="5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Key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Value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domain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org’s My Domain URL. Use the sandbox URL while testing.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clientId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Key from the External Client App.</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clientSecret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Secret from the External Client App.</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org</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alias every Salesforce CLI command in the run targets.</w:t>
            </w:r>
          </w:p>
        </w:tc>
      </w:tr>
    </w:tbl>
    <w:p>
      <w:r>
        <w:t xml:space="preserve">For example:</w:t>
      </w:r>
    </w:p>
    <w:p>
      <w:r>
        <w:rPr>
          <w:rFonts w:ascii="Consolas" w:hAnsi="Consolas"/>
        </w:rPr>
        <w:t xml:space="preserve">{</w:t>
      </w:r>
    </w:p>
    <w:p>
      <w:r>
        <w:rPr>
          <w:rFonts w:ascii="Consolas" w:hAnsi="Consolas"/>
        </w:rPr>
        <w:t xml:space="preserve">    "domain":       "https://&lt;my-domain&gt;.sandbox.my.salesforce.com",</w:t>
      </w:r>
    </w:p>
    <w:p>
      <w:r>
        <w:rPr>
          <w:rFonts w:ascii="Consolas" w:hAnsi="Consolas"/>
        </w:rPr>
        <w:t xml:space="preserve">    "clientId":     "&lt;Consumer Key&gt;",</w:t>
      </w:r>
    </w:p>
    <w:p>
      <w:r>
        <w:rPr>
          <w:rFonts w:ascii="Consolas" w:hAnsi="Consolas"/>
        </w:rPr>
        <w:t xml:space="preserve">    "clientSecret": "&lt;Consumer Secret&gt;",</w:t>
      </w:r>
    </w:p>
    <w:p>
      <w:r>
        <w:rPr>
          <w:rFonts w:ascii="Consolas" w:hAnsi="Consolas"/>
        </w:rPr>
        <w:t xml:space="preserve">    "org":          "&lt;alias&gt;"</w:t>
      </w:r>
    </w:p>
    <w:p>
      <w:r>
        <w:rPr>
          <w:rFonts w:ascii="Consolas" w:hAnsi="Consolas"/>
        </w:rPr>
        <w:t xml:space="preserve">}</w:t>
      </w:r>
    </w:p>
    <w:p>
      <w:r>
        <w:rPr>
          <w:b/>
          <w:bCs/>
        </w:rPr>
        <w:t xml:space="preserve">Note: </w:t>
      </w:r>
      <w:r>
        <w:t xml:space="preserve">This is the only file edited to move the jobs between orgs. The bean files and the SDL mapping files carry no org information at all.</w:t>
      </w:r>
    </w:p>
    <w:p>
      <w:r>
        <w:rPr>
          <w:b/>
          <w:bCs/>
        </w:rPr>
        <w:t xml:space="preserve">Note: </w:t>
      </w:r>
      <w:r>
        <w:t xml:space="preserve">The file holds a live client secret in clear text, so the Windows permissions on the Config folder are what protect it. Restrict it to the account the scheduled jobs run as.</w:t>
      </w:r>
    </w:p>
    <w:p/>
    <w:p>
      <w:r>
        <w:rPr>
          <w:b/>
          <w:bCs/>
        </w:rPr>
        <w:t xml:space="preserve">Step 2 - Remove the old login entries from the bean file</w:t>
      </w:r>
    </w:p>
    <w:p>
      <w:r>
        <w:t xml:space="preserve">Each bean previously carried the login inline, repeated in every bean in every job folder. Exactly four entries are removed from each bean:</w:t>
      </w:r>
    </w:p>
    <w:p>
      <w:r>
        <w:rPr>
          <w:rFonts w:ascii="Consolas" w:hAnsi="Consolas"/>
        </w:rPr>
        <w:t xml:space="preserve">sfdc.endpoint</w:t>
      </w:r>
    </w:p>
    <w:p>
      <w:r>
        <w:rPr>
          <w:rFonts w:ascii="Consolas" w:hAnsi="Consolas"/>
        </w:rPr>
        <w:t xml:space="preserve">sfdc.username</w:t>
      </w:r>
    </w:p>
    <w:p>
      <w:r>
        <w:rPr>
          <w:rFonts w:ascii="Consolas" w:hAnsi="Consolas"/>
        </w:rPr>
        <w:t xml:space="preserve">sfdc.password</w:t>
      </w:r>
    </w:p>
    <w:p>
      <w:r>
        <w:rPr>
          <w:rFonts w:ascii="Consolas" w:hAnsi="Consolas"/>
        </w:rPr>
        <w:t xml:space="preserve">process.encryptionKeyFile</w:t>
      </w:r>
    </w:p>
    <w:p>
      <w:r>
        <w:t xml:space="preserve">Nothing else in the bean changes. The entity, the operation, the external id field, the source and output file paths, the mapping file, the batch size, the timeout and the timezone are all left exactly as they are.</w:t>
      </w:r>
    </w:p>
    <w:p>
      <w:r>
        <w:rPr>
          <w:b/>
          <w:bCs/>
        </w:rPr>
        <w:t xml:space="preserve">Note: </w:t>
      </w:r>
      <w:r>
        <w:t xml:space="preserve">Because the login is no longer in the bean, the encrypted password and the encryption key file it depended on are no longer read by anything. Once every job has been migrated these can be retired along with the integration user’s password.</w:t>
      </w:r>
    </w:p>
    <w:p/>
    <w:p>
      <w:r>
        <w:rPr>
          <w:b/>
          <w:bCs/>
        </w:rPr>
        <w:t xml:space="preserve">Step 3 - How the authorization works</w:t>
      </w:r>
    </w:p>
    <w:p>
      <w:r>
        <w:t xml:space="preserve">When a batch file starts, it performs the following sequence before any job runs:</w:t>
      </w:r>
    </w:p>
    <w:tbl>
      <w:tblPr>
        <w:tblW w:w="0" w:type="auto"/>
        <w:tblCellMar>
          <w:left w:w="0" w:type="dxa"/>
          <w:right w:w="0" w:type="dxa"/>
        </w:tblCellMar>
        <w:tblLook w:val="04A0" w:firstRow="1" w:lastRow="0" w:firstColumn="1" w:lastColumn="0" w:noHBand="0" w:noVBand="1"/>
      </w:tblPr>
      <w:tblGrid>
        <w:gridCol w:w="600"/>
        <w:gridCol w:w="6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What happens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batch file locates clientcreds.json in the Config folder and reads the org alias from it. The target org is printed to the screen and written to the log before anything is queried, loaded or deleted.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single HTTPS POST is made with curl.exe to the token endpoint:</w:t>
            </w:r>
          </w:p>
          <w:p>
            <w:r>
              <w:t xml:space="preserve">&lt;domain&gt;/services/oauth2/token</w:t>
            </w:r>
          </w:p>
          <w:p>
            <w:r>
              <w:t xml:space="preserve">The form body carries grant_type=client_credentials together with the client id and the client secret.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validates the app and the Run As user, and returns a JSON response containing an access_token and the instance_url of the org.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access token is handed to the Salesforce CLI through an environment variable, never on a command line, using:</w:t>
            </w:r>
          </w:p>
          <w:p>
            <w:r>
              <w:t xml:space="preserve">sf org login access-token -r &lt;instance_url&gt; -a &lt;alias&gt; -p</w:t>
            </w:r>
          </w:p>
          <w:p>
            <w:r>
              <w:t xml:space="preserve">The -p switch persists the login under the alias.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5</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 job in the run then executes against --target-org &lt;alias&gt;. No further login takes place.</w:t>
            </w:r>
          </w:p>
        </w:tc>
      </w:tr>
    </w:tbl>
    <w:p/>
    <w:p>
      <w:r>
        <w:t xml:space="preserve">Three properties of this flow are worth being explicit about:</w:t>
      </w:r>
    </w:p>
    <w:p>
      <w:pPr>
        <w:numPr>
          <w:ilvl w:val="0"/>
          <w:numId w:val="4"/>
        </w:numPr>
        <w:ind w:left="720"/>
      </w:pPr>
      <w:r>
        <w:t xml:space="preserve">One token per run. The token is fetched once, before the first job starts, and every job in that run reuses it. The only exception is a session that expires part way through a long run, which triggers exactly one replacement fetch and one retry of the job that hit it.</w:t>
      </w:r>
    </w:p>
    <w:p>
      <w:pPr>
        <w:numPr>
          <w:ilvl w:val="0"/>
          <w:numId w:val="4"/>
        </w:numPr>
        <w:ind w:left="720"/>
      </w:pPr>
      <w:r>
        <w:t xml:space="preserve">The token response file is deleted on every exit path, success and failure alike, because it holds a live bearer token in clear text.</w:t>
      </w:r>
    </w:p>
    <w:p>
      <w:pPr>
        <w:numPr>
          <w:ilvl w:val="0"/>
          <w:numId w:val="4"/>
        </w:numPr>
        <w:ind w:left="720"/>
      </w:pPr>
      <w:r>
        <w:t xml:space="preserve">There is no refresh token and no password. The client id and client secret are the only long-lived credentials, and they live in one file rather than in every bean.</w:t>
      </w:r>
    </w:p>
    <w:p/>
    <w:p>
      <w:r>
        <w:rPr>
          <w:b/>
          <w:bCs/>
        </w:rPr>
        <w:t xml:space="preserve">Step 4 - Confirm the target org before running</w:t>
      </w:r>
    </w:p>
    <w:p>
      <w:r>
        <w:t xml:space="preserve">Each batch file prints the target org alias on screen and to its log before it does any work. Read it. Because a single credentials file decides which org every job on the box writes to, this line is the check that a run is pointed where it is meant to be.</w:t>
      </w:r>
    </w:p>
    <w:p>
      <w:r>
        <w:rPr>
          <w:b/>
          <w:bCs/>
        </w:rPr>
        <w:t xml:space="preserve">[ Screenshot: Target org banner printed at the start of a run ]</w:t>
      </w:r>
    </w:p>
    <w:p/>
    <w:p>
      <w:pPr>
        <w:rPr>
          <w:b/>
          <w:bCs/>
        </w:rPr>
      </w:pPr>
      <w:r>
        <w:rPr>
          <w:b/>
          <w:bCs/>
        </w:rPr>
        <w:t xml:space="preserve">What Remains Unchanged</w:t>
      </w:r>
    </w:p>
    <w:p>
      <w:r>
        <w:t xml:space="preserve">This migration replaces the login method and nothing else. The following are carried over from the production server untouched:</w:t>
      </w:r>
    </w:p>
    <w:p>
      <w:pPr>
        <w:numPr>
          <w:ilvl w:val="0"/>
          <w:numId w:val="4"/>
        </w:numPr>
        <w:ind w:left="720"/>
      </w:pPr>
      <w:r>
        <w:t xml:space="preserve">The bean files, apart from the four login entries removed from each.</w:t>
      </w:r>
    </w:p>
    <w:p>
      <w:pPr>
        <w:numPr>
          <w:ilvl w:val="0"/>
          <w:numId w:val="4"/>
        </w:numPr>
        <w:ind w:left="720"/>
      </w:pPr>
      <w:r>
        <w:t xml:space="preserve">The SDL mapping files.</w:t>
      </w:r>
    </w:p>
    <w:p>
      <w:pPr>
        <w:numPr>
          <w:ilvl w:val="0"/>
          <w:numId w:val="4"/>
        </w:numPr>
        <w:ind w:left="720"/>
      </w:pPr>
      <w:r>
        <w:t xml:space="preserve">Every file path: source data, load results, archive folders and logs.</w:t>
      </w:r>
    </w:p>
    <w:p>
      <w:pPr>
        <w:numPr>
          <w:ilvl w:val="0"/>
          <w:numId w:val="4"/>
        </w:numPr>
        <w:ind w:left="720"/>
      </w:pPr>
      <w:r>
        <w:t xml:space="preserve">The batch size, timeout, timezone and every other Data Loader setting in the beans.</w:t>
      </w:r>
    </w:p>
    <w:p>
      <w:pPr>
        <w:numPr>
          <w:ilvl w:val="0"/>
          <w:numId w:val="4"/>
        </w:numPr>
        <w:ind w:left="720"/>
      </w:pPr>
      <w:r>
        <w:t xml:space="preserve">The folder structure on the server.</w:t>
      </w:r>
    </w:p>
    <w:p>
      <w:pPr>
        <w:numPr>
          <w:ilvl w:val="0"/>
          <w:numId w:val="4"/>
        </w:numPr>
        <w:ind w:left="720"/>
      </w:pPr>
      <w:r>
        <w:t xml:space="preserve">The scheduled tasks and the order the jobs run in.</w:t>
      </w:r>
    </w:p>
    <w:p>
      <w:r>
        <w:t xml:space="preserve">The bean file remains the single source of truth for what each job does. The entity, the operation, the source or output file and the mapping file are all still read from it.</w:t>
      </w:r>
    </w:p>
    <w:p/>
    <w:p>
      <w:pPr>
        <w:rPr>
          <w:b/>
          <w:bCs/>
        </w:rPr>
      </w:pPr>
      <w:r>
        <w:rPr>
          <w:b/>
          <w:bCs/>
        </w:rPr>
        <w:t xml:space="preserve">Validation</w:t>
      </w:r>
    </w:p>
    <w:p>
      <w:r>
        <w:t xml:space="preserve">Validate the following after the credentials file is in place:</w:t>
      </w:r>
    </w:p>
    <w:p>
      <w:pPr>
        <w:numPr>
          <w:ilvl w:val="0"/>
          <w:numId w:val="4"/>
        </w:numPr>
        <w:ind w:left="720"/>
      </w:pPr>
      <w:r>
        <w:t xml:space="preserve">The token request succeeds and no authentication error appears in the log.</w:t>
      </w:r>
    </w:p>
    <w:p>
      <w:pPr>
        <w:numPr>
          <w:ilvl w:val="0"/>
          <w:numId w:val="4"/>
        </w:numPr>
        <w:ind w:left="720"/>
      </w:pPr>
      <w:r>
        <w:t xml:space="preserve">The target org printed at the start of the run is the org that was intended.</w:t>
      </w:r>
    </w:p>
    <w:p>
      <w:pPr>
        <w:numPr>
          <w:ilvl w:val="0"/>
          <w:numId w:val="4"/>
        </w:numPr>
        <w:ind w:left="720"/>
      </w:pPr>
      <w:r>
        <w:t xml:space="preserve">A read-only job completes and returns the row count that is expected.</w:t>
      </w:r>
    </w:p>
    <w:p>
      <w:pPr>
        <w:numPr>
          <w:ilvl w:val="0"/>
          <w:numId w:val="4"/>
        </w:numPr>
        <w:ind w:left="720"/>
      </w:pPr>
      <w:r>
        <w:t xml:space="preserve">A bulk load completes, and the success and error counts match what the same job produced before the migration.</w:t>
      </w:r>
    </w:p>
    <w:p>
      <w:pPr>
        <w:numPr>
          <w:ilvl w:val="0"/>
          <w:numId w:val="4"/>
        </w:numPr>
        <w:ind w:left="720"/>
      </w:pPr>
      <w:r>
        <w:t xml:space="preserve">Result, archive and log files land in the same folders they always did.</w:t>
      </w:r>
    </w:p>
    <w:p>
      <w:pPr>
        <w:numPr>
          <w:ilvl w:val="0"/>
          <w:numId w:val="4"/>
        </w:numPr>
        <w:ind w:left="720"/>
      </w:pPr>
      <w:r>
        <w:t xml:space="preserve">The login history of the Run As user shows the connection, and shows it was not blocked by an IP restriction.</w:t>
      </w:r>
    </w:p>
    <w:p/>
    <w:p>
      <w:pPr>
        <w:rPr>
          <w:b/>
          <w:bCs/>
        </w:rPr>
      </w:pPr>
      <w:r>
        <w:rPr>
          <w:b/>
          <w:bCs/>
        </w:rPr>
        <w:t xml:space="preserve">Troubleshooting Checklist</w:t>
      </w:r>
    </w:p>
    <w:p>
      <w:r>
        <w:t xml:space="preserve">If authentication fails, verify:</w:t>
      </w:r>
    </w:p>
    <w:p>
      <w:pPr>
        <w:numPr>
          <w:ilvl w:val="0"/>
          <w:numId w:val="4"/>
        </w:numPr>
        <w:ind w:left="720"/>
      </w:pPr>
      <w:r>
        <w:t xml:space="preserve">clientcreds.json is present in the NLG Config folder, not in an individual job’s Config folder.</w:t>
      </w:r>
    </w:p>
    <w:p>
      <w:pPr>
        <w:numPr>
          <w:ilvl w:val="0"/>
          <w:numId w:val="4"/>
        </w:numPr>
        <w:ind w:left="720"/>
      </w:pPr>
      <w:r>
        <w:t xml:space="preserve">All four keys are present in it: domain, clientId, clientSecret and org.</w:t>
      </w:r>
    </w:p>
    <w:p>
      <w:pPr>
        <w:numPr>
          <w:ilvl w:val="0"/>
          <w:numId w:val="4"/>
        </w:numPr>
        <w:ind w:left="720"/>
      </w:pPr>
      <w:r>
        <w:t xml:space="preserve">domain is the org’s My Domain URL. A generic login URL will not serve the Client Credentials flow.</w:t>
      </w:r>
    </w:p>
    <w:p>
      <w:pPr>
        <w:numPr>
          <w:ilvl w:val="0"/>
          <w:numId w:val="4"/>
        </w:numPr>
        <w:ind w:left="720"/>
      </w:pPr>
      <w:r>
        <w:t xml:space="preserve">The sandbox URL is being used while testing, and the production URL only when cutting over.</w:t>
      </w:r>
    </w:p>
    <w:p>
      <w:pPr>
        <w:numPr>
          <w:ilvl w:val="0"/>
          <w:numId w:val="4"/>
        </w:numPr>
        <w:ind w:left="720"/>
      </w:pPr>
      <w:r>
        <w:t xml:space="preserve">The Client Credentials flow is enabled on the External Client App.</w:t>
      </w:r>
    </w:p>
    <w:p>
      <w:pPr>
        <w:numPr>
          <w:ilvl w:val="0"/>
          <w:numId w:val="4"/>
        </w:numPr>
        <w:ind w:left="720"/>
      </w:pPr>
      <w:r>
        <w:t xml:space="preserve">A Run As user is set on the app, and that user is active.</w:t>
      </w:r>
    </w:p>
    <w:p>
      <w:pPr>
        <w:numPr>
          <w:ilvl w:val="0"/>
          <w:numId w:val="4"/>
        </w:numPr>
        <w:ind w:left="720"/>
      </w:pPr>
      <w:r>
        <w:t xml:space="preserve">The Run As user has the permissions the job needs on the object it touches.</w:t>
      </w:r>
    </w:p>
    <w:p>
      <w:pPr>
        <w:numPr>
          <w:ilvl w:val="0"/>
          <w:numId w:val="4"/>
        </w:numPr>
        <w:ind w:left="720"/>
      </w:pPr>
      <w:r>
        <w:t xml:space="preserve">No Login IP range blocks the batch server’s outbound address.</w:t>
      </w:r>
    </w:p>
    <w:p>
      <w:pPr>
        <w:numPr>
          <w:ilvl w:val="0"/>
          <w:numId w:val="4"/>
        </w:numPr>
        <w:ind w:left="720"/>
      </w:pPr>
      <w:r>
        <w:t xml:space="preserve">The client secret was copied in full and has not been regenerated since.</w:t>
      </w:r>
    </w:p>
    <w:p>
      <w:pPr>
        <w:numPr>
          <w:ilvl w:val="0"/>
          <w:numId w:val="4"/>
        </w:numPr>
        <w:ind w:left="720"/>
      </w:pPr>
      <w:r>
        <w:t xml:space="preserve">The Salesforce CLI is installed and on the PATH of the account the scheduled task runs as.</w:t>
      </w:r>
    </w:p>
    <w:p>
      <w:pPr>
        <w:numPr>
          <w:ilvl w:val="0"/>
          <w:numId w:val="4"/>
        </w:numPr>
        <w:ind w:left="720"/>
      </w:pPr>
      <w:r>
        <w:t xml:space="preserve">The org alias in the credentials file matches the alias the run reports.</w:t>
      </w:r>
    </w:p>
    <w:sectPr w:rsidR="001120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B7C34"/>
    <w:multiLevelType w:val="multilevel"/>
    <w:tmpl w:val="4710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932D8"/>
    <w:multiLevelType w:val="multilevel"/>
    <w:tmpl w:val="82CC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C41F51"/>
    <w:multiLevelType w:val="multilevel"/>
    <w:tmpl w:val="5D5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FB03C0C"/>
    <w:multiLevelType w:val="multilevel"/>
    <w:tmpl w:val="C6E24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7653332">
    <w:abstractNumId w:val="3"/>
  </w:num>
  <w:num w:numId="2" w16cid:durableId="1736202764">
    <w:abstractNumId w:val="2"/>
  </w:num>
  <w:num w:numId="3" w16cid:durableId="151408285">
    <w:abstractNumId w:val="1"/>
  </w:num>
  <w:num w:numId="4" w16cid:durableId="2032758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086"/>
    <w:rsid w:val="00112086"/>
    <w:rsid w:val="001D0525"/>
    <w:rsid w:val="00344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5733C"/>
  <w15:chartTrackingRefBased/>
  <w15:docId w15:val="{24023DC0-7DAB-4BA9-884C-76177EAEB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20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20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20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2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2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2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2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2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2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20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20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20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2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2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2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2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2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2086"/>
    <w:rPr>
      <w:rFonts w:eastAsiaTheme="majorEastAsia" w:cstheme="majorBidi"/>
      <w:color w:val="272727" w:themeColor="text1" w:themeTint="D8"/>
    </w:rPr>
  </w:style>
  <w:style w:type="paragraph" w:styleId="Title">
    <w:name w:val="Title"/>
    <w:basedOn w:val="Normal"/>
    <w:next w:val="Normal"/>
    <w:link w:val="TitleChar"/>
    <w:uiPriority w:val="10"/>
    <w:qFormat/>
    <w:rsid w:val="001120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0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2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2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2086"/>
    <w:pPr>
      <w:spacing w:before="160"/>
      <w:jc w:val="center"/>
    </w:pPr>
    <w:rPr>
      <w:i/>
      <w:iCs/>
      <w:color w:val="404040" w:themeColor="text1" w:themeTint="BF"/>
    </w:rPr>
  </w:style>
  <w:style w:type="character" w:customStyle="1" w:styleId="QuoteChar">
    <w:name w:val="Quote Char"/>
    <w:basedOn w:val="DefaultParagraphFont"/>
    <w:link w:val="Quote"/>
    <w:uiPriority w:val="29"/>
    <w:rsid w:val="00112086"/>
    <w:rPr>
      <w:i/>
      <w:iCs/>
      <w:color w:val="404040" w:themeColor="text1" w:themeTint="BF"/>
    </w:rPr>
  </w:style>
  <w:style w:type="paragraph" w:styleId="ListParagraph">
    <w:name w:val="List Paragraph"/>
    <w:basedOn w:val="Normal"/>
    <w:uiPriority w:val="34"/>
    <w:qFormat/>
    <w:rsid w:val="00112086"/>
    <w:pPr>
      <w:ind w:left="720"/>
      <w:contextualSpacing/>
    </w:pPr>
  </w:style>
  <w:style w:type="character" w:styleId="IntenseEmphasis">
    <w:name w:val="Intense Emphasis"/>
    <w:basedOn w:val="DefaultParagraphFont"/>
    <w:uiPriority w:val="21"/>
    <w:qFormat/>
    <w:rsid w:val="00112086"/>
    <w:rPr>
      <w:i/>
      <w:iCs/>
      <w:color w:val="0F4761" w:themeColor="accent1" w:themeShade="BF"/>
    </w:rPr>
  </w:style>
  <w:style w:type="paragraph" w:styleId="IntenseQuote">
    <w:name w:val="Intense Quote"/>
    <w:basedOn w:val="Normal"/>
    <w:next w:val="Normal"/>
    <w:link w:val="IntenseQuoteChar"/>
    <w:uiPriority w:val="30"/>
    <w:qFormat/>
    <w:rsid w:val="00112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2086"/>
    <w:rPr>
      <w:i/>
      <w:iCs/>
      <w:color w:val="0F4761" w:themeColor="accent1" w:themeShade="BF"/>
    </w:rPr>
  </w:style>
  <w:style w:type="character" w:styleId="IntenseReference">
    <w:name w:val="Intense Reference"/>
    <w:basedOn w:val="DefaultParagraphFont"/>
    <w:uiPriority w:val="32"/>
    <w:qFormat/>
    <w:rsid w:val="00112086"/>
    <w:rPr>
      <w:b/>
      <w:bCs/>
      <w:smallCaps/>
      <w:color w:val="0F4761" w:themeColor="accent1" w:themeShade="BF"/>
      <w:spacing w:val="5"/>
    </w:rPr>
  </w:style>
  <w:style w:type="character" w:styleId="Hyperlink">
    <w:name w:val="Hyperlink"/>
    <w:basedOn w:val="DefaultParagraphFont"/>
    <w:uiPriority w:val="99"/>
    <w:unhideWhenUsed/>
    <w:rsid w:val="00112086"/>
    <w:rPr>
      <w:color w:val="467886" w:themeColor="hyperlink"/>
      <w:u w:val="single"/>
    </w:rPr>
  </w:style>
  <w:style w:type="character" w:styleId="UnresolvedMention">
    <w:name w:val="Unresolved Mention"/>
    <w:basedOn w:val="DefaultParagraphFont"/>
    <w:uiPriority w:val="99"/>
    <w:semiHidden/>
    <w:unhideWhenUsed/>
    <w:rsid w:val="001120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gin.salesforce.com/" TargetMode="Externa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dentitynowuser@nationallife.com" TargetMode="External"/><Relationship Id="rId11" Type="http://schemas.openxmlformats.org/officeDocument/2006/relationships/theme" Target="theme/theme1.xml"/><Relationship Id="rId5" Type="http://schemas.openxmlformats.org/officeDocument/2006/relationships/hyperlink" Target="mailto:identitynowuser@nationallif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est.salesfor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5</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Salesforce Data Loader - Migration to External Client App Authentication</dc:title>
  <dc:subject/>
  <dc:creator/>
  <cp:keywords/>
  <dc:description/>
  <cp:lastModifiedBy/>
  <cp:revision>1</cp:revision>
  <dcterms:created xsi:type="dcterms:W3CDTF">2026-09-10T07:43:00Z</dcterms:created>
  <dcterms:modified xsi:type="dcterms:W3CDTF">2026-09-10T08:09:00Z</dcterms:modified>
</cp:coreProperties>
</file>