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200"/>
        <w:jc w:val="center"/>
      </w:pPr>
      <w:r>
        <w:rPr>
          <w:rFonts w:ascii="Arial" w:cs="Arial" w:eastAsia="Arial" w:hAnsi="Arial"/>
          <w:b/>
          <w:bCs/>
          <w:color w:val="1F5C99"/>
          <w:sz w:val="52"/>
          <w:szCs w:val="52"/>
        </w:rPr>
        <w:t xml:space="preserve">Phase-Change Micro-Encapsulated Water (MPCW)</w:t>
      </w:r>
    </w:p>
    <w:p>
      <w:pPr>
        <w:spacing w:after="200"/>
        <w:jc w:val="center"/>
      </w:pPr>
      <w:r>
        <w:rPr>
          <w:rFonts w:ascii="Arial" w:cs="Arial" w:eastAsia="Arial" w:hAnsi="Arial"/>
          <w:b/>
          <w:bCs/>
          <w:color w:val="1F5C99"/>
          <w:sz w:val="44"/>
          <w:szCs w:val="44"/>
        </w:rPr>
        <w:t xml:space="preserve">Cooling for AI Datacentres</w:t>
      </w:r>
    </w:p>
    <w:p>
      <w:pPr>
        <w:spacing w:after="600"/>
        <w:jc w:val="center"/>
      </w:pPr>
      <w:r>
        <w:rPr>
          <w:rFonts w:ascii="Arial" w:cs="Arial" w:eastAsia="Arial" w:hAnsi="Arial"/>
          <w:i/>
          <w:iCs/>
          <w:color w:val="555555"/>
          <w:sz w:val="28"/>
          <w:szCs w:val="28"/>
        </w:rPr>
        <w:t xml:space="preserve">A Novel Approach to Eliminating Evaporative Water Loss</w:t>
      </w:r>
    </w:p>
    <w:p>
      <w:pPr>
        <w:spacing w:after="120"/>
        <w:jc w:val="center"/>
      </w:pPr>
      <w:r>
        <w:rPr>
          <w:rFonts w:ascii="Arial" w:cs="Arial" w:eastAsia="Arial" w:hAnsi="Arial"/>
          <w:color w:val="888888"/>
          <w:sz w:val="24"/>
          <w:szCs w:val="24"/>
        </w:rPr>
        <w:t xml:space="preserve">Research Concept Paper</w:t>
      </w:r>
    </w:p>
    <w:p>
      <w:pPr>
        <w:spacing w:after="120"/>
        <w:jc w:val="center"/>
      </w:pPr>
      <w:r>
        <w:rPr>
          <w:rFonts w:ascii="Arial" w:cs="Arial" w:eastAsia="Arial" w:hAnsi="Arial"/>
          <w:color w:val="888888"/>
          <w:sz w:val="24"/>
          <w:szCs w:val="24"/>
        </w:rPr>
        <w:t xml:space="preserve">2026</w:t>
      </w:r>
    </w:p>
    <w:p>
      <w:pPr>
        <w:spacing w:after="80"/>
      </w:pPr>
      <w:r>
        <w:t xml:space="preserve"/>
      </w:r>
    </w:p>
    <w:p>
      <w:pPr>
        <w:spacing w:after="80"/>
      </w:pPr>
      <w:r>
        <w:t xml:space="preserve"/>
      </w:r>
    </w:p>
    <w:p>
      <w:pPr>
        <w:spacing w:after="80"/>
      </w:pPr>
      <w:r>
        <w:t xml:space="preserve"/>
      </w:r>
    </w:p>
    <w:p>
      <w:pPr>
        <w:spacing w:after="80"/>
      </w:pPr>
      <w:r>
        <w:t xml:space="preserve"/>
      </w:r>
    </w:p>
    <w:p>
      <w:pPr>
        <w:pStyle w:val="Heading1"/>
      </w:pPr>
      <w:r>
        <w:rPr>
          <w:b/>
          <w:bCs/>
        </w:rPr>
        <w:t xml:space="preserve">1. Introduction</w:t>
      </w:r>
    </w:p>
    <w:p>
      <w:pPr>
        <w:spacing w:after="160"/>
      </w:pPr>
      <w:r>
        <w:t xml:space="preserve">AI datacentres are among the fastest-growing consumers of freshwater globally. The primary driver is evaporative cooling — the dominant method by which heat is rejected from servers to the environment. Cooling towers, wet chillers, and adiabatic systems all rely on phase-change evaporation of water, which is then released as water vapour and permanently lost from the local water cycle.</w:t>
      </w:r>
    </w:p>
    <w:p>
      <w:pPr>
        <w:spacing w:after="160"/>
      </w:pPr>
      <w:r>
        <w:t xml:space="preserve">A single large-scale AI training facility can consume between 1 and 5 million litres of water per day. As AI compute demand accelerates, this figure is projected to grow substantially, placing increasing pressure on municipal water infrastructure and regional water security.</w:t>
      </w:r>
    </w:p>
    <w:p>
      <w:pPr>
        <w:spacing w:after="160"/>
      </w:pPr>
      <w:r>
        <w:t xml:space="preserve">The fundamental problem is architectural: existing systems use water as a disposable thermal transport medium rather than a recoverable one. This paper proposes a novel solution — Phase-Change Micro-Encapsulated Water (MPCW) cooling — in which water retains its exceptional thermal properties while being permanently enclosed within a polymer shell, preventing any evaporative loss.</w:t>
      </w:r>
    </w:p>
    <w:p>
      <w:pPr>
        <w:pStyle w:val="Heading1"/>
      </w:pPr>
      <w:r>
        <w:rPr>
          <w:b/>
          <w:bCs/>
        </w:rPr>
        <w:t xml:space="preserve">2. The Core Concept</w:t>
      </w:r>
    </w:p>
    <w:p>
      <w:pPr>
        <w:spacing w:after="160"/>
      </w:pPr>
      <w:r>
        <w:t xml:space="preserve">Water has one of the highest latent heats of any substance — 2,260 kJ/kg at 100°C — making it an exceptionally efficient thermal transport medium. The barrier to its use in closed-loop cooling systems has always been its tendency to evaporate, requiring constant replenishment. Micro-encapsulation eliminates this barrier.</w:t>
      </w:r>
    </w:p>
    <w:p>
      <w:pPr>
        <w:spacing w:after="160"/>
      </w:pPr>
      <w:r>
        <w:t xml:space="preserve">In the MPCW approach, microscopic water droplets (1–100 microns in diameter) are enclosed within a thin, thermally conductive polymer or inorganic shell. The resulting microcapsule slurry is pumped through cold plates in direct contact with server chips. As heat is absorbed, the water core undergoes a phase transition, absorbing latent heat. The slurry then flows to a heat exchanger, where the capsules release heat and the water reverts to its original phase. No water escapes the system at any point.</w:t>
      </w:r>
    </w:p>
    <w:p>
      <w:pPr>
        <w:pStyle w:val="Heading2"/>
      </w:pPr>
      <w:r>
        <w:rPr>
          <w:b/>
          <w:bCs/>
        </w:rPr>
        <w:t xml:space="preserve">2.1 System Flow Diagram</w:t>
      </w:r>
    </w:p>
    <w:p>
      <w:pPr>
        <w:spacing w:after="160"/>
      </w:pPr>
      <w:r>
        <w:t xml:space="preserve">The cooling cycle operates as follows:</w:t>
      </w:r>
    </w:p>
    <w:p>
      <w:pPr>
        <w:pStyle w:val="ListParagraph"/>
        <w:numPr>
          <w:ilvl w:val="0"/>
          <w:numId w:val="2"/>
        </w:numPr>
        <w:spacing w:after="100"/>
      </w:pPr>
      <w:r>
        <w:t xml:space="preserve">Chip heat source generates thermal load (50–100 W/cm²)</w:t>
      </w:r>
    </w:p>
    <w:p>
      <w:pPr>
        <w:pStyle w:val="ListParagraph"/>
        <w:numPr>
          <w:ilvl w:val="0"/>
          <w:numId w:val="2"/>
        </w:numPr>
        <w:spacing w:after="100"/>
      </w:pPr>
      <w:r>
        <w:t xml:space="preserve">MPCW slurry flows through cold plate in contact with chip</w:t>
      </w:r>
    </w:p>
    <w:p>
      <w:pPr>
        <w:pStyle w:val="ListParagraph"/>
        <w:numPr>
          <w:ilvl w:val="0"/>
          <w:numId w:val="2"/>
        </w:numPr>
        <w:spacing w:after="100"/>
      </w:pPr>
      <w:r>
        <w:t xml:space="preserve">Water core inside each capsule absorbs heat → undergoes phase transition</w:t>
      </w:r>
    </w:p>
    <w:p>
      <w:pPr>
        <w:pStyle w:val="ListParagraph"/>
        <w:numPr>
          <w:ilvl w:val="0"/>
          <w:numId w:val="2"/>
        </w:numPr>
        <w:spacing w:after="100"/>
      </w:pPr>
      <w:r>
        <w:t xml:space="preserve">Capsule shell prevents evaporation or escape of water</w:t>
      </w:r>
    </w:p>
    <w:p>
      <w:pPr>
        <w:pStyle w:val="ListParagraph"/>
        <w:numPr>
          <w:ilvl w:val="0"/>
          <w:numId w:val="2"/>
        </w:numPr>
        <w:spacing w:after="100"/>
      </w:pPr>
      <w:r>
        <w:t xml:space="preserve">Slurry flows to heat exchanger or dry cooler</w:t>
      </w:r>
    </w:p>
    <w:p>
      <w:pPr>
        <w:pStyle w:val="ListParagraph"/>
        <w:numPr>
          <w:ilvl w:val="0"/>
          <w:numId w:val="2"/>
        </w:numPr>
        <w:spacing w:after="100"/>
      </w:pPr>
      <w:r>
        <w:t xml:space="preserve">Capsules release heat; water returns to original phase</w:t>
      </w:r>
    </w:p>
    <w:p>
      <w:pPr>
        <w:pStyle w:val="ListParagraph"/>
        <w:numPr>
          <w:ilvl w:val="0"/>
          <w:numId w:val="2"/>
        </w:numPr>
        <w:spacing w:after="100"/>
      </w:pPr>
      <w:r>
        <w:t xml:space="preserve">Slurry recirculated — zero net water consumed</w:t>
      </w:r>
    </w:p>
    <w:p>
      <w:pPr>
        <w:spacing w:after="80"/>
      </w:pPr>
      <w:r>
        <w:t xml:space="preserve"/>
      </w:r>
    </w:p>
    <w:p>
      <w:pPr>
        <w:pStyle w:val="Heading1"/>
      </w:pPr>
      <w:r>
        <w:rPr>
          <w:b/>
          <w:bCs/>
        </w:rPr>
        <w:t xml:space="preserve">3. Design Variants</w:t>
      </w:r>
    </w:p>
    <w:p>
      <w:pPr>
        <w:spacing w:after="160"/>
      </w:pPr>
      <w:r>
        <w:t xml:space="preserve">Two primary variants are proposed, differing in the phase transition exploited:</w:t>
      </w:r>
    </w:p>
    <w:p>
      <w:pPr>
        <w:pStyle w:val="Heading2"/>
      </w:pPr>
      <w:r>
        <w:rPr>
          <w:b/>
          <w:bCs/>
        </w:rPr>
        <w:t xml:space="preserve">3.1 Variant A — Solid/Liquid (Ice Slurry)</w:t>
      </w:r>
    </w:p>
    <w:p>
      <w:pPr>
        <w:spacing w:after="160"/>
      </w:pPr>
      <w:r>
        <w:t xml:space="preserve">Encapsulate water with a nucleating agent so it freezes at 15–20°C. The slurry acts as a thermal battery with enormous heat absorption capacity. This variant is more compatible with existing liquid cooling infrastructure and operates at temperatures directly relevant to server inlet requirements.</w:t>
      </w:r>
    </w:p>
    <w:p>
      <w:pPr>
        <w:spacing w:after="160"/>
      </w:pPr>
      <w:r>
        <w:t xml:space="preserve">The key advantage is that ice/water phase change at near-ambient temperatures aligns well with datacentre thermal management requirements. The 9% volume expansion on freezing is the primary engineering challenge (addressed in Section 5).</w:t>
      </w:r>
    </w:p>
    <w:p>
      <w:pPr>
        <w:pStyle w:val="Heading2"/>
      </w:pPr>
      <w:r>
        <w:rPr>
          <w:b/>
          <w:bCs/>
        </w:rPr>
        <w:t xml:space="preserve">3.2 Variant B — Liquid/Vapour (Internal Vapour)</w:t>
      </w:r>
    </w:p>
    <w:p>
      <w:pPr>
        <w:spacing w:after="160"/>
      </w:pPr>
      <w:r>
        <w:t xml:space="preserve">Encapsulate water in an elastic polymer shell that permits internal vaporisation. The water vaporises within the sealed capsule, absorbing substantially higher latent heat, then condenses as the capsule cools at the heat exchanger. This variant achieves far higher energy density but requires more sophisticated shell engineering to accommodate internal pressure cycling.</w:t>
      </w:r>
    </w:p>
    <w:p>
      <w:pPr>
        <w:pStyle w:val="Heading1"/>
      </w:pPr>
      <w:r>
        <w:rPr>
          <w:b/>
          <w:bCs/>
        </w:rPr>
        <w:t xml:space="preserve">4. Shell Material Analysis</w:t>
      </w:r>
    </w:p>
    <w:p>
      <w:pPr>
        <w:spacing w:after="160"/>
      </w:pPr>
      <w:r>
        <w:t xml:space="preserve">The shell is the critical enabling technology. It must simultaneously satisfy four competing requirements: high thermal conductivity (to allow heat transfer), mechanical robustness (to survive millions of cycles), water impermeability (zero vapour transmission), and small enough dimensions (1–100 microns) to remain pumpable as a slurry.</w:t>
      </w:r>
    </w:p>
    <w:p>
      <w:pPr>
        <w:spacing w:after="160"/>
      </w:pPr>
      <w:r>
        <w:t xml:space="preserve">The following candidate materials have not previously been evaluated for water-core PCM encapsulation and represent the primary research contribution of this paper: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160"/>
        <w:gridCol w:w="2000"/>
      </w:tblGrid>
      <w:tr>
        <w:trPr>
          <w:tblHeader/>
        </w:trPr>
        <w:tc>
          <w:tcPr>
            <w:tcW w:type="dxa" w:w="22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tcPr>
          <w:p>
            <w:r>
              <w:rPr>
                <w:b/>
                <w:bCs/>
                <w:color w:val="FFFFFF"/>
                <w:sz w:val="20"/>
                <w:szCs w:val="20"/>
              </w:rPr>
              <w:t xml:space="preserve">Material</w:t>
            </w:r>
          </w:p>
        </w:tc>
        <w:tc>
          <w:tcPr>
            <w:tcW w:type="dxa" w:w="30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tcPr>
          <w:p>
            <w:r>
              <w:rPr>
                <w:b/>
                <w:bCs/>
                <w:color w:val="FFFFFF"/>
                <w:sz w:val="20"/>
                <w:szCs w:val="20"/>
              </w:rPr>
              <w:t xml:space="preserve">Why Promising</w:t>
            </w:r>
          </w:p>
        </w:tc>
        <w:tc>
          <w:tcPr>
            <w:tcW w:type="dxa" w:w="216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tcPr>
          <w:p>
            <w:r>
              <w:rPr>
                <w:b/>
                <w:bCs/>
                <w:color w:val="FFFFFF"/>
                <w:sz w:val="20"/>
                <w:szCs w:val="20"/>
              </w:rPr>
              <w:t xml:space="preserve">Key Gap</w:t>
            </w:r>
          </w:p>
        </w:tc>
        <w:tc>
          <w:tcPr>
            <w:tcW w:type="dxa" w:w="20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tcPr>
          <w:p>
            <w:r>
              <w:rPr>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sz w:val="20"/>
                <w:szCs w:val="20"/>
              </w:rPr>
              <w:t xml:space="preserve">Graphene oxide shells</w:t>
            </w:r>
          </w:p>
        </w:tc>
        <w:tc>
          <w:tcPr>
            <w:tcW w:type="dxa" w:w="30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sz w:val="20"/>
                <w:szCs w:val="20"/>
              </w:rPr>
              <w:t xml:space="preserve">Exceptional thermal conductivity, strong water barrier properties</w:t>
            </w:r>
          </w:p>
        </w:tc>
        <w:tc>
          <w:tcPr>
            <w:tcW w:type="dxa" w:w="21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sz w:val="20"/>
                <w:szCs w:val="20"/>
              </w:rPr>
              <w:t xml:space="preserve">Never formed around water PCM core</w:t>
            </w:r>
          </w:p>
        </w:tc>
        <w:tc>
          <w:tcPr>
            <w:tcW w:type="dxa" w:w="20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Silica sol-gel coating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Rigid, proven in paraffin PCM systems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Water core entirely untested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sz w:val="20"/>
                <w:szCs w:val="20"/>
              </w:rPr>
              <w:t xml:space="preserve">Polyurea membranes</w:t>
            </w:r>
          </w:p>
        </w:tc>
        <w:tc>
          <w:tcPr>
            <w:tcW w:type="dxa" w:w="30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sz w:val="20"/>
                <w:szCs w:val="20"/>
              </w:rPr>
              <w:t xml:space="preserve">Elastic, can survive expansion on freezing</w:t>
            </w:r>
          </w:p>
        </w:tc>
        <w:tc>
          <w:tcPr>
            <w:tcW w:type="dxa" w:w="21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sz w:val="20"/>
                <w:szCs w:val="20"/>
              </w:rPr>
              <w:t xml:space="preserve">Vapour permeability under cycling unknown</w:t>
            </w:r>
          </w:p>
        </w:tc>
        <w:tc>
          <w:tcPr>
            <w:tcW w:type="dxa" w:w="20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Metal-organic frameworks (MOFs)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Tunable pore size, rigid, chemically stable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Completely unexplored in this context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Exploratory</w:t>
            </w:r>
          </w:p>
        </w:tc>
      </w:tr>
    </w:tbl>
    <w:p>
      <w:pPr>
        <w:spacing w:after="80"/>
      </w:pPr>
      <w:r>
        <w:t xml:space="preserve"/>
      </w:r>
    </w:p>
    <w:p>
      <w:pPr>
        <w:pStyle w:val="Heading1"/>
      </w:pPr>
      <w:r>
        <w:rPr>
          <w:b/>
          <w:bCs/>
        </w:rPr>
        <w:t xml:space="preserve">5. Key Engineering Challenges</w:t>
      </w:r>
    </w:p>
    <w:p>
      <w:pPr>
        <w:pStyle w:val="Heading2"/>
      </w:pPr>
      <w:r>
        <w:rPr>
          <w:b/>
          <w:bCs/>
        </w:rPr>
        <w:t xml:space="preserve">5.1 Volume Expansion on Freezing</w:t>
      </w:r>
    </w:p>
    <w:p>
      <w:pPr>
        <w:spacing w:after="160"/>
      </w:pPr>
      <w:r>
        <w:t xml:space="preserve">Water expands approximately 9% upon freezing. Most rigid shell materials crack under this stress, which is the primary reason water has historically been avoided as a PCM core. This paper proposes that modern elastic polymer shells — specifically polyurea and polyurethane variants — can accommodate this expansion through controlled buckling geometry. A corrugated shell microstructure analogous to a bellows could absorb the volume change without rupture. This hypothesis requires experimental validation and constitutes a primary research objective.</w:t>
      </w:r>
    </w:p>
    <w:p>
      <w:pPr>
        <w:pStyle w:val="Heading2"/>
      </w:pPr>
      <w:r>
        <w:rPr>
          <w:b/>
          <w:bCs/>
        </w:rPr>
        <w:t xml:space="preserve">5.2 Nucleation Control</w:t>
      </w:r>
    </w:p>
    <w:p>
      <w:pPr>
        <w:spacing w:after="160"/>
      </w:pPr>
      <w:r>
        <w:t xml:space="preserve">Water supercools readily, resisting freezing until well below 0°C without a nucleating agent. For Variant A to be reliable, nucleation must be triggered predictably at 15–20°C. Candidate nucleating agents include silver iodide nanoparticles, protein-based ice nucleators, and rough-surface templates formed in the shell interior. Doping the water core with nucleating agents prior to encapsulation is a tractable fabrication step.</w:t>
      </w:r>
    </w:p>
    <w:p>
      <w:pPr>
        <w:pStyle w:val="Heading2"/>
      </w:pPr>
      <w:r>
        <w:rPr>
          <w:b/>
          <w:bCs/>
        </w:rPr>
        <w:t xml:space="preserve">5.3 Long-Term Cycling Stability</w:t>
      </w:r>
    </w:p>
    <w:p>
      <w:pPr>
        <w:spacing w:after="160"/>
      </w:pPr>
      <w:r>
        <w:t xml:space="preserve">A datacentre cooling system operates continuously. Over a ten-year operational life, microcapsules would undergo millions of phase-change cycles. Shell fatigue, delamination, and water leakage under prolonged cycling are open experimental questions. Accelerated lifecycle testing under simulated conditions is required to characterise degradation mechanisms.</w:t>
      </w:r>
    </w:p>
    <w:p>
      <w:pPr>
        <w:pStyle w:val="Heading2"/>
      </w:pPr>
      <w:r>
        <w:rPr>
          <w:b/>
          <w:bCs/>
        </w:rPr>
        <w:t xml:space="preserve">5.4 Slurry Rheology</w:t>
      </w:r>
    </w:p>
    <w:p>
      <w:pPr>
        <w:spacing w:after="160"/>
      </w:pPr>
      <w:r>
        <w:t xml:space="preserve">A high concentration of microcapsules significantly increases slurry viscosity, affecting pump energy consumption and flow dynamics. The optimal capsule volume fraction balances thermal performance (more capsules = higher heat capacity) against pumping penalty (more capsules = higher viscosity). Computational fluid dynamics modelling of slurry flow through cold plate microchannels is required to identify this optimum.</w:t>
      </w:r>
    </w:p>
    <w:p>
      <w:pPr>
        <w:pStyle w:val="Heading2"/>
      </w:pPr>
      <w:r>
        <w:rPr>
          <w:b/>
          <w:bCs/>
        </w:rPr>
        <w:t xml:space="preserve">5.5 Datacentre-Specific Temperature Range</w:t>
      </w:r>
    </w:p>
    <w:p>
      <w:pPr>
        <w:spacing w:after="160"/>
      </w:pPr>
      <w:r>
        <w:t xml:space="preserve">Existing PCM encapsulation research targets building HVAC temperatures (18–24°C). AI chip cooling operates at higher heat fluxes (50–100 W/cm²) and different temperature profiles. The phase-change temperature, encapsulation chemistry, and shell mechanical properties must all be reformulated for this operating regime. This is a significant and novel adaptation.</w:t>
      </w:r>
    </w:p>
    <w:p>
      <w:pPr>
        <w:pStyle w:val="Heading1"/>
      </w:pPr>
      <w:r>
        <w:rPr>
          <w:b/>
          <w:bCs/>
        </w:rPr>
        <w:t xml:space="preserve">6. Research Gap &amp; Novelty</w:t>
      </w:r>
    </w:p>
    <w:p>
      <w:pPr>
        <w:spacing w:after="160"/>
      </w:pPr>
      <w:r>
        <w:t xml:space="preserve">A comprehensive review of encapsulated PCM literature reveals that virtually all prior work uses organic PCM cores: paraffin waxes, salt hydrates, and fatty acids. Water as the encapsulated PCM core is almost entirely absent from the literature.</w:t>
      </w:r>
    </w:p>
    <w:p>
      <w:pPr>
        <w:spacing w:after="160"/>
      </w:pPr>
      <w:r>
        <w:t xml:space="preserve">The reason is historical: water’s 9% volume expansion on freezing was assumed to be incompatible with rigid encapsulation shells. This assumption has never been revisited in the context of modern elastic polymer shells or graphene-based materials, both of which postdate the foundational PCM literature.</w:t>
      </w:r>
    </w:p>
    <w:p>
      <w:pPr>
        <w:spacing w:after="160"/>
      </w:pPr>
      <w:r>
        <w:t xml:space="preserve">This paper’s primary novelty is threefold:</w:t>
      </w:r>
    </w:p>
    <w:p>
      <w:pPr>
        <w:pStyle w:val="ListParagraph"/>
        <w:numPr>
          <w:ilvl w:val="0"/>
          <w:numId w:val="2"/>
        </w:numPr>
        <w:spacing w:after="100"/>
      </w:pPr>
      <w:r>
        <w:t xml:space="preserve">First systematic investigation of water as an encapsulated PCM core for thermal management</w:t>
      </w:r>
    </w:p>
    <w:p>
      <w:pPr>
        <w:pStyle w:val="ListParagraph"/>
        <w:numPr>
          <w:ilvl w:val="0"/>
          <w:numId w:val="2"/>
        </w:numPr>
        <w:spacing w:after="100"/>
      </w:pPr>
      <w:r>
        <w:t xml:space="preserve">Novel application of elastic and graphene-based shell materials to accommodate water’s volume expansion</w:t>
      </w:r>
    </w:p>
    <w:p>
      <w:pPr>
        <w:pStyle w:val="ListParagraph"/>
        <w:numPr>
          <w:ilvl w:val="0"/>
          <w:numId w:val="2"/>
        </w:numPr>
        <w:spacing w:after="100"/>
      </w:pPr>
      <w:r>
        <w:t xml:space="preserve">First proposed integration of encapsulated water slurry into AI datacentre direct-to-chip cooling architecture</w:t>
      </w:r>
    </w:p>
    <w:p>
      <w:pPr>
        <w:pStyle w:val="Heading1"/>
      </w:pPr>
      <w:r>
        <w:rPr>
          <w:b/>
          <w:bCs/>
        </w:rPr>
        <w:t xml:space="preserve">7. Water Conservation Analysis</w:t>
      </w:r>
    </w:p>
    <w:p>
      <w:pPr>
        <w:spacing w:after="160"/>
      </w:pPr>
      <w:r>
        <w:t xml:space="preserve">A conventional evaporative cooling tower for a 10 MW datacentre consumes approximately 15–25 million litres of water per year. This water is permanently lost through evaporation and drift.</w:t>
      </w:r>
    </w:p>
    <w:p>
      <w:pPr>
        <w:spacing w:after="160"/>
      </w:pPr>
      <w:r>
        <w:t xml:space="preserve">In an MPCW system, water consumption reduces to:</w:t>
      </w:r>
    </w:p>
    <w:p>
      <w:pPr>
        <w:pStyle w:val="ListParagraph"/>
        <w:numPr>
          <w:ilvl w:val="0"/>
          <w:numId w:val="2"/>
        </w:numPr>
        <w:spacing w:after="100"/>
      </w:pPr>
      <w:r>
        <w:t xml:space="preserve">Initial fill of the closed loop (one-time, approximately 5,000–20,000 litres depending on system size)</w:t>
      </w:r>
    </w:p>
    <w:p>
      <w:pPr>
        <w:pStyle w:val="ListParagraph"/>
        <w:numPr>
          <w:ilvl w:val="0"/>
          <w:numId w:val="2"/>
        </w:numPr>
        <w:spacing w:after="100"/>
      </w:pPr>
      <w:r>
        <w:t xml:space="preserve">Periodic top-up to compensate for minor seal losses (estimated &lt;1% per year)</w:t>
      </w:r>
    </w:p>
    <w:p>
      <w:pPr>
        <w:pStyle w:val="ListParagraph"/>
        <w:numPr>
          <w:ilvl w:val="0"/>
          <w:numId w:val="2"/>
        </w:numPr>
        <w:spacing w:after="100"/>
      </w:pPr>
      <w:r>
        <w:t xml:space="preserve">No evaporative loss under normal operation</w:t>
      </w:r>
    </w:p>
    <w:p>
      <w:pPr>
        <w:spacing w:after="80"/>
      </w:pPr>
      <w:r>
        <w:t xml:space="preserve"/>
      </w:r>
    </w:p>
    <w:p>
      <w:pPr>
        <w:spacing w:after="160"/>
      </w:pPr>
      <w:r>
        <w:t xml:space="preserve">Projected water reduction: 90–99% compared to evaporative tower baseline. This is the headline claim of the paper and requires quantification through thermal modelling and prototype testing.</w:t>
      </w:r>
    </w:p>
    <w:p>
      <w:pPr>
        <w:pStyle w:val="Heading1"/>
      </w:pPr>
      <w:r>
        <w:rPr>
          <w:b/>
          <w:bCs/>
        </w:rPr>
        <w:t xml:space="preserve">8. Proposed Paper Structure</w:t>
      </w:r>
    </w:p>
    <w:p>
      <w:pPr>
        <w:pStyle w:val="ListParagraph"/>
        <w:numPr>
          <w:ilvl w:val="0"/>
          <w:numId w:val="3"/>
        </w:numPr>
        <w:spacing w:after="100"/>
      </w:pPr>
      <w:r>
        <w:t xml:space="preserve">Introduction — water crisis in AI datacentres, evaporation as the root mechanism</w:t>
      </w:r>
    </w:p>
    <w:p>
      <w:pPr>
        <w:pStyle w:val="ListParagraph"/>
        <w:numPr>
          <w:ilvl w:val="0"/>
          <w:numId w:val="3"/>
        </w:numPr>
        <w:spacing w:after="100"/>
      </w:pPr>
      <w:r>
        <w:t xml:space="preserve">Literature Review — encapsulated PCMs (paraffin, salt hydrates), gap: water core absent</w:t>
      </w:r>
    </w:p>
    <w:p>
      <w:pPr>
        <w:pStyle w:val="ListParagraph"/>
        <w:numPr>
          <w:ilvl w:val="0"/>
          <w:numId w:val="3"/>
        </w:numPr>
        <w:spacing w:after="100"/>
      </w:pPr>
      <w:r>
        <w:t xml:space="preserve">Proposed Concept — MPCW slurry system, two variants, system schematic</w:t>
      </w:r>
    </w:p>
    <w:p>
      <w:pPr>
        <w:pStyle w:val="ListParagraph"/>
        <w:numPr>
          <w:ilvl w:val="0"/>
          <w:numId w:val="3"/>
        </w:numPr>
        <w:spacing w:after="100"/>
      </w:pPr>
      <w:r>
        <w:t xml:space="preserve">Shell Material Analysis — thermal, mechanical, barrier property requirements and candidate materials</w:t>
      </w:r>
    </w:p>
    <w:p>
      <w:pPr>
        <w:pStyle w:val="ListParagraph"/>
        <w:numPr>
          <w:ilvl w:val="0"/>
          <w:numId w:val="3"/>
        </w:numPr>
        <w:spacing w:after="100"/>
      </w:pPr>
      <w:r>
        <w:t xml:space="preserve">Thermal Performance Modelling — heat transfer equations, comparison vs conventional cooling</w:t>
      </w:r>
    </w:p>
    <w:p>
      <w:pPr>
        <w:pStyle w:val="ListParagraph"/>
        <w:numPr>
          <w:ilvl w:val="0"/>
          <w:numId w:val="3"/>
        </w:numPr>
        <w:spacing w:after="100"/>
      </w:pPr>
      <w:r>
        <w:t xml:space="preserve">Water Conservation Analysis — quantify net water saved vs evaporative cooling tower baseline</w:t>
      </w:r>
    </w:p>
    <w:p>
      <w:pPr>
        <w:pStyle w:val="ListParagraph"/>
        <w:numPr>
          <w:ilvl w:val="0"/>
          <w:numId w:val="3"/>
        </w:numPr>
        <w:spacing w:after="100"/>
      </w:pPr>
      <w:r>
        <w:t xml:space="preserve">Engineering Challenges — expansion, nucleation, cycling stability, rheology</w:t>
      </w:r>
    </w:p>
    <w:p>
      <w:pPr>
        <w:pStyle w:val="ListParagraph"/>
        <w:numPr>
          <w:ilvl w:val="0"/>
          <w:numId w:val="3"/>
        </w:numPr>
        <w:spacing w:after="100"/>
      </w:pPr>
      <w:r>
        <w:t xml:space="preserve">Conclusion — summary, research roadmap, call for experimental validation</w:t>
      </w:r>
    </w:p>
    <w:p>
      <w:pPr>
        <w:spacing w:after="80"/>
      </w:pPr>
      <w:r>
        <w:t xml:space="preserve"/>
      </w:r>
    </w:p>
    <w:p>
      <w:pPr>
        <w:pStyle w:val="Heading1"/>
      </w:pPr>
      <w:r>
        <w:rPr>
          <w:b/>
          <w:bCs/>
        </w:rPr>
        <w:t xml:space="preserve">9. Conclusion</w:t>
      </w:r>
    </w:p>
    <w:p>
      <w:pPr>
        <w:spacing w:after="160"/>
      </w:pPr>
      <w:r>
        <w:t xml:space="preserve">Phase-Change Micro-Encapsulated Water cooling represents a genuinely novel approach to the water consumption problem in AI datacentres. By preserving water’s exceptional thermal properties while eliminating evaporative loss through physical encapsulation, MPCW cooling could reduce datacentre water consumption by 90–99% compared to current evaporative baselines.</w:t>
      </w:r>
    </w:p>
    <w:p>
      <w:pPr>
        <w:spacing w:after="160"/>
      </w:pPr>
      <w:r>
        <w:t xml:space="preserve">The critical research questions — shell material selection, volume expansion accommodation, nucleation control, and cycling stability — are well-defined and experimentally tractable. Modern materials, particularly elastic polyurea membranes and graphene oxide composites, make this concept viable in a way it would not have been a decade ago.</w:t>
      </w:r>
    </w:p>
    <w:p>
      <w:pPr>
        <w:spacing w:after="160"/>
      </w:pPr>
      <w:r>
        <w:t xml:space="preserve">This paper proposes MPCW cooling as a priority research direction, with the potential for transformative impact on the water footprint of AI infrastructure globally.</w:t>
      </w:r>
    </w:p>
    <w:p>
      <w:pPr>
        <w:spacing w:after="80"/>
      </w:pPr>
      <w:r>
        <w:t xml:space="preserve"/>
      </w:r>
    </w:p>
    <w:p>
      <w:pPr>
        <w:pStyle w:val="Heading1"/>
      </w:pPr>
      <w:r>
        <w:rPr>
          <w:b/>
          <w:bCs/>
        </w:rPr>
        <w:t xml:space="preserve">10. References</w:t>
      </w:r>
    </w:p>
    <w:p>
      <w:pPr>
        <w:spacing w:after="160"/>
      </w:pPr>
      <w:r>
        <w:rPr>
          <w:i/>
          <w:iCs/>
          <w:color w:val="888888"/>
        </w:rPr>
        <w:t xml:space="preserve">[Literature review to be completed — key areas: encapsulated PCM slurries, graphene oxide membranes, magnetocaloric materials, datacentre water consumption metrics, ice slurry thermal transport]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5C9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5C9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2026-03-22T08:45:28.419Z</dcterms:created>
  <dcterms:modified xsi:type="dcterms:W3CDTF">2026-03-22T08:45:28.420Z</dcterms:modified>
</cp:coreProperties>
</file>

<file path=docProps/custom.xml><?xml version="1.0" encoding="utf-8"?>
<Properties xmlns="http://schemas.openxmlformats.org/officeDocument/2006/custom-properties" xmlns:vt="http://schemas.openxmlformats.org/officeDocument/2006/docPropsVTypes"/>
</file>