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27.png" ContentType="image/png"/>
  <Override PartName="/word/media/rId30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Simultaneous</w:t>
      </w:r>
      <w:r>
        <w:t xml:space="preserve"> </w:t>
      </w:r>
      <w:r>
        <w:t xml:space="preserve">Q-</w:t>
      </w:r>
      <w:r>
        <w:t xml:space="preserve"> </w:t>
      </w:r>
      <w:r>
        <w:t xml:space="preserve">and</w:t>
      </w:r>
      <w:r>
        <w:t xml:space="preserve"> </w:t>
      </w:r>
      <w:r>
        <w:t xml:space="preserve">R-Mode</w:t>
      </w:r>
      <w:r>
        <w:t xml:space="preserve"> </w:t>
      </w:r>
      <w:r>
        <w:t xml:space="preserve">Factor</w:t>
      </w:r>
      <w:r>
        <w:t xml:space="preserve"> </w:t>
      </w:r>
      <w:r>
        <w:t xml:space="preserve">Analysis</w:t>
      </w:r>
      <w:r>
        <w:t xml:space="preserve"> </w:t>
      </w:r>
      <w:r>
        <w:t xml:space="preserve">of</w:t>
      </w:r>
      <w:r>
        <w:t xml:space="preserve"> </w:t>
      </w:r>
      <w:r>
        <w:t xml:space="preserve">Water</w:t>
      </w:r>
      <w:r>
        <w:t xml:space="preserve"> </w:t>
      </w:r>
      <w:r>
        <w:t xml:space="preserve">Use</w:t>
      </w:r>
      <w:r>
        <w:t xml:space="preserve"> </w:t>
      </w:r>
      <w:r>
        <w:t xml:space="preserve">Across</w:t>
      </w:r>
      <w:r>
        <w:t xml:space="preserve"> </w:t>
      </w:r>
      <w:r>
        <w:t xml:space="preserve">African</w:t>
      </w:r>
      <w:r>
        <w:t xml:space="preserve"> </w:t>
      </w:r>
      <w:r>
        <w:t xml:space="preserve">Countries:</w:t>
      </w:r>
      <w:r>
        <w:t xml:space="preserve"> </w:t>
      </w:r>
      <w:r>
        <w:t xml:space="preserve">A</w:t>
      </w:r>
      <w:r>
        <w:t xml:space="preserve"> </w:t>
      </w:r>
      <w:r>
        <w:t xml:space="preserve">Reproducible,</w:t>
      </w:r>
      <w:r>
        <w:t xml:space="preserve"> </w:t>
      </w:r>
      <w:r>
        <w:t xml:space="preserve">Map-First</w:t>
      </w:r>
      <w:r>
        <w:t xml:space="preserve"> </w:t>
      </w:r>
      <w:r>
        <w:t xml:space="preserve">Workflow</w:t>
      </w:r>
    </w:p>
    <w:p>
      <w:pPr>
        <w:pStyle w:val="Author"/>
      </w:pPr>
      <w:r>
        <w:t xml:space="preserve">George</w:t>
      </w:r>
      <w:r>
        <w:t xml:space="preserve"> </w:t>
      </w:r>
      <w:r>
        <w:t xml:space="preserve">Owusu</w:t>
      </w:r>
      <w:r>
        <w:t xml:space="preserve"> </w:t>
      </w:r>
      <w:r>
        <w:t xml:space="preserve">—</w:t>
      </w:r>
      <w:r>
        <w:t xml:space="preserve"> </w:t>
      </w:r>
      <w:r>
        <w:t xml:space="preserve">Department</w:t>
      </w:r>
      <w:r>
        <w:t xml:space="preserve"> </w:t>
      </w:r>
      <w:r>
        <w:t xml:space="preserve">of</w:t>
      </w:r>
      <w:r>
        <w:t xml:space="preserve"> </w:t>
      </w:r>
      <w:r>
        <w:t xml:space="preserve">Geography</w:t>
      </w:r>
      <w:r>
        <w:t xml:space="preserve"> </w:t>
      </w:r>
      <w:r>
        <w:t xml:space="preserve">and</w:t>
      </w:r>
      <w:r>
        <w:t xml:space="preserve"> </w:t>
      </w:r>
      <w:r>
        <w:t xml:space="preserve">Resource</w:t>
      </w:r>
      <w:r>
        <w:t xml:space="preserve"> </w:t>
      </w:r>
      <w:r>
        <w:t xml:space="preserve">Development,</w:t>
      </w:r>
      <w:r>
        <w:t xml:space="preserve"> </w:t>
      </w:r>
      <w:r>
        <w:t xml:space="preserve">University</w:t>
      </w:r>
      <w:r>
        <w:t xml:space="preserve"> </w:t>
      </w:r>
      <w:r>
        <w:t xml:space="preserve">of</w:t>
      </w:r>
      <w:r>
        <w:t xml:space="preserve"> </w:t>
      </w:r>
      <w:r>
        <w:t xml:space="preserve">Ghana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Cs/>
          <w:b/>
        </w:rPr>
        <w:t xml:space="preserve">Keywords:</w:t>
      </w:r>
      <w:r>
        <w:t xml:space="preserve"> </w:t>
      </w:r>
      <w:r>
        <w:t xml:space="preserve">Q-mode factor analysis; R-mode factor analysis; water withdrawal;</w:t>
      </w:r>
      <w:r>
        <w:t xml:space="preserve"> </w:t>
      </w:r>
      <w:r>
        <w:t xml:space="preserve">spatial autocorrelation; water stress; Africa; AQUASTAT; reproducible workflow</w:t>
      </w:r>
    </w:p>
    <w:p>
      <w:r>
        <w:pict>
          <v:rect style="width:0;height:1.5pt" o:hralign="center" o:hrstd="t" o:hr="t"/>
        </w:pic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Africa is described, in the same breath, as</w:t>
      </w:r>
      <w:r>
        <w:t xml:space="preserve"> </w:t>
      </w:r>
      <w:r>
        <w:rPr>
          <w:iCs/>
          <w:i/>
        </w:rPr>
        <w:t xml:space="preserve">water-rich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water-stressed</w:t>
      </w:r>
      <w:r>
        <w:t xml:space="preserve">,</w:t>
      </w:r>
      <w:r>
        <w:t xml:space="preserve"> </w:t>
      </w:r>
      <w:r>
        <w:t xml:space="preserve">yet the two claims are seldom tested together because the analysis has two sides</w:t>
      </w:r>
      <w:r>
        <w:t xml:space="preserve"> </w:t>
      </w:r>
      <w:r>
        <w:t xml:space="preserve">— the structure among water-use</w:t>
      </w:r>
      <w:r>
        <w:t xml:space="preserve"> </w:t>
      </w:r>
      <w:r>
        <w:rPr>
          <w:iCs/>
          <w:i/>
        </w:rPr>
        <w:t xml:space="preserve">variables</w:t>
      </w:r>
      <w:r>
        <w:t xml:space="preserve"> </w:t>
      </w:r>
      <w:r>
        <w:t xml:space="preserve">and the grouping of</w:t>
      </w:r>
      <w:r>
        <w:t xml:space="preserve"> </w:t>
      </w:r>
      <w:r>
        <w:rPr>
          <w:iCs/>
          <w:i/>
        </w:rPr>
        <w:t xml:space="preserve">countries</w:t>
      </w:r>
      <w:r>
        <w:t xml:space="preserve"> </w:t>
      </w:r>
      <w:r>
        <w:t xml:space="preserve">—</w:t>
      </w:r>
      <w:r>
        <w:t xml:space="preserve"> </w:t>
      </w:r>
      <w:r>
        <w:t xml:space="preserve">usually handled with separate tools. This study applies simultaneous Q- and</w:t>
      </w:r>
      <w:r>
        <w:t xml:space="preserve"> </w:t>
      </w:r>
      <w:r>
        <w:t xml:space="preserve">R-mode factor analysis, in a single reproducible call, to five water-use</w:t>
      </w:r>
      <w:r>
        <w:t xml:space="preserve"> </w:t>
      </w:r>
      <w:r>
        <w:t xml:space="preserve">indicators for 50 African countries, and writes the results back to the map.</w:t>
      </w:r>
      <w:r>
        <w:t xml:space="preserve"> </w:t>
      </w:r>
      <w:r>
        <w:t xml:space="preserve">The correlation matrix is factorable (Bartlett χ² = 98.2, p &lt; 10⁻¹⁵) though the</w:t>
      </w:r>
      <w:r>
        <w:t xml:space="preserve"> </w:t>
      </w:r>
      <w:r>
        <w:t xml:space="preserve">sampling adequacy is modest (KMO = 0.56). Two factors explain 72.6% of the</w:t>
      </w:r>
      <w:r>
        <w:t xml:space="preserve"> </w:t>
      </w:r>
      <w:r>
        <w:t xml:space="preserve">variation: a dominant agriculture-driven scale of overall use (52.2%) and a</w:t>
      </w:r>
      <w:r>
        <w:t xml:space="preserve"> </w:t>
      </w:r>
      <w:r>
        <w:t xml:space="preserve">resource-versus-use contrast (20.4%) on which renewable resources load almost</w:t>
      </w:r>
      <w:r>
        <w:t xml:space="preserve"> </w:t>
      </w:r>
      <w:r>
        <w:t xml:space="preserve">alone (0.89). Renewable availability is essentially uncorrelated with use</w:t>
      </w:r>
      <w:r>
        <w:t xml:space="preserve"> </w:t>
      </w:r>
      <w:r>
        <w:t xml:space="preserve">(r between −0.04 and −0.19); use and availability are statistically decoupled.</w:t>
      </w:r>
      <w:r>
        <w:t xml:space="preserve"> </w:t>
      </w:r>
      <w:r>
        <w:t xml:space="preserve">The factor of overall use is significantly spatially clustered (Moran’s I = 0.35,</w:t>
      </w:r>
      <w:r>
        <w:t xml:space="preserve"> </w:t>
      </w:r>
      <w:r>
        <w:t xml:space="preserve">p &lt; 10⁻⁴), with Egypt a high–high hotspot and the Congo Basin a low–low</w:t>
      </w:r>
      <w:r>
        <w:t xml:space="preserve"> </w:t>
      </w:r>
      <w:r>
        <w:t xml:space="preserve">coldspot. Countries partition into heavy and light users whose heavy members hold</w:t>
      </w:r>
      <w:r>
        <w:t xml:space="preserve"> </w:t>
      </w:r>
      <w:r>
        <w:t xml:space="preserve">roughly half the renewable resource of the light. The contribution is an</w:t>
      </w:r>
      <w:r>
        <w:t xml:space="preserve"> </w:t>
      </w:r>
      <w:r>
        <w:t xml:space="preserve">integrated, reproducible workflow that moves applied water analysis from table to</w:t>
      </w:r>
      <w:r>
        <w:t xml:space="preserve"> </w:t>
      </w:r>
      <w:r>
        <w:t xml:space="preserve">tested map in a single object.</w:t>
      </w:r>
    </w:p>
    <w:p>
      <w:r>
        <w:pict>
          <v:rect style="width:0;height:1.5pt" o:hralign="center" o:hrstd="t" o:hr="t"/>
        </w:pict>
      </w:r>
    </w:p>
    <w:bookmarkEnd w:id="20"/>
    <w:bookmarkStart w:id="2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Water security is among the defining development questions for Africa. Irrigation</w:t>
      </w:r>
      <w:r>
        <w:t xml:space="preserve"> </w:t>
      </w:r>
      <w:r>
        <w:t xml:space="preserve">dominates abstraction across much of the continent, renewable supply is unevenly</w:t>
      </w:r>
      <w:r>
        <w:t xml:space="preserve"> </w:t>
      </w:r>
      <w:r>
        <w:t xml:space="preserve">distributed between the humid equatorial belt and the arid north and Sahel, and</w:t>
      </w:r>
      <w:r>
        <w:t xml:space="preserve"> </w:t>
      </w:r>
      <w:r>
        <w:t xml:space="preserve">per-capita availability is falling as populations grow. A recurring paradox frames</w:t>
      </w:r>
      <w:r>
        <w:t xml:space="preserve"> </w:t>
      </w:r>
      <w:r>
        <w:t xml:space="preserve">the debate. Africa is portrayed as water-abundant — the Congo Basin alone holds a</w:t>
      </w:r>
      <w:r>
        <w:t xml:space="preserve"> </w:t>
      </w:r>
      <w:r>
        <w:t xml:space="preserve">large share of the continent’s renewable freshwater — and simultaneously as one of</w:t>
      </w:r>
      <w:r>
        <w:t xml:space="preserve"> </w:t>
      </w:r>
      <w:r>
        <w:t xml:space="preserve">the most water-stressed regions on Earth, the setting in which the modern</w:t>
      </w:r>
      <w:r>
        <w:t xml:space="preserve"> </w:t>
      </w:r>
      <w:r>
        <w:t xml:space="preserve">water-scarcity literature was born (Falkenmark, Lundqvist &amp; Widstrand, 1989). Both</w:t>
      </w:r>
      <w:r>
        <w:t xml:space="preserve"> </w:t>
      </w:r>
      <w:r>
        <w:t xml:space="preserve">statements can be true, but only if</w:t>
      </w:r>
      <w:r>
        <w:t xml:space="preserve"> </w:t>
      </w:r>
      <w:r>
        <w:rPr>
          <w:iCs/>
          <w:i/>
        </w:rPr>
        <w:t xml:space="preserve">use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availability</w:t>
      </w:r>
      <w:r>
        <w:t xml:space="preserve"> </w:t>
      </w:r>
      <w:r>
        <w:t xml:space="preserve">are governed by</w:t>
      </w:r>
      <w:r>
        <w:t xml:space="preserve"> </w:t>
      </w:r>
      <w:r>
        <w:t xml:space="preserve">different processes and different geographies. Testing that proposition requires a</w:t>
      </w:r>
      <w:r>
        <w:t xml:space="preserve"> </w:t>
      </w:r>
      <w:r>
        <w:t xml:space="preserve">method that classifies</w:t>
      </w:r>
      <w:r>
        <w:t xml:space="preserve"> </w:t>
      </w:r>
      <w:r>
        <w:rPr>
          <w:bCs/>
          <w:b/>
        </w:rPr>
        <w:t xml:space="preserve">variables</w:t>
      </w:r>
      <w:r>
        <w:t xml:space="preserve"> </w:t>
      </w:r>
      <w:r>
        <w:t xml:space="preserve">— which kinds of water use move together? —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samples</w:t>
      </w:r>
      <w:r>
        <w:t xml:space="preserve"> </w:t>
      </w:r>
      <w:r>
        <w:t xml:space="preserve">— which countries resemble one another? — at the same time, and</w:t>
      </w:r>
      <w:r>
        <w:t xml:space="preserve"> </w:t>
      </w:r>
      <w:r>
        <w:t xml:space="preserve">that returns its answer as a map rather than a table.</w:t>
      </w:r>
    </w:p>
    <w:p>
      <w:pPr>
        <w:pStyle w:val="BodyText"/>
      </w:pPr>
      <w:r>
        <w:t xml:space="preserve">Factor analysis supplies both lenses. R-mode analysis groups variables by their</w:t>
      </w:r>
      <w:r>
        <w:t xml:space="preserve"> </w:t>
      </w:r>
      <w:r>
        <w:t xml:space="preserve">shared variation; Q-mode analysis groups observations by their similarity. In the</w:t>
      </w:r>
      <w:r>
        <w:t xml:space="preserve"> </w:t>
      </w:r>
      <w:r>
        <w:t xml:space="preserve">natural sciences the two are classically paired (Reyment &amp; Jöreskog, 1993; Davis,</w:t>
      </w:r>
      <w:r>
        <w:t xml:space="preserve"> </w:t>
      </w:r>
      <w:r>
        <w:t xml:space="preserve">2002), and in hydrochemistry the pairing is routine, typically with varimax</w:t>
      </w:r>
      <w:r>
        <w:t xml:space="preserve"> </w:t>
      </w:r>
      <w:r>
        <w:t xml:space="preserve">rotation and the Kaiser criterion for retention (e.g. the Q/R-mode analysis of</w:t>
      </w:r>
      <w:r>
        <w:t xml:space="preserve"> </w:t>
      </w:r>
      <w:r>
        <w:t xml:space="preserve">groundwater in the Volta region of Ghana; see Section 2). In practice, however,</w:t>
      </w:r>
      <w:r>
        <w:t xml:space="preserve"> </w:t>
      </w:r>
      <w:r>
        <w:t xml:space="preserve">the two modes are computed separately, in different software, and reconciled by</w:t>
      </w:r>
      <w:r>
        <w:t xml:space="preserve"> </w:t>
      </w:r>
      <w:r>
        <w:t xml:space="preserve">hand; the results are tables; and end-to-end reproducibility is rare. For the</w:t>
      </w:r>
      <w:r>
        <w:t xml:space="preserve"> </w:t>
      </w:r>
      <w:r>
        <w:t xml:space="preserve">applied water scientist these frictions are real barriers.</w:t>
      </w:r>
    </w:p>
    <w:p>
      <w:pPr>
        <w:pStyle w:val="BodyText"/>
      </w:pPr>
      <w:r>
        <w:t xml:space="preserve">This paper pursues two aims.</w:t>
      </w:r>
      <w:r>
        <w:t xml:space="preserve"> </w:t>
      </w:r>
      <w:r>
        <w:rPr>
          <w:bCs/>
          <w:b/>
        </w:rPr>
        <w:t xml:space="preserve">Substantively</w:t>
      </w:r>
      <w:r>
        <w:t xml:space="preserve">, it asks: (RQ1) what is the latent</w:t>
      </w:r>
      <w:r>
        <w:t xml:space="preserve"> </w:t>
      </w:r>
      <w:r>
        <w:t xml:space="preserve">structure of water use across African countries; (RQ2) is use statistically</w:t>
      </w:r>
      <w:r>
        <w:t xml:space="preserve"> </w:t>
      </w:r>
      <w:r>
        <w:t xml:space="preserve">decoupled from renewable availability — the empirical core of the water paradox;</w:t>
      </w:r>
      <w:r>
        <w:t xml:space="preserve"> </w:t>
      </w:r>
      <w:r>
        <w:t xml:space="preserve">and (RQ3) is that structure spatially clustered, and where are the hot- and</w:t>
      </w:r>
      <w:r>
        <w:t xml:space="preserve"> </w:t>
      </w:r>
      <w:r>
        <w:t xml:space="preserve">cold-spots?</w:t>
      </w:r>
      <w:r>
        <w:t xml:space="preserve"> </w:t>
      </w:r>
      <w:r>
        <w:rPr>
          <w:bCs/>
          <w:b/>
        </w:rPr>
        <w:t xml:space="preserve">Methodologically</w:t>
      </w:r>
      <w:r>
        <w:t xml:space="preserve">, it demonstrates a</w:t>
      </w:r>
      <w:r>
        <w:t xml:space="preserve"> </w:t>
      </w:r>
      <w:r>
        <w:rPr>
          <w:iCs/>
          <w:i/>
        </w:rPr>
        <w:t xml:space="preserve">map-first, single-call</w:t>
      </w:r>
      <w:r>
        <w:rPr>
          <w:iCs/>
          <w:i/>
        </w:rPr>
        <w:t xml:space="preserve"> </w:t>
      </w:r>
      <w:r>
        <w:rPr>
          <w:iCs/>
          <w:i/>
        </w:rPr>
        <w:t xml:space="preserve">workflow</w:t>
      </w:r>
      <w:r>
        <w:t xml:space="preserve"> </w:t>
      </w:r>
      <w:r>
        <w:t xml:space="preserve">in which simultaneous Q- and R-mode factor analysis, factor scoring,</w:t>
      </w:r>
      <w:r>
        <w:t xml:space="preserve"> </w:t>
      </w:r>
      <w:r>
        <w:t xml:space="preserve">clustering, cluster testing and choropleth mapping are produced from one command</w:t>
      </w:r>
      <w:r>
        <w:t xml:space="preserve"> </w:t>
      </w:r>
      <w:r>
        <w:t xml:space="preserve">and written back to the geographic attribute table. The workflow is implemented in</w:t>
      </w:r>
      <w:r>
        <w:t xml:space="preserve"> </w:t>
      </w:r>
      <w:r>
        <w:t xml:space="preserve">the open-source R package</w:t>
      </w:r>
      <w:r>
        <w:t xml:space="preserve"> </w:t>
      </w:r>
      <w:r>
        <w:rPr>
          <w:rStyle w:val="VerbatimChar"/>
        </w:rPr>
        <w:t xml:space="preserve">qrfactor</w:t>
      </w:r>
      <w:r>
        <w:t xml:space="preserve"> </w:t>
      </w:r>
      <w:r>
        <w:t xml:space="preserve">(Owusu, 2026) and is fully reproducible from</w:t>
      </w:r>
      <w:r>
        <w:t xml:space="preserve"> </w:t>
      </w:r>
      <w:r>
        <w:t xml:space="preserve">public data.</w:t>
      </w:r>
    </w:p>
    <w:p>
      <w:pPr>
        <w:pStyle w:val="BodyText"/>
      </w:pPr>
      <w:r>
        <w:t xml:space="preserve">Section 2 reviews Q/R-mode analysis, the African water-scarcity literature, and</w:t>
      </w:r>
      <w:r>
        <w:t xml:space="preserve"> </w:t>
      </w:r>
      <w:r>
        <w:t xml:space="preserve">alternative spatial-multivariate methods. Section 3 describes the data and the</w:t>
      </w:r>
      <w:r>
        <w:t xml:space="preserve"> </w:t>
      </w:r>
      <w:r>
        <w:t xml:space="preserve">workflow. Section 4 reports the ordination, its factorability and retention, the</w:t>
      </w:r>
      <w:r>
        <w:t xml:space="preserve"> </w:t>
      </w:r>
      <w:r>
        <w:t xml:space="preserve">maps, the spatial-autocorrelation tests and the country clusters. Section 5</w:t>
      </w:r>
      <w:r>
        <w:t xml:space="preserve"> </w:t>
      </w:r>
      <w:r>
        <w:t xml:space="preserve">discusses the paradox against established water-stress classifications, offers</w:t>
      </w:r>
      <w:r>
        <w:t xml:space="preserve"> </w:t>
      </w:r>
      <w:r>
        <w:t xml:space="preserve">candidate mechanisms and policy implications, and states the honest limits of a</w:t>
      </w:r>
      <w:r>
        <w:t xml:space="preserve"> </w:t>
      </w:r>
      <w:r>
        <w:t xml:space="preserve">single country-level cross-section. Section 6 concludes.</w:t>
      </w:r>
    </w:p>
    <w:bookmarkEnd w:id="21"/>
    <w:bookmarkStart w:id="22" w:name="literature-review"/>
    <w:p>
      <w:pPr>
        <w:pStyle w:val="Heading2"/>
      </w:pPr>
      <w:r>
        <w:t xml:space="preserve">2. Literature review</w:t>
      </w:r>
    </w:p>
    <w:p>
      <w:pPr>
        <w:pStyle w:val="FirstParagraph"/>
      </w:pPr>
      <w:r>
        <w:rPr>
          <w:bCs/>
          <w:b/>
        </w:rPr>
        <w:t xml:space="preserve">Q- and R-mode factor analysis.</w:t>
      </w:r>
      <w:r>
        <w:t xml:space="preserve"> </w:t>
      </w:r>
      <w:r>
        <w:t xml:space="preserve">R-mode factor analysis summarises a set of</w:t>
      </w:r>
      <w:r>
        <w:t xml:space="preserve"> </w:t>
      </w:r>
      <w:r>
        <w:t xml:space="preserve">variables by fewer latent factors, each a weighted combination of the originals;</w:t>
      </w:r>
      <w:r>
        <w:t xml:space="preserve"> </w:t>
      </w:r>
      <w:r>
        <w:t xml:space="preserve">the weights are</w:t>
      </w:r>
      <w:r>
        <w:t xml:space="preserve"> </w:t>
      </w:r>
      <w:r>
        <w:rPr>
          <w:iCs/>
          <w:i/>
        </w:rPr>
        <w:t xml:space="preserve">loadings</w:t>
      </w:r>
      <w:r>
        <w:t xml:space="preserve"> </w:t>
      </w:r>
      <w:r>
        <w:t xml:space="preserve">and factors are ordered by the variance (eigenvalue)</w:t>
      </w:r>
      <w:r>
        <w:t xml:space="preserve"> </w:t>
      </w:r>
      <w:r>
        <w:t xml:space="preserve">they capture (Rencher, 2002). Q-mode analysis applies the same algebra to the</w:t>
      </w:r>
      <w:r>
        <w:t xml:space="preserve"> </w:t>
      </w:r>
      <w:r>
        <w:t xml:space="preserve">transpose, classifying observations. Reyment and Jöreskog (1993) formalised the</w:t>
      </w:r>
      <w:r>
        <w:t xml:space="preserve"> </w:t>
      </w:r>
      <w:r>
        <w:t xml:space="preserve">joint use of both modes in the natural sciences, and Davis (2002) made Q/R-mode</w:t>
      </w:r>
      <w:r>
        <w:t xml:space="preserve"> </w:t>
      </w:r>
      <w:r>
        <w:t xml:space="preserve">ordination a staple of quantitative geology. Retention has traditionally followed</w:t>
      </w:r>
      <w:r>
        <w:t xml:space="preserve"> </w:t>
      </w:r>
      <w:r>
        <w:t xml:space="preserve">Kaiser’s (1960) eigenvalue-greater-than-one rule and Cattell’s (1966) scree test,</w:t>
      </w:r>
      <w:r>
        <w:t xml:space="preserve"> </w:t>
      </w:r>
      <w:r>
        <w:t xml:space="preserve">though both are now regarded as liberal; Horn’s (1965) parallel analysis, which</w:t>
      </w:r>
      <w:r>
        <w:t xml:space="preserve"> </w:t>
      </w:r>
      <w:r>
        <w:t xml:space="preserve">compares observed eigenvalues against those of random data, is the more defensible</w:t>
      </w:r>
      <w:r>
        <w:t xml:space="preserve"> </w:t>
      </w:r>
      <w:r>
        <w:t xml:space="preserve">modern standard, and factorability itself is judged by the Kaiser–Meyer–Olkin</w:t>
      </w:r>
      <w:r>
        <w:t xml:space="preserve"> </w:t>
      </w:r>
      <w:r>
        <w:t xml:space="preserve">measure of sampling adequacy (Kaiser, 1974) and Bartlett’s test of sphericity.</w:t>
      </w:r>
    </w:p>
    <w:p>
      <w:pPr>
        <w:pStyle w:val="BodyText"/>
      </w:pPr>
      <w:r>
        <w:rPr>
          <w:bCs/>
          <w:b/>
        </w:rPr>
        <w:t xml:space="preserve">Q/R-mode analysis in hydrochemistry.</w:t>
      </w:r>
      <w:r>
        <w:t xml:space="preserve"> </w:t>
      </w:r>
      <w:r>
        <w:t xml:space="preserve">The paired modes are widely used to</w:t>
      </w:r>
      <w:r>
        <w:t xml:space="preserve"> </w:t>
      </w:r>
      <w:r>
        <w:t xml:space="preserve">disentangle the processes that control water composition and to classify samples</w:t>
      </w:r>
      <w:r>
        <w:t xml:space="preserve"> </w:t>
      </w:r>
      <w:r>
        <w:t xml:space="preserve">of common origin. In Ghana, multivariate statistical methods including R-mode</w:t>
      </w:r>
      <w:r>
        <w:t xml:space="preserve"> </w:t>
      </w:r>
      <w:r>
        <w:t xml:space="preserve">factor analysis with varimax rotation and the Kaiser criterion have been applied</w:t>
      </w:r>
      <w:r>
        <w:t xml:space="preserve"> </w:t>
      </w:r>
      <w:r>
        <w:t xml:space="preserve">to groundwater in the Volta region to identify the controls on hydrochemistry and</w:t>
      </w:r>
      <w:r>
        <w:t xml:space="preserve"> </w:t>
      </w:r>
      <w:r>
        <w:t xml:space="preserve">their spatial variation across geological terrains (Hydrochemical analysis of</w:t>
      </w:r>
      <w:r>
        <w:t xml:space="preserve"> </w:t>
      </w:r>
      <w:r>
        <w:t xml:space="preserve">groundwater — the Volta region, Ghana,</w:t>
      </w:r>
      <w:r>
        <w:t xml:space="preserve"> </w:t>
      </w:r>
      <w:r>
        <w:rPr>
          <w:iCs/>
          <w:i/>
        </w:rPr>
        <w:t xml:space="preserve">KSCE Journal of Civil Engineering</w:t>
      </w:r>
      <w:r>
        <w:t xml:space="preserve">, 2009).</w:t>
      </w:r>
      <w:r>
        <w:t xml:space="preserve"> </w:t>
      </w:r>
      <w:r>
        <w:t xml:space="preserve">Q-mode factor analysis has been used to cluster groundwaters by hydrogeochemical</w:t>
      </w:r>
      <w:r>
        <w:t xml:space="preserve"> </w:t>
      </w:r>
      <w:r>
        <w:t xml:space="preserve">origin in the Cariri Valley of northern Brazil (</w:t>
      </w:r>
      <w:r>
        <w:rPr>
          <w:iCs/>
          <w:i/>
        </w:rPr>
        <w:t xml:space="preserve">Water SA</w:t>
      </w:r>
      <w:r>
        <w:t xml:space="preserve">, 2008), and comparable</w:t>
      </w:r>
      <w:r>
        <w:t xml:space="preserve"> </w:t>
      </w:r>
      <w:r>
        <w:t xml:space="preserve">Q/R applications recur across catchments in India and elsewhere. These studies</w:t>
      </w:r>
      <w:r>
        <w:t xml:space="preserve"> </w:t>
      </w:r>
      <w:r>
        <w:t xml:space="preserve">share a template — standardise, factor, rotate, retain by Kaiser, interpret — but</w:t>
      </w:r>
      <w:r>
        <w:t xml:space="preserve"> </w:t>
      </w:r>
      <w:r>
        <w:t xml:space="preserve">they almost always report variable structure</w:t>
      </w:r>
      <w:r>
        <w:t xml:space="preserve"> </w:t>
      </w:r>
      <w:r>
        <w:rPr>
          <w:iCs/>
          <w:i/>
        </w:rPr>
        <w:t xml:space="preserve">or</w:t>
      </w:r>
      <w:r>
        <w:t xml:space="preserve"> </w:t>
      </w:r>
      <w:r>
        <w:t xml:space="preserve">sample grouping, rarely both on</w:t>
      </w:r>
      <w:r>
        <w:t xml:space="preserve"> </w:t>
      </w:r>
      <w:r>
        <w:t xml:space="preserve">shared axes, and they seldom write the result back to a map or make the pipeline</w:t>
      </w:r>
      <w:r>
        <w:t xml:space="preserve"> </w:t>
      </w:r>
      <w:r>
        <w:t xml:space="preserve">reproducible.</w:t>
      </w:r>
    </w:p>
    <w:p>
      <w:pPr>
        <w:pStyle w:val="BodyText"/>
      </w:pPr>
      <w:r>
        <w:rPr>
          <w:bCs/>
          <w:b/>
        </w:rPr>
        <w:t xml:space="preserve">African water scarcity and its measurement.</w:t>
      </w:r>
      <w:r>
        <w:t xml:space="preserve"> </w:t>
      </w:r>
      <w:r>
        <w:t xml:space="preserve">The dominant scarcity metric</w:t>
      </w:r>
      <w:r>
        <w:t xml:space="preserve"> </w:t>
      </w:r>
      <w:r>
        <w:t xml:space="preserve">remains the Falkenmark indicator (Falkenmark et al., 1989), which classifies a</w:t>
      </w:r>
      <w:r>
        <w:t xml:space="preserve"> </w:t>
      </w:r>
      <w:r>
        <w:t xml:space="preserve">country by renewable freshwater per capita: below 1,700 m³ yr⁻¹ signals stress,</w:t>
      </w:r>
      <w:r>
        <w:t xml:space="preserve"> </w:t>
      </w:r>
      <w:r>
        <w:t xml:space="preserve">below 1,000 m³ scarcity, and below 500 m³ absolute scarcity. Its virtues are</w:t>
      </w:r>
      <w:r>
        <w:t xml:space="preserve"> </w:t>
      </w:r>
      <w:r>
        <w:t xml:space="preserve">simplicity and communicability; its well-documented weaknesses are that it ignores</w:t>
      </w:r>
      <w:r>
        <w:t xml:space="preserve"> </w:t>
      </w:r>
      <w:r>
        <w:t xml:space="preserve">demand structure, storage, quality and sub-national heterogeneity (Damkjaer &amp;</w:t>
      </w:r>
      <w:r>
        <w:t xml:space="preserve"> </w:t>
      </w:r>
      <w:r>
        <w:t xml:space="preserve">Taylor, 2017). Demand-based frameworks address the first of these: the SDG 6.4.2</w:t>
      </w:r>
      <w:r>
        <w:t xml:space="preserve"> </w:t>
      </w:r>
      <w:r>
        <w:t xml:space="preserve">indicator and WRI’s Aqueduct define</w:t>
      </w:r>
      <w:r>
        <w:t xml:space="preserve"> </w:t>
      </w:r>
      <w:r>
        <w:rPr>
          <w:iCs/>
          <w:i/>
        </w:rPr>
        <w:t xml:space="preserve">baseline water stress</w:t>
      </w:r>
      <w:r>
        <w:t xml:space="preserve"> </w:t>
      </w:r>
      <w:r>
        <w:t xml:space="preserve">as the ratio of total</w:t>
      </w:r>
      <w:r>
        <w:t xml:space="preserve"> </w:t>
      </w:r>
      <w:r>
        <w:t xml:space="preserve">withdrawals to available renewable supply, aggregated from catchment to country</w:t>
      </w:r>
      <w:r>
        <w:t xml:space="preserve"> </w:t>
      </w:r>
      <w:r>
        <w:t xml:space="preserve">(Hofste et al., 2019). What neither approach does is derive the</w:t>
      </w:r>
      <w:r>
        <w:t xml:space="preserve"> </w:t>
      </w:r>
      <w:r>
        <w:rPr>
          <w:iCs/>
          <w:i/>
        </w:rPr>
        <w:t xml:space="preserve">structure</w:t>
      </w:r>
      <w:r>
        <w:t xml:space="preserve"> </w:t>
      </w:r>
      <w:r>
        <w:t xml:space="preserve">of use</w:t>
      </w:r>
      <w:r>
        <w:t xml:space="preserve"> </w:t>
      </w:r>
      <w:r>
        <w:t xml:space="preserve">empirically from the data and test whether it is spatially organised — precisely</w:t>
      </w:r>
      <w:r>
        <w:t xml:space="preserve"> </w:t>
      </w:r>
      <w:r>
        <w:t xml:space="preserve">the questions a Q/R-mode, map-first analysis can answer, and the space this study</w:t>
      </w:r>
      <w:r>
        <w:t xml:space="preserve"> </w:t>
      </w:r>
      <w:r>
        <w:t xml:space="preserve">occupies.</w:t>
      </w:r>
    </w:p>
    <w:p>
      <w:pPr>
        <w:pStyle w:val="BodyText"/>
      </w:pPr>
      <w:r>
        <w:rPr>
          <w:bCs/>
          <w:b/>
        </w:rPr>
        <w:t xml:space="preserve">Linking ordination to geography.</w:t>
      </w:r>
      <w:r>
        <w:t xml:space="preserve"> </w:t>
      </w:r>
      <w:r>
        <w:t xml:space="preserve">Connecting multivariate structure to spatial</w:t>
      </w:r>
      <w:r>
        <w:t xml:space="preserve"> </w:t>
      </w:r>
      <w:r>
        <w:t xml:space="preserve">pattern has a long lineage, and it is important not to overstate novelty here.</w:t>
      </w:r>
      <w:r>
        <w:t xml:space="preserve"> </w:t>
      </w:r>
      <w:r>
        <w:t xml:space="preserve">Wartenberg (1985) introduced multivariate spatial correlation; Dray, Saïd and</w:t>
      </w:r>
      <w:r>
        <w:t xml:space="preserve"> </w:t>
      </w:r>
      <w:r>
        <w:t xml:space="preserve">Débias (2008) generalised it into</w:t>
      </w:r>
      <w:r>
        <w:t xml:space="preserve"> </w:t>
      </w:r>
      <w:r>
        <w:rPr>
          <w:rStyle w:val="VerbatimChar"/>
        </w:rPr>
        <w:t xml:space="preserve">multispati</w:t>
      </w:r>
      <w:r>
        <w:t xml:space="preserve">, which maximises a compromise</w:t>
      </w:r>
      <w:r>
        <w:t xml:space="preserve"> </w:t>
      </w:r>
      <w:r>
        <w:t xml:space="preserve">between ordination variance and Moran’s coefficient, later extended to spatially</w:t>
      </w:r>
      <w:r>
        <w:t xml:space="preserve"> </w:t>
      </w:r>
      <w:r>
        <w:t xml:space="preserve">constrained multivariate analysis more broadly (Dray &amp; Jombart, 2011).</w:t>
      </w:r>
      <w:r>
        <w:t xml:space="preserve"> </w:t>
      </w:r>
      <w:r>
        <w:t xml:space="preserve">Geographically weighted PCA (Harris, Brunsdon &amp; Charlton, 2011), implemented in</w:t>
      </w:r>
      <w:r>
        <w:t xml:space="preserve"> </w:t>
      </w:r>
      <w:r>
        <w:rPr>
          <w:rStyle w:val="VerbatimChar"/>
        </w:rPr>
        <w:t xml:space="preserve">GWmodel</w:t>
      </w:r>
      <w:r>
        <w:t xml:space="preserve"> </w:t>
      </w:r>
      <w:r>
        <w:t xml:space="preserve">(Gollini et al., 2015), allows the loadings themselves to vary across</w:t>
      </w:r>
      <w:r>
        <w:t xml:space="preserve"> </w:t>
      </w:r>
      <w:r>
        <w:t xml:space="preserve">space. These are powerful, mature tools. Their cost, for an applied user, is</w:t>
      </w:r>
      <w:r>
        <w:t xml:space="preserve"> </w:t>
      </w:r>
      <w:r>
        <w:t xml:space="preserve">integration: reading a shapefile, running the ordination, classifying units,</w:t>
      </w:r>
      <w:r>
        <w:t xml:space="preserve"> </w:t>
      </w:r>
      <w:r>
        <w:t xml:space="preserve">testing spatial structure and drawing maps still spans several packages (</w:t>
      </w:r>
      <w:r>
        <w:rPr>
          <w:rStyle w:val="VerbatimChar"/>
        </w:rPr>
        <w:t xml:space="preserve">sf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sp</w:t>
      </w:r>
      <w:r>
        <w:t xml:space="preserve"> </w:t>
      </w:r>
      <w:r>
        <w:t xml:space="preserve">for geometry,</w:t>
      </w:r>
      <w:r>
        <w:t xml:space="preserve"> </w:t>
      </w:r>
      <w:r>
        <w:rPr>
          <w:rStyle w:val="VerbatimChar"/>
        </w:rPr>
        <w:t xml:space="preserve">spdep</w:t>
      </w:r>
      <w:r>
        <w:t xml:space="preserve"> </w:t>
      </w:r>
      <w:r>
        <w:t xml:space="preserve">for autocorrelation,</w:t>
      </w:r>
      <w:r>
        <w:t xml:space="preserve"> </w:t>
      </w:r>
      <w:r>
        <w:rPr>
          <w:rStyle w:val="VerbatimChar"/>
        </w:rPr>
        <w:t xml:space="preserve">cluster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pvclust</w:t>
      </w:r>
      <w:r>
        <w:t xml:space="preserve"> </w:t>
      </w:r>
      <w:r>
        <w:t xml:space="preserve">for</w:t>
      </w:r>
      <w:r>
        <w:t xml:space="preserve"> </w:t>
      </w:r>
      <w:r>
        <w:t xml:space="preserve">grouping), each with its own idioms (Bivand, Pebesma &amp; Gómez-Rubio, 2013;</w:t>
      </w:r>
      <w:r>
        <w:t xml:space="preserve"> </w:t>
      </w:r>
      <w:r>
        <w:t xml:space="preserve">Pebesma, 2018).</w:t>
      </w:r>
    </w:p>
    <w:p>
      <w:pPr>
        <w:pStyle w:val="BodyText"/>
      </w:pPr>
      <w:r>
        <w:rPr>
          <w:bCs/>
          <w:b/>
        </w:rPr>
        <w:t xml:space="preserve">Gap and contribution.</w:t>
      </w:r>
      <w:r>
        <w:t xml:space="preserve"> </w:t>
      </w:r>
      <w:r>
        <w:t xml:space="preserve">Two gaps motivate this study. First, applied Q/R-mode</w:t>
      </w:r>
      <w:r>
        <w:t xml:space="preserve"> </w:t>
      </w:r>
      <w:r>
        <w:t xml:space="preserve">work seldom reports variable structure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sample grouping on shared axes, and</w:t>
      </w:r>
      <w:r>
        <w:t xml:space="preserve"> </w:t>
      </w:r>
      <w:r>
        <w:t xml:space="preserve">rarely writes either to a map. Second, the workflow is not reproducible end-to-end</w:t>
      </w:r>
      <w:r>
        <w:t xml:space="preserve"> </w:t>
      </w:r>
      <w:r>
        <w:t xml:space="preserve">from a single object. We therefore adopt a</w:t>
      </w:r>
      <w:r>
        <w:t xml:space="preserve"> </w:t>
      </w:r>
      <w:r>
        <w:rPr>
          <w:bCs/>
          <w:b/>
        </w:rPr>
        <w:t xml:space="preserve">pipeline workflow</w:t>
      </w:r>
      <w:r>
        <w:t xml:space="preserve"> </w:t>
      </w:r>
      <w:r>
        <w:t xml:space="preserve">(Table 1): one</w:t>
      </w:r>
      <w:r>
        <w:t xml:space="preserve"> </w:t>
      </w:r>
      <w:r>
        <w:t xml:space="preserve">call ingests a shapefile or table; produces the correlation structure,</w:t>
      </w:r>
      <w:r>
        <w:t xml:space="preserve"> </w:t>
      </w:r>
      <w:r>
        <w:t xml:space="preserve">eigen-decomposition and rotated R- and Q-mode loadings and scores on shared axes;</w:t>
      </w:r>
      <w:r>
        <w:t xml:space="preserve"> </w:t>
      </w:r>
      <w:r>
        <w:t xml:space="preserve">derives per-unit indices and clusters; tests spatial autocorrelation; and appends</w:t>
      </w:r>
      <w:r>
        <w:t xml:space="preserve"> </w:t>
      </w:r>
      <w:r>
        <w:t xml:space="preserve">the results to the attribute table so that mapping is the final, not a separate,</w:t>
      </w:r>
      <w:r>
        <w:t xml:space="preserve"> </w:t>
      </w:r>
      <w:r>
        <w:t xml:space="preserve">step. The contribution is integration and reproducibility for applied users —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 new estimator, a distinction we keep explicit throughout.</w:t>
      </w:r>
    </w:p>
    <w:p>
      <w:pPr>
        <w:pStyle w:val="BodyText"/>
      </w:pPr>
      <w:r>
        <w:rPr>
          <w:iCs/>
          <w:i/>
        </w:rPr>
        <w:t xml:space="preserve">Table 1. The map-first Q/R workflow: one call, six stages.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 table or shapefile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 matrix + geometry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+ correlate; test factorability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correlation matrix, KMO, Bartlett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Eigen-decompose; retain (Kaiser + parallel)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eigenvalues, 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R/Q loadings + scores (varimax)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shared-axis biplot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Index, rank, cluster (silhouette-checked)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per-country indices +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back; map; test autocorrelation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attribute table, choropleths, Moran’s I / LISA</w:t>
            </w:r>
          </w:p>
        </w:tc>
      </w:tr>
    </w:tbl>
    <w:bookmarkEnd w:id="22"/>
    <w:bookmarkStart w:id="23" w:name="data-and-methods"/>
    <w:p>
      <w:pPr>
        <w:pStyle w:val="Heading2"/>
      </w:pPr>
      <w:r>
        <w:t xml:space="preserve">3. Data and methods</w:t>
      </w:r>
    </w:p>
    <w:p>
      <w:pPr>
        <w:pStyle w:val="FirstParagraph"/>
      </w:pPr>
      <w:r>
        <w:rPr>
          <w:bCs/>
          <w:b/>
        </w:rPr>
        <w:t xml:space="preserve">Study units and variables.</w:t>
      </w:r>
      <w:r>
        <w:t xml:space="preserve"> </w:t>
      </w:r>
      <w:r>
        <w:t xml:space="preserve">The analysis covers 50 African countries described</w:t>
      </w:r>
      <w:r>
        <w:t xml:space="preserve"> </w:t>
      </w:r>
      <w:r>
        <w:t xml:space="preserve">by water-use indicators from FAO’s AQUASTAT global water information system (FAO,</w:t>
      </w:r>
      <w:r>
        <w:t xml:space="preserve"> </w:t>
      </w:r>
      <w:r>
        <w:t xml:space="preserve">2026): municipal (</w:t>
      </w:r>
      <w:r>
        <w:rPr>
          <w:rStyle w:val="VerbatimChar"/>
        </w:rPr>
        <w:t xml:space="preserve">Domestic</w:t>
      </w:r>
      <w:r>
        <w:t xml:space="preserve">), industrial (</w:t>
      </w:r>
      <w:r>
        <w:rPr>
          <w:rStyle w:val="VerbatimChar"/>
        </w:rPr>
        <w:t xml:space="preserve">Industry</w:t>
      </w:r>
      <w:r>
        <w:t xml:space="preserve">) and agricultural</w:t>
      </w:r>
      <w:r>
        <w:t xml:space="preserve"> </w:t>
      </w:r>
      <w:r>
        <w:t xml:space="preserve">(</w:t>
      </w:r>
      <w:r>
        <w:rPr>
          <w:rStyle w:val="VerbatimChar"/>
        </w:rPr>
        <w:t xml:space="preserve">Agricultur</w:t>
      </w:r>
      <w:r>
        <w:t xml:space="preserve">) water withdrawal; total renewable water resources (</w:t>
      </w:r>
      <w:r>
        <w:rPr>
          <w:rStyle w:val="VerbatimChar"/>
        </w:rPr>
        <w:t xml:space="preserve">Resources</w:t>
      </w:r>
      <w:r>
        <w:t xml:space="preserve">);</w:t>
      </w:r>
      <w:r>
        <w:t xml:space="preserve"> </w:t>
      </w:r>
      <w:r>
        <w:t xml:space="preserve">and total water withdrawal (</w:t>
      </w:r>
      <w:r>
        <w:rPr>
          <w:rStyle w:val="VerbatimChar"/>
        </w:rPr>
        <w:t xml:space="preserve">withdrawal</w:t>
      </w:r>
      <w:r>
        <w:t xml:space="preserve">). Withdrawal quantities follow AQUASTAT</w:t>
      </w:r>
      <w:r>
        <w:t xml:space="preserve"> </w:t>
      </w:r>
      <w:r>
        <w:t xml:space="preserve">conventions (10⁹ m³ yr⁻¹ for volumes). A per-capita withdrawal variable available</w:t>
      </w:r>
      <w:r>
        <w:t xml:space="preserve"> </w:t>
      </w:r>
      <w:r>
        <w:t xml:space="preserve">in the source was</w:t>
      </w:r>
      <w:r>
        <w:t xml:space="preserve"> </w:t>
      </w:r>
      <w:r>
        <w:rPr>
          <w:bCs/>
          <w:b/>
        </w:rPr>
        <w:t xml:space="preserve">excluded</w:t>
      </w:r>
      <w:r>
        <w:t xml:space="preserve"> </w:t>
      </w:r>
      <w:r>
        <w:t xml:space="preserve">because it correlated 0.99 with agricultural</w:t>
      </w:r>
      <w:r>
        <w:t xml:space="preserve"> </w:t>
      </w:r>
      <w:r>
        <w:t xml:space="preserve">withdrawal; retaining both would double-count agriculture, inflate the leading</w:t>
      </w:r>
      <w:r>
        <w:t xml:space="preserve"> </w:t>
      </w:r>
      <w:r>
        <w:t xml:space="preserve">factor and render the correlation matrix near-singular. The analysis therefore</w:t>
      </w:r>
      <w:r>
        <w:t xml:space="preserve"> </w:t>
      </w:r>
      <w:r>
        <w:t xml:space="preserve">uses the five non-redundant indicators above. The present cross-section is the</w:t>
      </w:r>
      <w:r>
        <w:t xml:space="preserve"> </w:t>
      </w:r>
      <w:r>
        <w:t xml:space="preserve">AQUASTAT compilation bundled with the</w:t>
      </w:r>
      <w:r>
        <w:t xml:space="preserve"> </w:t>
      </w:r>
      <w:r>
        <w:rPr>
          <w:rStyle w:val="VerbatimChar"/>
        </w:rPr>
        <w:t xml:space="preserve">qrfactor</w:t>
      </w:r>
      <w:r>
        <w:t xml:space="preserve"> </w:t>
      </w:r>
      <w:r>
        <w:t xml:space="preserve">package (circa 2000); a refreshed</w:t>
      </w:r>
      <w:r>
        <w:t xml:space="preserve"> </w:t>
      </w:r>
      <w:r>
        <w:t xml:space="preserve">extract is obtained reproducibly from the current AQUASTAT dissemination service</w:t>
      </w:r>
      <w:r>
        <w:t xml:space="preserve"> </w:t>
      </w:r>
      <w:r>
        <w:t xml:space="preserve">(Appendix A), and the numeric results below should be re-confirmed on it before</w:t>
      </w:r>
      <w:r>
        <w:t xml:space="preserve"> </w:t>
      </w:r>
      <w:r>
        <w:t xml:space="preserve">country-specific policy weight is placed on them (Section 5).</w:t>
      </w:r>
    </w:p>
    <w:p>
      <w:pPr>
        <w:pStyle w:val="BodyText"/>
      </w:pPr>
      <w:r>
        <w:rPr>
          <w:bCs/>
          <w:b/>
        </w:rPr>
        <w:t xml:space="preserve">Ordination and retention.</w:t>
      </w:r>
      <w:r>
        <w:t xml:space="preserve"> </w:t>
      </w:r>
      <w:r>
        <w:t xml:space="preserve">All stages of Table 1 are executed by a single call,</w:t>
      </w:r>
      <w:r>
        <w:t xml:space="preserve"> </w:t>
      </w:r>
      <w:r>
        <w:rPr>
          <w:rStyle w:val="VerbatimChar"/>
        </w:rPr>
        <w:t xml:space="preserve">qrfactor()</w:t>
      </w:r>
      <w:r>
        <w:t xml:space="preserve">. Variables are standardised (correlation-based scaling) so that all</w:t>
      </w:r>
      <w:r>
        <w:t xml:space="preserve"> </w:t>
      </w:r>
      <w:r>
        <w:t xml:space="preserve">indicators contribute equally rather than the largest-magnitude variable</w:t>
      </w:r>
      <w:r>
        <w:t xml:space="preserve"> </w:t>
      </w:r>
      <w:r>
        <w:t xml:space="preserve">dominating. Factorability is assessed by the KMO measure of sampling adequacy</w:t>
      </w:r>
      <w:r>
        <w:t xml:space="preserve"> </w:t>
      </w:r>
      <w:r>
        <w:t xml:space="preserve">(Kaiser, 1974) and Bartlett’s test of sphericity. Factor retention is judged by</w:t>
      </w:r>
      <w:r>
        <w:t xml:space="preserve"> </w:t>
      </w:r>
      <w:r>
        <w:t xml:space="preserve">the Kaiser (1960) rule</w:t>
      </w:r>
      <w:r>
        <w:t xml:space="preserve"> </w:t>
      </w:r>
      <w:r>
        <w:rPr>
          <w:iCs/>
          <w:i/>
        </w:rPr>
        <w:t xml:space="preserve">and</w:t>
      </w:r>
      <w:r>
        <w:t xml:space="preserve">, more conservatively, by Horn’s (1965) parallel</w:t>
      </w:r>
      <w:r>
        <w:t xml:space="preserve"> </w:t>
      </w:r>
      <w:r>
        <w:t xml:space="preserve">analysis with 100 random datasets, reported side by side. R- and Q-mode loadings</w:t>
      </w:r>
      <w:r>
        <w:t xml:space="preserve"> </w:t>
      </w:r>
      <w:r>
        <w:t xml:space="preserve">and scores are placed on shared axes for joint interpretation, and loadings are</w:t>
      </w:r>
      <w:r>
        <w:t xml:space="preserve"> </w:t>
      </w:r>
      <w:r>
        <w:t xml:space="preserve">varimax-rotated for interpretability. Analyses used</w:t>
      </w:r>
      <w:r>
        <w:t xml:space="preserve"> </w:t>
      </w:r>
      <w:r>
        <w:rPr>
          <w:rStyle w:val="VerbatimChar"/>
        </w:rPr>
        <w:t xml:space="preserve">psych</w:t>
      </w:r>
      <w:r>
        <w:t xml:space="preserve"> </w:t>
      </w:r>
      <w:r>
        <w:t xml:space="preserve">(Revelle, 2024) for</w:t>
      </w:r>
      <w:r>
        <w:t xml:space="preserve"> </w:t>
      </w:r>
      <w:r>
        <w:t xml:space="preserve">the diagnostics and rotation and</w:t>
      </w:r>
      <w:r>
        <w:t xml:space="preserve"> </w:t>
      </w:r>
      <w:r>
        <w:rPr>
          <w:rStyle w:val="VerbatimChar"/>
        </w:rPr>
        <w:t xml:space="preserve">qrfactor</w:t>
      </w:r>
      <w:r>
        <w:t xml:space="preserve"> </w:t>
      </w:r>
      <w:r>
        <w:t xml:space="preserve">1.5 for the ordination and mapping.</w:t>
      </w:r>
    </w:p>
    <w:p>
      <w:pPr>
        <w:pStyle w:val="BodyText"/>
      </w:pPr>
      <w:r>
        <w:rPr>
          <w:bCs/>
          <w:b/>
        </w:rPr>
        <w:t xml:space="preserve">Classification and spatial testing.</w:t>
      </w:r>
      <w:r>
        <w:t xml:space="preserve"> </w:t>
      </w:r>
      <w:r>
        <w:t xml:space="preserve">Country groupings use</w:t>
      </w:r>
      <w:r>
        <w:t xml:space="preserve"> </w:t>
      </w:r>
      <w:r>
        <w:rPr>
          <w:rStyle w:val="VerbatimChar"/>
        </w:rPr>
        <w:t xml:space="preserve">kmeans</w:t>
      </w:r>
      <w:r>
        <w:t xml:space="preserve">; the number</w:t>
      </w:r>
      <w:r>
        <w:t xml:space="preserve"> </w:t>
      </w:r>
      <w:r>
        <w:t xml:space="preserve">of clusters is examined by the average silhouette width (Rousseeuw, 1987) over</w:t>
      </w:r>
      <w:r>
        <w:t xml:space="preserve"> </w:t>
      </w:r>
      <w:r>
        <w:t xml:space="preserve">k = 2…6, the seed is fixed for reproducibility, and cluster stability is checked by</w:t>
      </w:r>
      <w:r>
        <w:t xml:space="preserve"> </w:t>
      </w:r>
      <w:r>
        <w:t xml:space="preserve">multiscale bootstrap resampling (</w:t>
      </w:r>
      <w:r>
        <w:rPr>
          <w:rStyle w:val="VerbatimChar"/>
        </w:rPr>
        <w:t xml:space="preserve">pvclust</w:t>
      </w:r>
      <w:r>
        <w:t xml:space="preserve">; Suzuki &amp; Shimodaira, 2006). Group</w:t>
      </w:r>
      <w:r>
        <w:t xml:space="preserve"> </w:t>
      </w:r>
      <w:r>
        <w:t xml:space="preserve">separation on each variable is summarised by one-way ANOVA and Kruskal–Wallis</w:t>
      </w:r>
      <w:r>
        <w:t xml:space="preserve"> </w:t>
      </w:r>
      <w:r>
        <w:t xml:space="preserve">tests, with the caveat that testing the clustering variables across the clusters</w:t>
      </w:r>
      <w:r>
        <w:t xml:space="preserve"> </w:t>
      </w:r>
      <w:r>
        <w:t xml:space="preserve">they define is partly circular. Multivariate outliers are screened by the</w:t>
      </w:r>
      <w:r>
        <w:t xml:space="preserve"> </w:t>
      </w:r>
      <w:r>
        <w:t xml:space="preserve">adjusted-quantile method (Filzmoser, Garrett &amp; Reimann, 2005). Because the factor</w:t>
      </w:r>
      <w:r>
        <w:t xml:space="preserve"> </w:t>
      </w:r>
      <w:r>
        <w:t xml:space="preserve">scores, indices and cluster labels are written back to the attribute table, the</w:t>
      </w:r>
      <w:r>
        <w:t xml:space="preserve"> </w:t>
      </w:r>
      <w:r>
        <w:t xml:space="preserve">final products are choropleth maps. Spatial structure of the factor indices is</w:t>
      </w:r>
      <w:r>
        <w:t xml:space="preserve"> </w:t>
      </w:r>
      <w:r>
        <w:t xml:space="preserve">tested with global Moran’s I (Moran, 1950) and local indicators of spatial</w:t>
      </w:r>
      <w:r>
        <w:t xml:space="preserve"> </w:t>
      </w:r>
      <w:r>
        <w:t xml:space="preserve">association (LISA; Anselin, 1995), using row-standardised queen-contiguity weights</w:t>
      </w:r>
      <w:r>
        <w:t xml:space="preserve"> </w:t>
      </w:r>
      <w:r>
        <w:t xml:space="preserve">built from the country polygons with</w:t>
      </w:r>
      <w:r>
        <w:t xml:space="preserve"> </w:t>
      </w:r>
      <w:r>
        <w:rPr>
          <w:rStyle w:val="VerbatimChar"/>
        </w:rPr>
        <w:t xml:space="preserve">spdep</w:t>
      </w:r>
      <w:r>
        <w:t xml:space="preserve">. Three island states (Cape Verde,</w:t>
      </w:r>
      <w:r>
        <w:t xml:space="preserve"> </w:t>
      </w:r>
      <w:r>
        <w:t xml:space="preserve">Comoros, Madagascar) have no contiguity neighbours and enter under a zero-neighbour</w:t>
      </w:r>
      <w:r>
        <w:t xml:space="preserve"> </w:t>
      </w:r>
      <w:r>
        <w:t xml:space="preserve">policy; a distance- or k-nearest-based weighting would include them. Shapefiles are</w:t>
      </w:r>
      <w:r>
        <w:t xml:space="preserve"> </w:t>
      </w:r>
      <w:r>
        <w:t xml:space="preserve">read with</w:t>
      </w:r>
      <w:r>
        <w:t xml:space="preserve"> </w:t>
      </w:r>
      <w:r>
        <w:rPr>
          <w:rStyle w:val="VerbatimChar"/>
        </w:rPr>
        <w:t xml:space="preserve">sf</w:t>
      </w:r>
      <w:r>
        <w:t xml:space="preserve"> </w:t>
      </w:r>
      <w:r>
        <w:t xml:space="preserve">(Pebesma, 2018) and mapped with</w:t>
      </w:r>
      <w:r>
        <w:t xml:space="preserve"> </w:t>
      </w:r>
      <w:r>
        <w:rPr>
          <w:rStyle w:val="VerbatimChar"/>
        </w:rPr>
        <w:t xml:space="preserve">sp</w:t>
      </w:r>
      <w:r>
        <w:t xml:space="preserve"> </w:t>
      </w:r>
      <w:r>
        <w:t xml:space="preserve">(Pebesma &amp; Bivand, 2005).</w:t>
      </w:r>
      <w:r>
        <w:t xml:space="preserve"> </w:t>
      </w:r>
      <w:r>
        <w:t xml:space="preserve">Analyses were run in R 4.6 (R Core Team, 2026); the complete scripts reproduce</w:t>
      </w:r>
      <w:r>
        <w:t xml:space="preserve"> </w:t>
      </w:r>
      <w:r>
        <w:t xml:space="preserve">every table and figure (Appendix A).</w:t>
      </w:r>
    </w:p>
    <w:bookmarkEnd w:id="23"/>
    <w:bookmarkStart w:id="36" w:name="results"/>
    <w:p>
      <w:pPr>
        <w:pStyle w:val="Heading2"/>
      </w:pPr>
      <w:r>
        <w:t xml:space="preserve">4. Results</w:t>
      </w:r>
    </w:p>
    <w:p>
      <w:pPr>
        <w:pStyle w:val="FirstParagraph"/>
      </w:pPr>
      <w:r>
        <w:rPr>
          <w:bCs/>
          <w:b/>
        </w:rPr>
        <w:t xml:space="preserve">Correlation structure.</w:t>
      </w:r>
      <w:r>
        <w:t xml:space="preserve"> </w:t>
      </w:r>
      <w:r>
        <w:t xml:space="preserve">The five indicators show the pattern that underlies the</w:t>
      </w:r>
      <w:r>
        <w:t xml:space="preserve"> </w:t>
      </w:r>
      <w:r>
        <w:t xml:space="preserve">paradox (Table 2). Municipal and industrial use rise together (r = 0.75), the</w:t>
      </w:r>
      <w:r>
        <w:t xml:space="preserve"> </w:t>
      </w:r>
      <w:r>
        <w:t xml:space="preserve">signature of a developing modern economy, and industrial and total withdrawal</w:t>
      </w:r>
      <w:r>
        <w:t xml:space="preserve"> </w:t>
      </w:r>
      <w:r>
        <w:t xml:space="preserve">track agricultural withdrawal (0.63–0.65). Critically, renewable</w:t>
      </w:r>
      <w:r>
        <w:t xml:space="preserve"> </w:t>
      </w:r>
      <w:r>
        <w:rPr>
          <w:rStyle w:val="VerbatimChar"/>
        </w:rPr>
        <w:t xml:space="preserve">Resources</w:t>
      </w:r>
      <w:r>
        <w:t xml:space="preserve"> </w:t>
      </w:r>
      <w:r>
        <w:t xml:space="preserve">correlates only −0.04 to −0.19 with every use variable:</w:t>
      </w:r>
      <w:r>
        <w:t xml:space="preserve"> </w:t>
      </w:r>
      <w:r>
        <w:rPr>
          <w:bCs/>
          <w:b/>
        </w:rPr>
        <w:t xml:space="preserve">availability and use are</w:t>
      </w:r>
      <w:r>
        <w:rPr>
          <w:bCs/>
          <w:b/>
        </w:rPr>
        <w:t xml:space="preserve"> </w:t>
      </w:r>
      <w:r>
        <w:rPr>
          <w:bCs/>
          <w:b/>
        </w:rPr>
        <w:t xml:space="preserve">decoupled.</w:t>
      </w:r>
    </w:p>
    <w:p>
      <w:pPr>
        <w:pStyle w:val="BodyText"/>
      </w:pPr>
      <w:r>
        <w:rPr>
          <w:iCs/>
          <w:i/>
        </w:rPr>
        <w:t xml:space="preserve">Table 2. Pearson correlations among the five indicators (n = 50).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Domestic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Industry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Agricultur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Resources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withdrawal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Domestic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Agricultur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withdrawal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</w:tr>
    </w:tbl>
    <w:p>
      <w:pPr>
        <w:pStyle w:val="BodyText"/>
      </w:pPr>
      <w:r>
        <w:rPr>
          <w:bCs/>
          <w:b/>
        </w:rPr>
        <w:t xml:space="preserve">Factorability.</w:t>
      </w:r>
      <w:r>
        <w:t xml:space="preserve"> </w:t>
      </w:r>
      <w:r>
        <w:t xml:space="preserve">Bartlett’s test strongly rejects sphericity (χ² = 98.2,</w:t>
      </w:r>
      <w:r>
        <w:t xml:space="preserve"> </w:t>
      </w:r>
      <w:r>
        <w:t xml:space="preserve">df = 10, p = 1.3 × 10⁻¹⁶): the matrix is not an identity and is worth factoring.</w:t>
      </w:r>
      <w:r>
        <w:t xml:space="preserve"> </w:t>
      </w:r>
      <w:r>
        <w:t xml:space="preserve">The KMO measure of sampling adequacy is modest, however, at 0.56 overall, with</w:t>
      </w:r>
      <w:r>
        <w:t xml:space="preserve"> </w:t>
      </w:r>
      <w:r>
        <w:t xml:space="preserve">three items near the 0.5 floor (Domestic 0.50, withdrawal 0.52, Industry 0.56) and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Resources</w:t>
      </w:r>
      <w:r>
        <w:t xml:space="preserve"> </w:t>
      </w:r>
      <w:r>
        <w:t xml:space="preserve">(0.78) and</w:t>
      </w:r>
      <w:r>
        <w:t xml:space="preserve"> </w:t>
      </w:r>
      <w:r>
        <w:rPr>
          <w:rStyle w:val="VerbatimChar"/>
        </w:rPr>
        <w:t xml:space="preserve">Agricultur</w:t>
      </w:r>
      <w:r>
        <w:t xml:space="preserve"> </w:t>
      </w:r>
      <w:r>
        <w:t xml:space="preserve">(0.70) comfortably adequate. We therefore</w:t>
      </w:r>
      <w:r>
        <w:t xml:space="preserve"> </w:t>
      </w:r>
      <w:r>
        <w:t xml:space="preserve">treat the factor solution as an</w:t>
      </w:r>
      <w:r>
        <w:t xml:space="preserve"> </w:t>
      </w:r>
      <w:r>
        <w:rPr>
          <w:iCs/>
          <w:i/>
        </w:rPr>
        <w:t xml:space="preserve">exploratory</w:t>
      </w:r>
      <w:r>
        <w:t xml:space="preserve"> </w:t>
      </w:r>
      <w:r>
        <w:t xml:space="preserve">data reduction rather than a</w:t>
      </w:r>
      <w:r>
        <w:t xml:space="preserve"> </w:t>
      </w:r>
      <w:r>
        <w:t xml:space="preserve">confirmatory measurement model, and report retention conservatively.</w:t>
      </w:r>
    </w:p>
    <w:p>
      <w:pPr>
        <w:pStyle w:val="BodyText"/>
      </w:pPr>
      <w:r>
        <w:rPr>
          <w:bCs/>
          <w:b/>
        </w:rPr>
        <w:t xml:space="preserve">Retention.</w:t>
      </w:r>
      <w:r>
        <w:t xml:space="preserve"> </w:t>
      </w:r>
      <w:r>
        <w:t xml:space="preserve">The first two eigenvalues exceed unity (2.61, 1.02) and together</w:t>
      </w:r>
      <w:r>
        <w:t xml:space="preserve"> </w:t>
      </w:r>
      <w:r>
        <w:t xml:space="preserve">explain 72.6% of the variance (Table 3), so the Kaiser rule retains two factors.</w:t>
      </w:r>
      <w:r>
        <w:t xml:space="preserve"> </w:t>
      </w:r>
      <w:r>
        <w:t xml:space="preserve">Horn’s parallel analysis is more conservative, retaining only one component: the</w:t>
      </w:r>
      <w:r>
        <w:t xml:space="preserve"> </w:t>
      </w:r>
      <w:r>
        <w:t xml:space="preserve">second eigenvalue (1.02) barely clears the Kaiser threshold and falls below the</w:t>
      </w:r>
      <w:r>
        <w:t xml:space="preserve"> </w:t>
      </w:r>
      <w:r>
        <w:t xml:space="preserve">parallel-analysis cut-off. We retain two factors on the grounds of interpretability</w:t>
      </w:r>
      <w:r>
        <w:t xml:space="preserve"> </w:t>
      </w:r>
      <w:r>
        <w:t xml:space="preserve">and the clean rotated structure below, but flag that the second factor is</w:t>
      </w:r>
      <w:r>
        <w:t xml:space="preserve"> </w:t>
      </w:r>
      <w:r>
        <w:t xml:space="preserve">statistically marginal — a caveat that shapes how far the resource contrast should</w:t>
      </w:r>
      <w:r>
        <w:t xml:space="preserve"> </w:t>
      </w:r>
      <w:r>
        <w:t xml:space="preserve">be pressed.</w:t>
      </w:r>
    </w:p>
    <w:p>
      <w:pPr>
        <w:pStyle w:val="BodyText"/>
      </w:pPr>
      <w:r>
        <w:rPr>
          <w:iCs/>
          <w:i/>
        </w:rPr>
        <w:t xml:space="preserve">Table 3. Eigenvalues and variance explained (five indicators, correlation-based scaling).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Eigenvalue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Variance 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Cumulative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100.00</w:t>
            </w:r>
          </w:p>
        </w:tc>
      </w:tr>
    </w:tbl>
    <w:p>
      <w:pPr>
        <w:pStyle w:val="BodyText"/>
      </w:pPr>
      <w:r>
        <w:rPr>
          <w:bCs/>
          <w:b/>
        </w:rPr>
        <w:t xml:space="preserve">Rotated structure.</w:t>
      </w:r>
      <w:r>
        <w:t xml:space="preserve"> </w:t>
      </w:r>
      <w:r>
        <w:t xml:space="preserve">The varimax-rotated two-factor solution is clean and</w:t>
      </w:r>
      <w:r>
        <w:t xml:space="preserve"> </w:t>
      </w:r>
      <w:r>
        <w:t xml:space="preserve">interpretable (Table 4). Factor 1 (49.0% of variance after rotation) is a general</w:t>
      </w:r>
      <w:r>
        <w:t xml:space="preserve"> </w:t>
      </w:r>
      <w:r>
        <w:rPr>
          <w:iCs/>
          <w:i/>
        </w:rPr>
        <w:t xml:space="preserve">scale of water use</w:t>
      </w:r>
      <w:r>
        <w:t xml:space="preserve">: industrial (0.84), total (0.87), agricultural (0.78) and</w:t>
      </w:r>
      <w:r>
        <w:t xml:space="preserve"> </w:t>
      </w:r>
      <w:r>
        <w:t xml:space="preserve">municipal (0.61) withdrawal load together while</w:t>
      </w:r>
      <w:r>
        <w:t xml:space="preserve"> </w:t>
      </w:r>
      <w:r>
        <w:rPr>
          <w:rStyle w:val="VerbatimChar"/>
        </w:rPr>
        <w:t xml:space="preserve">Resources</w:t>
      </w:r>
      <w:r>
        <w:t xml:space="preserve"> </w:t>
      </w:r>
      <w:r>
        <w:t xml:space="preserve">loads near zero.</w:t>
      </w:r>
      <w:r>
        <w:t xml:space="preserve"> </w:t>
      </w:r>
      <w:r>
        <w:t xml:space="preserve">Factor 2 (23.5%) is a</w:t>
      </w:r>
      <w:r>
        <w:t xml:space="preserve"> </w:t>
      </w:r>
      <w:r>
        <w:rPr>
          <w:iCs/>
          <w:i/>
        </w:rPr>
        <w:t xml:space="preserve">resource-versus-use contrast</w:t>
      </w:r>
      <w:r>
        <w:t xml:space="preserve"> </w:t>
      </w:r>
      <w:r>
        <w:t xml:space="preserve">on which</w:t>
      </w:r>
      <w:r>
        <w:t xml:space="preserve"> </w:t>
      </w:r>
      <w:r>
        <w:rPr>
          <w:rStyle w:val="VerbatimChar"/>
        </w:rPr>
        <w:t xml:space="preserve">Resources</w:t>
      </w:r>
      <w:r>
        <w:t xml:space="preserve"> </w:t>
      </w:r>
      <w:r>
        <w:t xml:space="preserve">loads</w:t>
      </w:r>
      <w:r>
        <w:t xml:space="preserve"> </w:t>
      </w:r>
      <w:r>
        <w:t xml:space="preserve">almost alone (0.89), opposed weakly by municipal use (−0.52). Communalities range</w:t>
      </w:r>
      <w:r>
        <w:t xml:space="preserve"> </w:t>
      </w:r>
      <w:r>
        <w:t xml:space="preserve">0.61–0.82, so every indicator is well represented. The two factors thus separate</w:t>
      </w:r>
      <w:r>
        <w:t xml:space="preserve"> </w:t>
      </w:r>
      <w:r>
        <w:rPr>
          <w:iCs/>
          <w:i/>
        </w:rPr>
        <w:t xml:space="preserve">how much</w:t>
      </w:r>
      <w:r>
        <w:t xml:space="preserve"> </w:t>
      </w:r>
      <w:r>
        <w:t xml:space="preserve">water is used from</w:t>
      </w:r>
      <w:r>
        <w:t xml:space="preserve"> </w:t>
      </w:r>
      <w:r>
        <w:rPr>
          <w:iCs/>
          <w:i/>
        </w:rPr>
        <w:t xml:space="preserve">how much</w:t>
      </w:r>
      <w:r>
        <w:t xml:space="preserve"> </w:t>
      </w:r>
      <w:r>
        <w:t xml:space="preserve">is available — the algebraic expression of</w:t>
      </w:r>
      <w:r>
        <w:t xml:space="preserve"> </w:t>
      </w:r>
      <w:r>
        <w:t xml:space="preserve">the decoupling seen in Table 2. The simultaneous Q/R biplot (Figure 1) places</w:t>
      </w:r>
      <w:r>
        <w:t xml:space="preserve"> </w:t>
      </w:r>
      <w:r>
        <w:t xml:space="preserve">variables and countries on these axes together: the heavy agricultural users —</w:t>
      </w:r>
      <w:r>
        <w:t xml:space="preserve"> </w:t>
      </w:r>
      <w:r>
        <w:t xml:space="preserve">Egypt, Sudan, Madagascar, Libya, Mali, Mauritania and Swaziland — lie at the</w:t>
      </w:r>
      <w:r>
        <w:t xml:space="preserve"> </w:t>
      </w:r>
      <w:r>
        <w:t xml:space="preserve">high-use pole, the water-rich Congo and the Democratic Republic of the Congo lie</w:t>
      </w:r>
      <w:r>
        <w:t xml:space="preserve"> </w:t>
      </w:r>
      <w:r>
        <w:t xml:space="preserve">alone by the</w:t>
      </w:r>
      <w:r>
        <w:t xml:space="preserve"> </w:t>
      </w:r>
      <w:r>
        <w:rPr>
          <w:rStyle w:val="VerbatimChar"/>
        </w:rPr>
        <w:t xml:space="preserve">Resources</w:t>
      </w:r>
      <w:r>
        <w:t xml:space="preserve"> </w:t>
      </w:r>
      <w:r>
        <w:t xml:space="preserve">vector, and a dense cluster of small, low-use economies</w:t>
      </w:r>
      <w:r>
        <w:t xml:space="preserve"> </w:t>
      </w:r>
      <w:r>
        <w:t xml:space="preserve">fills the remainder. As Figure 1 shows, Congo and Egypt land almost as far apart as</w:t>
      </w:r>
      <w:r>
        <w:t xml:space="preserve"> </w:t>
      </w:r>
      <w:r>
        <w:t xml:space="preserve">the data allow.</w:t>
      </w:r>
    </w:p>
    <w:p>
      <w:pPr>
        <w:pStyle w:val="BodyText"/>
      </w:pPr>
      <w:r>
        <w:rPr>
          <w:iCs/>
          <w:i/>
        </w:rPr>
        <w:t xml:space="preserve">Table 4. Varimax-rotated loadings and communalities (loadings |·| &lt; 0.3 suppressed).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RC1 (use)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RC2 (resources)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Communality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Domestic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Agricultur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0.61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withdrawal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 loadings (% var)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49.0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23.5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72.6 (cum.)</w:t>
            </w:r>
          </w:p>
        </w:tc>
      </w:tr>
    </w:tbl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1. Simultaneous Q/R-mode biplot. Variables (labelled diamonds) and countries (numbered points) share the first two factor axes. Country 16 = Egypt, 42 = Sudan, 12 = Congo, 14 = DR Congo, 17 = Equatorial Guinea." title="" id="25" name="Picture"/>
            <a:graphic>
              <a:graphicData uri="http://schemas.openxmlformats.org/drawingml/2006/picture">
                <pic:pic>
                  <pic:nvPicPr>
                    <pic:cNvPr descr="../manual/figures/fig_simultaneou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Simultaneous Q/R-mode biplot. Variables (labelled diamonds) and countries (numbered points) share the first two factor axes. Country 16 = Egypt, 42 = Sudan, 12 = Congo, 14 = DR Congo, 17 = Equatorial Guinea.</w:t>
      </w:r>
    </w:p>
    <w:p>
      <w:pPr>
        <w:pStyle w:val="BodyText"/>
      </w:pPr>
      <w:r>
        <w:rPr>
          <w:bCs/>
          <w:b/>
        </w:rPr>
        <w:t xml:space="preserve">The map-first result and its spatial significance.</w:t>
      </w:r>
      <w:r>
        <w:t xml:space="preserve"> </w:t>
      </w:r>
      <w:r>
        <w:t xml:space="preserve">Because the factor indices</w:t>
      </w:r>
      <w:r>
        <w:t xml:space="preserve"> </w:t>
      </w:r>
      <w:r>
        <w:t xml:space="preserve">are written to the attribute table, the ordination becomes a map. Figure 2 maps the</w:t>
      </w:r>
      <w:r>
        <w:t xml:space="preserve"> </w:t>
      </w:r>
      <w:r>
        <w:t xml:space="preserve">Factor 1 index (overall water use): a high-use band across Egypt, Sudan, Libya and</w:t>
      </w:r>
      <w:r>
        <w:t xml:space="preserve"> </w:t>
      </w:r>
      <w:r>
        <w:t xml:space="preserve">the Sahel contrasts with the deep lows of the Congo Basin. Figure 3 maps the Factor</w:t>
      </w:r>
      <w:r>
        <w:t xml:space="preserve"> </w:t>
      </w:r>
      <w:r>
        <w:t xml:space="preserve">2 index (the resource contrast), a distinct geography. Crucially, these patterns are</w:t>
      </w:r>
      <w:r>
        <w:t xml:space="preserve"> </w:t>
      </w:r>
      <w:r>
        <w:t xml:space="preserve">not artefacts of the eye: global Moran’s I confirms significant positive spatial</w:t>
      </w:r>
      <w:r>
        <w:t xml:space="preserve"> </w:t>
      </w:r>
      <w:r>
        <w:t xml:space="preserve">autocorrelation for both the Factor 1 score (I = 0.354, p = 3.8 × 10⁻⁵) and its</w:t>
      </w:r>
      <w:r>
        <w:t xml:space="preserve"> </w:t>
      </w:r>
      <w:r>
        <w:t xml:space="preserve">index (I = 0.303, p = 0.001), and more weakly for Factor 2 (I = 0.17, p = 0.02)</w:t>
      </w:r>
      <w:r>
        <w:t xml:space="preserve"> </w:t>
      </w:r>
      <w:r>
        <w:t xml:space="preserve">(Table 5). Local indicators of spatial association identify</w:t>
      </w:r>
      <w:r>
        <w:t xml:space="preserve"> </w:t>
      </w:r>
      <w:r>
        <w:rPr>
          <w:bCs/>
          <w:b/>
        </w:rPr>
        <w:t xml:space="preserve">Egypt</w:t>
      </w:r>
      <w:r>
        <w:t xml:space="preserve"> </w:t>
      </w:r>
      <w:r>
        <w:t xml:space="preserve">as a</w:t>
      </w:r>
      <w:r>
        <w:t xml:space="preserve"> </w:t>
      </w:r>
      <w:r>
        <w:t xml:space="preserve">high–high hotspot (local I = 2.71, p = 0.018) and</w:t>
      </w:r>
      <w:r>
        <w:t xml:space="preserve"> </w:t>
      </w:r>
      <w:r>
        <w:rPr>
          <w:bCs/>
          <w:b/>
        </w:rPr>
        <w:t xml:space="preserve">Congo</w:t>
      </w:r>
      <w:r>
        <w:t xml:space="preserve"> </w:t>
      </w:r>
      <w:r>
        <w:t xml:space="preserve">as a low–low coldspot</w:t>
      </w:r>
      <w:r>
        <w:t xml:space="preserve"> </w:t>
      </w:r>
      <w:r>
        <w:t xml:space="preserve">(local I = 2.06, p = 0.024), with Algeria, Botswana and the Democratic Republic of</w:t>
      </w:r>
      <w:r>
        <w:t xml:space="preserve"> </w:t>
      </w:r>
      <w:r>
        <w:t xml:space="preserve">the Congo also locally significant; after false-discovery-rate adjustment the Egypt</w:t>
      </w:r>
      <w:r>
        <w:t xml:space="preserve"> </w:t>
      </w:r>
      <w:r>
        <w:t xml:space="preserve">and Congo signals are the most robust. The paradox is therefore not only mapped but</w:t>
      </w:r>
      <w:r>
        <w:t xml:space="preserve"> </w:t>
      </w:r>
      <w:r>
        <w:t xml:space="preserve">statistically spatial: high use in the arid north-east, low use over the wet</w:t>
      </w:r>
      <w:r>
        <w:t xml:space="preserve"> </w:t>
      </w:r>
      <w:r>
        <w:t xml:space="preserve">equatorial core.</w:t>
      </w:r>
    </w:p>
    <w:p>
      <w:pPr>
        <w:pStyle w:val="BodyText"/>
      </w:pPr>
      <w:r>
        <w:rPr>
          <w:iCs/>
          <w:i/>
        </w:rPr>
        <w:t xml:space="preserve">Table 5. Global Moran’s I of the factor indices (queen contiguity, E[I] = −0.022).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Moran’s 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 1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 × 10⁻⁵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 1 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 2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 2 index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</w:t>
            </w:r>
          </w:p>
        </w:tc>
      </w:tr>
    </w:tbl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2. Factor 1 index (overall, agriculture-driven water use) across Africa (Moran’s I = 0.35, p &lt; 10⁻⁴). Warmer colours denote higher use; the Congo Basin is lowest." title="" id="28" name="Picture"/>
            <a:graphic>
              <a:graphicData uri="http://schemas.openxmlformats.org/drawingml/2006/picture">
                <pic:pic>
                  <pic:nvPicPr>
                    <pic:cNvPr descr="../manual/figures/fig_map_20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Factor 1 index (overall, agriculture-driven water use) across Africa (Moran’s I = 0.35, p &lt; 10⁻⁴). Warmer colours denote higher use; the Congo Basin is lowest.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3. Factor 2 index (the resource-versus-use contrast), a geography distinct from Figure 2." title="" id="31" name="Picture"/>
            <a:graphic>
              <a:graphicData uri="http://schemas.openxmlformats.org/drawingml/2006/picture">
                <pic:pic>
                  <pic:nvPicPr>
                    <pic:cNvPr descr="../manual/figures/fig_map_2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Factor 2 index (the resource-versus-use contrast), a geography distinct from Figure 2.</w:t>
      </w:r>
    </w:p>
    <w:p>
      <w:pPr>
        <w:pStyle w:val="BodyText"/>
      </w:pPr>
      <w:r>
        <w:rPr>
          <w:bCs/>
          <w:b/>
        </w:rPr>
        <w:t xml:space="preserve">Country profiles.</w:t>
      </w:r>
      <w:r>
        <w:t xml:space="preserve"> </w:t>
      </w:r>
      <w:r>
        <w:t xml:space="preserve">Average silhouette widths over k = 2…6 (0.52, 0.49, 0.54,</w:t>
      </w:r>
      <w:r>
        <w:t xml:space="preserve"> </w:t>
      </w:r>
      <w:r>
        <w:t xml:space="preserve">0.55, 0.52) indicate soft but real structure with no dominant optimum; k = 5 is</w:t>
      </w:r>
      <w:r>
        <w:t xml:space="preserve"> </w:t>
      </w:r>
      <w:r>
        <w:t xml:space="preserve">marginally best and k = 2 close behind. For interpretability we present the</w:t>
      </w:r>
      <w:r>
        <w:t xml:space="preserve"> </w:t>
      </w:r>
      <w:r>
        <w:t xml:space="preserve">parsimonious two-group solution, which multiscale bootstrap resampling supports as</w:t>
      </w:r>
      <w:r>
        <w:t xml:space="preserve"> </w:t>
      </w:r>
      <w:r>
        <w:t xml:space="preserve">stable, while noting that finer partitions fit marginally better. The two groups</w:t>
      </w:r>
      <w:r>
        <w:t xml:space="preserve"> </w:t>
      </w:r>
      <w:r>
        <w:t xml:space="preserve">are a</w:t>
      </w:r>
      <w:r>
        <w:t xml:space="preserve"> </w:t>
      </w:r>
      <w:r>
        <w:rPr>
          <w:iCs/>
          <w:i/>
        </w:rPr>
        <w:t xml:space="preserve">heavy-user</w:t>
      </w:r>
      <w:r>
        <w:t xml:space="preserve"> </w:t>
      </w:r>
      <w:r>
        <w:t xml:space="preserve">cluster (Egypt, Sudan, Libya, Mali, South Africa, Morocco and</w:t>
      </w:r>
      <w:r>
        <w:t xml:space="preserve"> </w:t>
      </w:r>
      <w:r>
        <w:t xml:space="preserve">similar) and a</w:t>
      </w:r>
      <w:r>
        <w:t xml:space="preserve"> </w:t>
      </w:r>
      <w:r>
        <w:rPr>
          <w:iCs/>
          <w:i/>
        </w:rPr>
        <w:t xml:space="preserve">light-user</w:t>
      </w:r>
      <w:r>
        <w:t xml:space="preserve"> </w:t>
      </w:r>
      <w:r>
        <w:t xml:space="preserve">cluster (the water-rich majority, including the Congo</w:t>
      </w:r>
      <w:r>
        <w:t xml:space="preserve"> </w:t>
      </w:r>
      <w:r>
        <w:t xml:space="preserve">Basin). Their mean profiles (Table 6) show the heavy users withdrawing several</w:t>
      </w:r>
      <w:r>
        <w:t xml:space="preserve"> </w:t>
      </w:r>
      <w:r>
        <w:t xml:space="preserve">times more across every use variable, yet sitting on roughly</w:t>
      </w:r>
      <w:r>
        <w:t xml:space="preserve"> </w:t>
      </w:r>
      <w:r>
        <w:rPr>
          <w:bCs/>
          <w:b/>
        </w:rPr>
        <w:t xml:space="preserve">half</w:t>
      </w:r>
      <w:r>
        <w:t xml:space="preserve"> </w:t>
      </w:r>
      <w:r>
        <w:t xml:space="preserve">the renewable</w:t>
      </w:r>
      <w:r>
        <w:t xml:space="preserve"> </w:t>
      </w:r>
      <w:r>
        <w:t xml:space="preserve">resource. One-way ANOVA confirms that every</w:t>
      </w:r>
      <w:r>
        <w:t xml:space="preserve"> </w:t>
      </w:r>
      <w:r>
        <w:rPr>
          <w:iCs/>
          <w:i/>
        </w:rPr>
        <w:t xml:space="preserve">use</w:t>
      </w:r>
      <w:r>
        <w:t xml:space="preserve"> </w:t>
      </w:r>
      <w:r>
        <w:t xml:space="preserve">variable separates the clusters at</w:t>
      </w:r>
      <w:r>
        <w:t xml:space="preserve"> </w:t>
      </w:r>
      <w:r>
        <w:t xml:space="preserve">p &lt; 0.001, whereas</w:t>
      </w:r>
      <w:r>
        <w:t xml:space="preserve"> </w:t>
      </w:r>
      <w:r>
        <w:rPr>
          <w:rStyle w:val="VerbatimChar"/>
        </w:rPr>
        <w:t xml:space="preserve">Resources</w:t>
      </w:r>
      <w:r>
        <w:t xml:space="preserve"> </w:t>
      </w:r>
      <w:r>
        <w:t xml:space="preserve">does not (F = 0.90, p = 0.35): the split is defined</w:t>
      </w:r>
      <w:r>
        <w:t xml:space="preserve"> </w:t>
      </w:r>
      <w:r>
        <w:t xml:space="preserve">by consumption, not endowment — exactly as Factor 1 implied — though, as noted, this</w:t>
      </w:r>
      <w:r>
        <w:t xml:space="preserve"> </w:t>
      </w:r>
      <w:r>
        <w:t xml:space="preserve">test is partly circular and the bootstrap stability is the stronger evidence. The</w:t>
      </w:r>
      <w:r>
        <w:t xml:space="preserve"> </w:t>
      </w:r>
      <w:r>
        <w:t xml:space="preserve">clustering is visualised in Figure 4.</w:t>
      </w:r>
    </w:p>
    <w:p>
      <w:pPr>
        <w:pStyle w:val="BodyText"/>
      </w:pPr>
      <w:r>
        <w:rPr>
          <w:iCs/>
          <w:i/>
        </w:rPr>
        <w:t xml:space="preserve">Table 6. Cluster mean profiles and one-way ANOVA of group separation (indicative; finalised on the refreshed extract).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Light users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Heavy users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F(1,48)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Domestic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 × 10⁻⁹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Industry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 × 10⁻⁸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Agricultur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 × 10⁻¹⁰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withdrawal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 × 10⁻⁴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Resources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 (n.s.)</w:t>
            </w:r>
          </w:p>
        </w:tc>
      </w:tr>
    </w:tbl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4. Cluster ordination (clusplot) of the 50 countries on the retained factors, with group hulls. Cluster stability was confirmed by multiscale bootstrap resampling." title="" id="34" name="Picture"/>
            <a:graphic>
              <a:graphicData uri="http://schemas.openxmlformats.org/drawingml/2006/picture">
                <pic:pic>
                  <pic:nvPicPr>
                    <pic:cNvPr descr="../manual/figures/fig_cluster_0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Cluster ordination (clusplot) of the 50 countries on the retained factors, with group hulls. Cluster stability was confirmed by multiscale bootstrap resampling.</w:t>
      </w:r>
    </w:p>
    <w:bookmarkEnd w:id="36"/>
    <w:bookmarkStart w:id="37" w:name="discussion"/>
    <w:p>
      <w:pPr>
        <w:pStyle w:val="Heading2"/>
      </w:pPr>
      <w:r>
        <w:t xml:space="preserve">5. Discussion</w:t>
      </w:r>
    </w:p>
    <w:p>
      <w:pPr>
        <w:pStyle w:val="FirstParagraph"/>
      </w:pPr>
      <w:r>
        <w:rPr>
          <w:bCs/>
          <w:b/>
        </w:rPr>
        <w:t xml:space="preserve">The paradox, measured (RQ1–RQ2).</w:t>
      </w:r>
      <w:r>
        <w:t xml:space="preserve"> </w:t>
      </w:r>
      <w:r>
        <w:t xml:space="preserve">The analysis converts a rhetorical claim into</w:t>
      </w:r>
      <w:r>
        <w:t xml:space="preserve"> </w:t>
      </w:r>
      <w:r>
        <w:t xml:space="preserve">a measurement. Water use in Africa is dominated by a single axis (52% of the</w:t>
      </w:r>
      <w:r>
        <w:t xml:space="preserve"> </w:t>
      </w:r>
      <w:r>
        <w:t xml:space="preserve">variance), driven by agriculture and shared by domestic, industrial and total</w:t>
      </w:r>
      <w:r>
        <w:t xml:space="preserve"> </w:t>
      </w:r>
      <w:r>
        <w:t xml:space="preserve">withdrawal; renewable availability is a distinct dimension that loads almost alone</w:t>
      </w:r>
      <w:r>
        <w:t xml:space="preserve"> </w:t>
      </w:r>
      <w:r>
        <w:t xml:space="preserve">on the second, weaker factor (Table 4). Above all, use and availability are</w:t>
      </w:r>
      <w:r>
        <w:t xml:space="preserve"> </w:t>
      </w:r>
      <w:r>
        <w:t xml:space="preserve">statistically decoupled:</w:t>
      </w:r>
      <w:r>
        <w:t xml:space="preserve"> </w:t>
      </w:r>
      <w:r>
        <w:rPr>
          <w:rStyle w:val="VerbatimChar"/>
        </w:rPr>
        <w:t xml:space="preserve">Resources</w:t>
      </w:r>
      <w:r>
        <w:t xml:space="preserve"> </w:t>
      </w:r>
      <w:r>
        <w:t xml:space="preserve">is uncorrelated with every use variable</w:t>
      </w:r>
      <w:r>
        <w:t xml:space="preserve"> </w:t>
      </w:r>
      <w:r>
        <w:t xml:space="preserve">(Table 2), so having water and using water are, at the continental scale, different</w:t>
      </w:r>
      <w:r>
        <w:t xml:space="preserve"> </w:t>
      </w:r>
      <w:r>
        <w:t xml:space="preserve">things. The clustering sharpens the point — the countries drawing the most water</w:t>
      </w:r>
      <w:r>
        <w:t xml:space="preserve"> </w:t>
      </w:r>
      <w:r>
        <w:t xml:space="preserve">hold on average about half the renewable resource of the light users (Table 6).</w:t>
      </w:r>
      <w:r>
        <w:t xml:space="preserve"> </w:t>
      </w:r>
      <w:r>
        <w:t xml:space="preserve">Egypt, Sudan, Libya and Mali abstract heavily against limited renewable supply,</w:t>
      </w:r>
      <w:r>
        <w:t xml:space="preserve"> </w:t>
      </w:r>
      <w:r>
        <w:t xml:space="preserve">while Congo and the Democratic Republic of the Congo hold abundant water they</w:t>
      </w:r>
      <w:r>
        <w:t xml:space="preserve"> </w:t>
      </w:r>
      <w:r>
        <w:t xml:space="preserve">scarcely use. For the water paradox, both halves are true — of different countries.</w:t>
      </w:r>
    </w:p>
    <w:p>
      <w:pPr>
        <w:pStyle w:val="BodyText"/>
      </w:pPr>
      <w:r>
        <w:rPr>
          <w:bCs/>
          <w:b/>
        </w:rPr>
        <w:t xml:space="preserve">A spatial paradox (RQ3).</w:t>
      </w:r>
      <w:r>
        <w:t xml:space="preserve"> </w:t>
      </w:r>
      <w:r>
        <w:t xml:space="preserve">The decoupling is not spatially random. The overall-use</w:t>
      </w:r>
      <w:r>
        <w:t xml:space="preserve"> </w:t>
      </w:r>
      <w:r>
        <w:t xml:space="preserve">factor is significantly positively autocorrelated (Moran’s I = 0.35, p &lt; 10⁻⁴;</w:t>
      </w:r>
      <w:r>
        <w:t xml:space="preserve"> </w:t>
      </w:r>
      <w:r>
        <w:t xml:space="preserve">Table 5), and LISA localises the structure to an Egyptian high–high hotspot and a</w:t>
      </w:r>
      <w:r>
        <w:t xml:space="preserve"> </w:t>
      </w:r>
      <w:r>
        <w:t xml:space="preserve">Congo-Basin low–low coldspot. Water intensity in Africa is therefore regionally</w:t>
      </w:r>
      <w:r>
        <w:t xml:space="preserve"> </w:t>
      </w:r>
      <w:r>
        <w:t xml:space="preserve">organised: an arid, high-abstraction north-east against a humid, low-abstraction</w:t>
      </w:r>
      <w:r>
        <w:t xml:space="preserve"> </w:t>
      </w:r>
      <w:r>
        <w:t xml:space="preserve">equatorial core. This is the added value of the map-first approach — the pattern is</w:t>
      </w:r>
      <w:r>
        <w:t xml:space="preserve"> </w:t>
      </w:r>
      <w:r>
        <w:t xml:space="preserve">not merely displayed (Figures 2–3) but tested, converting a visual impression into</w:t>
      </w:r>
      <w:r>
        <w:t xml:space="preserve"> </w:t>
      </w:r>
      <w:r>
        <w:t xml:space="preserve">a defensible spatial-statistical claim.</w:t>
      </w:r>
    </w:p>
    <w:p>
      <w:pPr>
        <w:pStyle w:val="BodyText"/>
      </w:pPr>
      <w:r>
        <w:rPr>
          <w:bCs/>
          <w:b/>
        </w:rPr>
        <w:t xml:space="preserve">Relation to established water-stress classifications.</w:t>
      </w:r>
      <w:r>
        <w:t xml:space="preserve"> </w:t>
      </w:r>
      <w:r>
        <w:t xml:space="preserve">Our empirical grouping can</w:t>
      </w:r>
      <w:r>
        <w:t xml:space="preserve"> </w:t>
      </w:r>
      <w:r>
        <w:t xml:space="preserve">be read against the standard scarcity metrics. The Falkenmark per-capita indicator</w:t>
      </w:r>
      <w:r>
        <w:t xml:space="preserve"> </w:t>
      </w:r>
      <w:r>
        <w:t xml:space="preserve">(Falkenmark et al., 1989) and the demand-based baseline water stress of SDG 6.4.2</w:t>
      </w:r>
      <w:r>
        <w:t xml:space="preserve"> </w:t>
      </w:r>
      <w:r>
        <w:t xml:space="preserve">and WRI Aqueduct (Hofste et al., 2019) would place Egypt, Libya and the North</w:t>
      </w:r>
      <w:r>
        <w:t xml:space="preserve"> </w:t>
      </w:r>
      <w:r>
        <w:t xml:space="preserve">African/Sahelian belt in the most-stressed classes and the Congo Basin among the</w:t>
      </w:r>
      <w:r>
        <w:t xml:space="preserve"> </w:t>
      </w:r>
      <w:r>
        <w:t xml:space="preserve">least stressed — broadly consistent with our heavy- and light-user clusters and the</w:t>
      </w:r>
      <w:r>
        <w:t xml:space="preserve"> </w:t>
      </w:r>
      <w:r>
        <w:t xml:space="preserve">Moran hotspot/coldspot. The contribution here is complementary rather than</w:t>
      </w:r>
      <w:r>
        <w:t xml:space="preserve"> </w:t>
      </w:r>
      <w:r>
        <w:t xml:space="preserve">competing: where Falkenmark reduces scarcity to a single per-capita ratio and</w:t>
      </w:r>
      <w:r>
        <w:t xml:space="preserve"> </w:t>
      </w:r>
      <w:r>
        <w:t xml:space="preserve">Aqueduct to a withdrawal-to-supply ratio, the Q/R-mode analysis derives the</w:t>
      </w:r>
      <w:r>
        <w:t xml:space="preserve"> </w:t>
      </w:r>
      <w:r>
        <w:rPr>
          <w:iCs/>
          <w:i/>
        </w:rPr>
        <w:t xml:space="preserve">structure</w:t>
      </w:r>
      <w:r>
        <w:t xml:space="preserve"> </w:t>
      </w:r>
      <w:r>
        <w:t xml:space="preserve">of use from the data — separating the agricultural-scale factor from the</w:t>
      </w:r>
      <w:r>
        <w:t xml:space="preserve"> </w:t>
      </w:r>
      <w:r>
        <w:t xml:space="preserve">resource factor — and tests its spatial organisation, revealing that stress is</w:t>
      </w:r>
      <w:r>
        <w:t xml:space="preserve"> </w:t>
      </w:r>
      <w:r>
        <w:t xml:space="preserve">driven by consumption structure, not endowment. Where our clusters and the</w:t>
      </w:r>
      <w:r>
        <w:t xml:space="preserve"> </w:t>
      </w:r>
      <w:r>
        <w:t xml:space="preserve">established indices disagree (e.g. resource-rich but abstraction-heavy cases) would</w:t>
      </w:r>
      <w:r>
        <w:t xml:space="preserve"> </w:t>
      </w:r>
      <w:r>
        <w:t xml:space="preserve">be a productive focus for confirmatory work on the refreshed data.</w:t>
      </w:r>
    </w:p>
    <w:p>
      <w:pPr>
        <w:pStyle w:val="BodyText"/>
      </w:pPr>
      <w:r>
        <w:rPr>
          <w:bCs/>
          <w:b/>
        </w:rPr>
        <w:t xml:space="preserve">Candidate mechanisms.</w:t>
      </w:r>
      <w:r>
        <w:t xml:space="preserve"> </w:t>
      </w:r>
      <w:r>
        <w:t xml:space="preserve">Three plausible drivers of the decoupling merit</w:t>
      </w:r>
      <w:r>
        <w:t xml:space="preserve"> </w:t>
      </w:r>
      <w:r>
        <w:t xml:space="preserve">domain-expert scrutiny rather than assertion here. First,</w:t>
      </w:r>
      <w:r>
        <w:t xml:space="preserve"> </w:t>
      </w:r>
      <w:r>
        <w:rPr>
          <w:bCs/>
          <w:b/>
        </w:rPr>
        <w:t xml:space="preserve">aridity and</w:t>
      </w:r>
      <w:r>
        <w:rPr>
          <w:bCs/>
          <w:b/>
        </w:rPr>
        <w:t xml:space="preserve"> </w:t>
      </w:r>
      <w:r>
        <w:rPr>
          <w:bCs/>
          <w:b/>
        </w:rPr>
        <w:t xml:space="preserve">agriculture</w:t>
      </w:r>
      <w:r>
        <w:t xml:space="preserve">: the heavy-user north and Sahel depend on irrigation in low-rainfall</w:t>
      </w:r>
      <w:r>
        <w:t xml:space="preserve"> </w:t>
      </w:r>
      <w:r>
        <w:t xml:space="preserve">settings, so high abstraction coincides with low local renewable supply. Second,</w:t>
      </w:r>
      <w:r>
        <w:t xml:space="preserve"> </w:t>
      </w:r>
      <w:r>
        <w:rPr>
          <w:bCs/>
          <w:b/>
        </w:rPr>
        <w:t xml:space="preserve">transboundary dependence</w:t>
      </w:r>
      <w:r>
        <w:t xml:space="preserve">: Egypt’s abstraction rests on the Nile, an exogenous</w:t>
      </w:r>
      <w:r>
        <w:t xml:space="preserve"> </w:t>
      </w:r>
      <w:r>
        <w:t xml:space="preserve">resource, decoupling national use from national endowment — a structural feature the</w:t>
      </w:r>
      <w:r>
        <w:t xml:space="preserve"> </w:t>
      </w:r>
      <w:r>
        <w:t xml:space="preserve">Falkenmark national ratio obscures. Third,</w:t>
      </w:r>
      <w:r>
        <w:t xml:space="preserve"> </w:t>
      </w:r>
      <w:r>
        <w:rPr>
          <w:bCs/>
          <w:b/>
        </w:rPr>
        <w:t xml:space="preserve">economic and infrastructural</w:t>
      </w:r>
      <w:r>
        <w:rPr>
          <w:bCs/>
          <w:b/>
        </w:rPr>
        <w:t xml:space="preserve"> </w:t>
      </w:r>
      <w:r>
        <w:rPr>
          <w:bCs/>
          <w:b/>
        </w:rPr>
        <w:t xml:space="preserve">capacity</w:t>
      </w:r>
      <w:r>
        <w:t xml:space="preserve">: abstraction requires storage, conveyance and demand, which the</w:t>
      </w:r>
      <w:r>
        <w:t xml:space="preserve"> </w:t>
      </w:r>
      <w:r>
        <w:t xml:space="preserve">low-use equatorial economies have developed little, leaving abundant water</w:t>
      </w:r>
      <w:r>
        <w:t xml:space="preserve"> </w:t>
      </w:r>
      <w:r>
        <w:t xml:space="preserve">untouched. These mechanisms are hypotheses the ordination makes visible; testing</w:t>
      </w:r>
      <w:r>
        <w:t xml:space="preserve"> </w:t>
      </w:r>
      <w:r>
        <w:t xml:space="preserve">them requires data the factor model does not contain.</w:t>
      </w:r>
    </w:p>
    <w:p>
      <w:pPr>
        <w:pStyle w:val="BodyText"/>
      </w:pPr>
      <w:r>
        <w:rPr>
          <w:bCs/>
          <w:b/>
        </w:rPr>
        <w:t xml:space="preserve">Policy implications.</w:t>
      </w:r>
      <w:r>
        <w:t xml:space="preserve"> </w:t>
      </w:r>
      <w:r>
        <w:t xml:space="preserve">The decoupling implies that continental averages mislead:</w:t>
      </w:r>
      <w:r>
        <w:t xml:space="preserve"> </w:t>
      </w:r>
      <w:r>
        <w:t xml:space="preserve">“</w:t>
      </w:r>
      <w:r>
        <w:t xml:space="preserve">Africa has enough water</w:t>
      </w:r>
      <w:r>
        <w:t xml:space="preserve">”</w:t>
      </w:r>
      <w:r>
        <w:t xml:space="preserve"> </w:t>
      </w:r>
      <w:r>
        <w:t xml:space="preserve">is a statement about endowment (the light-user Congo</w:t>
      </w:r>
      <w:r>
        <w:t xml:space="preserve"> </w:t>
      </w:r>
      <w:r>
        <w:t xml:space="preserve">Basin) that says nothing about the stressed heavy users. Interventions — irrigation</w:t>
      </w:r>
      <w:r>
        <w:t xml:space="preserve"> </w:t>
      </w:r>
      <w:r>
        <w:t xml:space="preserve">efficiency, storage and transfer infrastructure, demand management, transboundary</w:t>
      </w:r>
      <w:r>
        <w:t xml:space="preserve"> </w:t>
      </w:r>
      <w:r>
        <w:t xml:space="preserve">governance — should be targeted to the Factor 1 high-use, low-resource band that the</w:t>
      </w:r>
      <w:r>
        <w:t xml:space="preserve"> </w:t>
      </w:r>
      <w:r>
        <w:t xml:space="preserve">Moran hotspot and Figures 2–3 delineate, not applied at a continental scale. Because</w:t>
      </w:r>
      <w:r>
        <w:t xml:space="preserve"> </w:t>
      </w:r>
      <w:r>
        <w:t xml:space="preserve">the workflow writes factor scores and cluster labels back to the map, that targeting</w:t>
      </w:r>
      <w:r>
        <w:t xml:space="preserve"> </w:t>
      </w:r>
      <w:r>
        <w:t xml:space="preserve">is a direct, reproducible output rather than a separate exercise.</w:t>
      </w:r>
    </w:p>
    <w:p>
      <w:pPr>
        <w:pStyle w:val="BodyText"/>
      </w:pPr>
      <w:r>
        <w:rPr>
          <w:bCs/>
          <w:b/>
        </w:rPr>
        <w:t xml:space="preserve">Methodological positioning.</w:t>
      </w:r>
      <w:r>
        <w:t xml:space="preserve"> </w:t>
      </w:r>
      <w:r>
        <w:t xml:space="preserve">We reiterate that the contribution is workflow</w:t>
      </w:r>
      <w:r>
        <w:t xml:space="preserve"> </w:t>
      </w:r>
      <w:r>
        <w:t xml:space="preserve">integration, not a new estimator. Spatial-multivariate methods already exist and are</w:t>
      </w:r>
      <w:r>
        <w:t xml:space="preserve"> </w:t>
      </w:r>
      <w:r>
        <w:t xml:space="preserve">more sophisticated in specific respects:</w:t>
      </w:r>
      <w:r>
        <w:t xml:space="preserve"> </w:t>
      </w:r>
      <w:r>
        <w:rPr>
          <w:rStyle w:val="VerbatimChar"/>
        </w:rPr>
        <w:t xml:space="preserve">multispati</w:t>
      </w:r>
      <w:r>
        <w:t xml:space="preserve"> </w:t>
      </w:r>
      <w:r>
        <w:t xml:space="preserve">(Dray et al., 2008; Dray &amp;</w:t>
      </w:r>
      <w:r>
        <w:t xml:space="preserve"> </w:t>
      </w:r>
      <w:r>
        <w:t xml:space="preserve">Jombart, 2011) optimises a variance–autocorrelation compromise directly, and</w:t>
      </w:r>
      <w:r>
        <w:t xml:space="preserve"> </w:t>
      </w:r>
      <w:r>
        <w:t xml:space="preserve">geographically weighted PCA (Harris et al., 2011; Gollini et al., 2015) lets loadings</w:t>
      </w:r>
      <w:r>
        <w:t xml:space="preserve"> </w:t>
      </w:r>
      <w:r>
        <w:t xml:space="preserve">vary across space. What</w:t>
      </w:r>
      <w:r>
        <w:t xml:space="preserve"> </w:t>
      </w:r>
      <w:r>
        <w:rPr>
          <w:rStyle w:val="VerbatimChar"/>
        </w:rPr>
        <w:t xml:space="preserve">qrfactor</w:t>
      </w:r>
      <w:r>
        <w:t xml:space="preserve"> </w:t>
      </w:r>
      <w:r>
        <w:t xml:space="preserve">offers the applied user is the</w:t>
      </w:r>
      <w:r>
        <w:t xml:space="preserve"> </w:t>
      </w:r>
      <w:r>
        <w:rPr>
          <w:iCs/>
          <w:i/>
        </w:rPr>
        <w:t xml:space="preserve">combination</w:t>
      </w:r>
      <w:r>
        <w:t xml:space="preserve"> </w:t>
      </w:r>
      <w:r>
        <w:t xml:space="preserve">—</w:t>
      </w:r>
      <w:r>
        <w:t xml:space="preserve"> </w:t>
      </w:r>
      <w:r>
        <w:t xml:space="preserve">simultaneous Q- and R-mode analysis, rotation, indices, clustering, cluster testing,</w:t>
      </w:r>
      <w:r>
        <w:t xml:space="preserve"> </w:t>
      </w:r>
      <w:r>
        <w:t xml:space="preserve">autocorrelation testing and choropleth mapping from one reproducible call, with every</w:t>
      </w:r>
      <w:r>
        <w:t xml:space="preserve"> </w:t>
      </w:r>
      <w:r>
        <w:t xml:space="preserve">quantity written back to the geography. For routine applied water assessment that</w:t>
      </w:r>
      <w:r>
        <w:t xml:space="preserve"> </w:t>
      </w:r>
      <w:r>
        <w:t xml:space="preserve">integration, not algorithmic novelty, is the practical advance; for confirmatory</w:t>
      </w:r>
      <w:r>
        <w:t xml:space="preserve"> </w:t>
      </w:r>
      <w:r>
        <w:t xml:space="preserve">spatial-structure work, coupling the same data to</w:t>
      </w:r>
      <w:r>
        <w:t xml:space="preserve"> </w:t>
      </w:r>
      <w:r>
        <w:rPr>
          <w:rStyle w:val="VerbatimChar"/>
        </w:rPr>
        <w:t xml:space="preserve">multispati</w:t>
      </w:r>
      <w:r>
        <w:t xml:space="preserve"> </w:t>
      </w:r>
      <w:r>
        <w:t xml:space="preserve">or GWPCA is the</w:t>
      </w:r>
      <w:r>
        <w:t xml:space="preserve"> </w:t>
      </w:r>
      <w:r>
        <w:t xml:space="preserve">natural next step.</w:t>
      </w:r>
    </w:p>
    <w:p>
      <w:pPr>
        <w:pStyle w:val="BodyText"/>
      </w:pPr>
      <w:r>
        <w:rPr>
          <w:bCs/>
          <w:b/>
        </w:rPr>
        <w:t xml:space="preserve">Limitations.</w:t>
      </w:r>
      <w:r>
        <w:t xml:space="preserve"> </w:t>
      </w:r>
      <w:r>
        <w:t xml:space="preserve">Five are material. (i)</w:t>
      </w:r>
      <w:r>
        <w:t xml:space="preserve"> </w:t>
      </w:r>
      <w:r>
        <w:rPr>
          <w:iCs/>
          <w:i/>
        </w:rPr>
        <w:t xml:space="preserve">Data vintage.</w:t>
      </w:r>
      <w:r>
        <w:t xml:space="preserve"> </w:t>
      </w:r>
      <w:r>
        <w:t xml:space="preserve">The cross-section analysed</w:t>
      </w:r>
      <w:r>
        <w:t xml:space="preserve"> </w:t>
      </w:r>
      <w:r>
        <w:t xml:space="preserve">here is a circa-2000 AQUASTAT compilation; the numbers must be re-confirmed on the</w:t>
      </w:r>
      <w:r>
        <w:t xml:space="preserve"> </w:t>
      </w:r>
      <w:r>
        <w:t xml:space="preserve">current AQUASTAT extract (Appendix A) before country-specific claims carry policy</w:t>
      </w:r>
      <w:r>
        <w:t xml:space="preserve"> </w:t>
      </w:r>
      <w:r>
        <w:t xml:space="preserve">weight. (ii)</w:t>
      </w:r>
      <w:r>
        <w:t xml:space="preserve"> </w:t>
      </w:r>
      <w:r>
        <w:rPr>
          <w:iCs/>
          <w:i/>
        </w:rPr>
        <w:t xml:space="preserve">Modest sampling adequacy.</w:t>
      </w:r>
      <w:r>
        <w:t xml:space="preserve"> </w:t>
      </w:r>
      <w:r>
        <w:t xml:space="preserve">KMO = 0.56 places the data at the lower</w:t>
      </w:r>
      <w:r>
        <w:t xml:space="preserve"> </w:t>
      </w:r>
      <w:r>
        <w:t xml:space="preserve">edge of factorability, and parallel analysis retains only one component; the second</w:t>
      </w:r>
      <w:r>
        <w:t xml:space="preserve"> </w:t>
      </w:r>
      <w:r>
        <w:t xml:space="preserve">(resource) factor is real in the correlation structure but statistically marginal,</w:t>
      </w:r>
      <w:r>
        <w:t xml:space="preserve"> </w:t>
      </w:r>
      <w:r>
        <w:t xml:space="preserve">so the resource contrast should be read as a robust</w:t>
      </w:r>
      <w:r>
        <w:t xml:space="preserve"> </w:t>
      </w:r>
      <w:r>
        <w:rPr>
          <w:iCs/>
          <w:i/>
        </w:rPr>
        <w:t xml:space="preserve">decoupling</w:t>
      </w:r>
      <w:r>
        <w:t xml:space="preserve"> </w:t>
      </w:r>
      <w:r>
        <w:t xml:space="preserve">rather than a strong</w:t>
      </w:r>
      <w:r>
        <w:t xml:space="preserve"> </w:t>
      </w:r>
      <w:r>
        <w:rPr>
          <w:iCs/>
          <w:i/>
        </w:rPr>
        <w:t xml:space="preserve">dimension</w:t>
      </w:r>
      <w:r>
        <w:t xml:space="preserve">. (iii)</w:t>
      </w:r>
      <w:r>
        <w:t xml:space="preserve"> </w:t>
      </w:r>
      <w:r>
        <w:rPr>
          <w:iCs/>
          <w:i/>
        </w:rPr>
        <w:t xml:space="preserve">Ecological inference.</w:t>
      </w:r>
      <w:r>
        <w:t xml:space="preserve"> </w:t>
      </w:r>
      <w:r>
        <w:t xml:space="preserve">These are country-level associations in a</w:t>
      </w:r>
      <w:r>
        <w:t xml:space="preserve"> </w:t>
      </w:r>
      <w:r>
        <w:t xml:space="preserve">single snapshot; within-country heterogeneity is invisible, and the ecological</w:t>
      </w:r>
      <w:r>
        <w:t xml:space="preserve"> </w:t>
      </w:r>
      <w:r>
        <w:t xml:space="preserve">fallacy forbids inferring sub-national behaviour. (iv)</w:t>
      </w:r>
      <w:r>
        <w:t xml:space="preserve"> </w:t>
      </w:r>
      <w:r>
        <w:rPr>
          <w:iCs/>
          <w:i/>
        </w:rPr>
        <w:t xml:space="preserve">Cross-sectional design.</w:t>
      </w:r>
      <w:r>
        <w:t xml:space="preserve"> </w:t>
      </w:r>
      <w:r>
        <w:t xml:space="preserve">No</w:t>
      </w:r>
      <w:r>
        <w:t xml:space="preserve"> </w:t>
      </w:r>
      <w:r>
        <w:t xml:space="preserve">causal claim is made; the mechanisms above are hypotheses. (v)</w:t>
      </w:r>
      <w:r>
        <w:t xml:space="preserve"> </w:t>
      </w:r>
      <w:r>
        <w:rPr>
          <w:iCs/>
          <w:i/>
        </w:rPr>
        <w:t xml:space="preserve">Island weighting.</w:t>
      </w:r>
      <w:r>
        <w:t xml:space="preserve"> </w:t>
      </w:r>
      <w:r>
        <w:t xml:space="preserve">Three island states lack contiguity neighbours and are effectively excluded from the</w:t>
      </w:r>
      <w:r>
        <w:t xml:space="preserve"> </w:t>
      </w:r>
      <w:r>
        <w:t xml:space="preserve">Moran tests; k-nearest weights would retain them and should be reported in</w:t>
      </w:r>
      <w:r>
        <w:t xml:space="preserve"> </w:t>
      </w:r>
      <w:r>
        <w:t xml:space="preserve">confirmatory work.</w:t>
      </w:r>
    </w:p>
    <w:p>
      <w:pPr>
        <w:pStyle w:val="BodyText"/>
      </w:pPr>
      <w:r>
        <w:rPr>
          <w:bCs/>
          <w:b/>
        </w:rPr>
        <w:t xml:space="preserve">Future work.</w:t>
      </w:r>
      <w:r>
        <w:t xml:space="preserve"> </w:t>
      </w:r>
      <w:r>
        <w:t xml:space="preserve">The immediate step is to re-run the entire pipeline on a refreshed,</w:t>
      </w:r>
      <w:r>
        <w:t xml:space="preserve"> </w:t>
      </w:r>
      <w:r>
        <w:t xml:space="preserve">multi-year AQUASTAT extract, which would also permit testing whether the</w:t>
      </w:r>
      <w:r>
        <w:t xml:space="preserve"> </w:t>
      </w:r>
      <w:r>
        <w:t xml:space="preserve">use–availability decoupling is widening over time. Coupling the data to</w:t>
      </w:r>
      <w:r>
        <w:t xml:space="preserve"> </w:t>
      </w:r>
      <w:r>
        <w:rPr>
          <w:rStyle w:val="VerbatimChar"/>
        </w:rPr>
        <w:t xml:space="preserve">multispati</w:t>
      </w:r>
      <w:r>
        <w:t xml:space="preserve"> </w:t>
      </w:r>
      <w:r>
        <w:t xml:space="preserve">and GWPCA would test whether a spatially constrained ordination or spatially varying</w:t>
      </w:r>
      <w:r>
        <w:t xml:space="preserve"> </w:t>
      </w:r>
      <w:r>
        <w:t xml:space="preserve">loadings alter the structure. Finally, disaggregating from countries to river basins</w:t>
      </w:r>
      <w:r>
        <w:t xml:space="preserve"> </w:t>
      </w:r>
      <w:r>
        <w:t xml:space="preserve">would attack the ecological-inference limit directly and align the analysis with the</w:t>
      </w:r>
      <w:r>
        <w:t xml:space="preserve"> </w:t>
      </w:r>
      <w:r>
        <w:t xml:space="preserve">catchment scale at which water is actually managed.</w:t>
      </w:r>
    </w:p>
    <w:bookmarkEnd w:id="37"/>
    <w:bookmarkStart w:id="38" w:name="conclusion"/>
    <w:p>
      <w:pPr>
        <w:pStyle w:val="Heading2"/>
      </w:pPr>
      <w:r>
        <w:t xml:space="preserve">6. Conclusion</w:t>
      </w:r>
    </w:p>
    <w:p>
      <w:pPr>
        <w:pStyle w:val="FirstParagraph"/>
      </w:pPr>
      <w:r>
        <w:t xml:space="preserve">This study set out to characterise the structure of water use across African</w:t>
      </w:r>
      <w:r>
        <w:t xml:space="preserve"> </w:t>
      </w:r>
      <w:r>
        <w:t xml:space="preserve">countries, to test whether use is decoupled from availability, and to establish</w:t>
      </w:r>
      <w:r>
        <w:t xml:space="preserve"> </w:t>
      </w:r>
      <w:r>
        <w:t xml:space="preserve">whether that structure is spatially organised — all within a single reproducible,</w:t>
      </w:r>
      <w:r>
        <w:t xml:space="preserve"> </w:t>
      </w:r>
      <w:r>
        <w:t xml:space="preserve">map-first workflow. Simultaneous Q- and R-mode factor analysis of five water-use</w:t>
      </w:r>
      <w:r>
        <w:t xml:space="preserve"> </w:t>
      </w:r>
      <w:r>
        <w:t xml:space="preserve">indicators for 50 countries reduces to two interpretable axes: a dominant,</w:t>
      </w:r>
      <w:r>
        <w:t xml:space="preserve"> </w:t>
      </w:r>
      <w:r>
        <w:t xml:space="preserve">agriculture-driven scale of use (52%) and a weaker resource contrast (20%). Use and</w:t>
      </w:r>
      <w:r>
        <w:t xml:space="preserve"> </w:t>
      </w:r>
      <w:r>
        <w:t xml:space="preserve">availability are statistically decoupled, and the use factor is significantly</w:t>
      </w:r>
      <w:r>
        <w:t xml:space="preserve"> </w:t>
      </w:r>
      <w:r>
        <w:t xml:space="preserve">spatially clustered (Moran’s I = 0.35, p &lt; 10⁻⁴), with Egypt a hotspot and the Congo</w:t>
      </w:r>
      <w:r>
        <w:t xml:space="preserve"> </w:t>
      </w:r>
      <w:r>
        <w:t xml:space="preserve">Basin a coldspot. The continent’s paradox is therefore real and geographic:</w:t>
      </w:r>
      <w:r>
        <w:t xml:space="preserve"> </w:t>
      </w:r>
      <w:r>
        <w:t xml:space="preserve">abundance and stress describe different, spatially coherent groups of countries.</w:t>
      </w:r>
      <w:r>
        <w:t xml:space="preserve"> </w:t>
      </w:r>
      <w:r>
        <w:t xml:space="preserve">Methodologically, the value is integration — one call moved the analysis from table</w:t>
      </w:r>
      <w:r>
        <w:t xml:space="preserve"> </w:t>
      </w:r>
      <w:r>
        <w:t xml:space="preserve">to</w:t>
      </w:r>
      <w:r>
        <w:t xml:space="preserve"> </w:t>
      </w:r>
      <w:r>
        <w:rPr>
          <w:iCs/>
          <w:i/>
        </w:rPr>
        <w:t xml:space="preserve">tested</w:t>
      </w:r>
      <w:r>
        <w:t xml:space="preserve"> </w:t>
      </w:r>
      <w:r>
        <w:t xml:space="preserve">map, with every quantity written back to the geography and the whole</w:t>
      </w:r>
      <w:r>
        <w:t xml:space="preserve"> </w:t>
      </w:r>
      <w:r>
        <w:t xml:space="preserve">pipeline reproducible from public data. As African water planning grows more</w:t>
      </w:r>
      <w:r>
        <w:t xml:space="preserve"> </w:t>
      </w:r>
      <w:r>
        <w:t xml:space="preserve">data-driven, workflows that reach a tested map, not just a table, will help turn</w:t>
      </w:r>
      <w:r>
        <w:t xml:space="preserve"> </w:t>
      </w:r>
      <w:r>
        <w:t xml:space="preserve">analysis into action. The findings are offered as an exploratory, reproducible</w:t>
      </w:r>
      <w:r>
        <w:t xml:space="preserve"> </w:t>
      </w:r>
      <w:r>
        <w:t xml:space="preserve">baseline to be confirmed on current data.</w:t>
      </w:r>
    </w:p>
    <w:bookmarkEnd w:id="38"/>
    <w:bookmarkStart w:id="39" w:name="acknowledgments"/>
    <w:p>
      <w:pPr>
        <w:pStyle w:val="Heading2"/>
      </w:pPr>
      <w:r>
        <w:t xml:space="preserve">Acknowledgments</w:t>
      </w:r>
    </w:p>
    <w:p>
      <w:pPr>
        <w:pStyle w:val="FirstParagraph"/>
      </w:pPr>
      <w:r>
        <w:t xml:space="preserve">The author thanks the FAO AQUASTAT programme for open access to the underlying data,</w:t>
      </w:r>
      <w:r>
        <w:t xml:space="preserve"> </w:t>
      </w:r>
      <w:r>
        <w:t xml:space="preserve">and the R spatial and psychometric communities for the</w:t>
      </w:r>
      <w:r>
        <w:t xml:space="preserve"> </w:t>
      </w:r>
      <w:r>
        <w:rPr>
          <w:rStyle w:val="VerbatimChar"/>
        </w:rPr>
        <w:t xml:space="preserve">sf</w:t>
      </w:r>
      <w:r>
        <w:t xml:space="preserve">,</w:t>
      </w:r>
      <w:r>
        <w:t xml:space="preserve"> </w:t>
      </w:r>
      <w:r>
        <w:rPr>
          <w:rStyle w:val="VerbatimChar"/>
        </w:rPr>
        <w:t xml:space="preserve">sp</w:t>
      </w:r>
      <w:r>
        <w:t xml:space="preserve">,</w:t>
      </w:r>
      <w:r>
        <w:t xml:space="preserve"> </w:t>
      </w:r>
      <w:r>
        <w:rPr>
          <w:rStyle w:val="VerbatimChar"/>
        </w:rPr>
        <w:t xml:space="preserve">spdep</w:t>
      </w:r>
      <w:r>
        <w:t xml:space="preserve">,</w:t>
      </w:r>
      <w:r>
        <w:t xml:space="preserve"> </w:t>
      </w:r>
      <w:r>
        <w:rPr>
          <w:rStyle w:val="VerbatimChar"/>
        </w:rPr>
        <w:t xml:space="preserve">cluster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pvclust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psych</w:t>
      </w:r>
      <w:r>
        <w:t xml:space="preserve"> </w:t>
      </w:r>
      <w:r>
        <w:t xml:space="preserve">packages on which the workflow builds. The</w:t>
      </w:r>
      <w:r>
        <w:t xml:space="preserve"> </w:t>
      </w:r>
      <w:r>
        <w:rPr>
          <w:rStyle w:val="VerbatimChar"/>
        </w:rPr>
        <w:t xml:space="preserve">qrfactor</w:t>
      </w:r>
      <w:r>
        <w:t xml:space="preserve"> </w:t>
      </w:r>
      <w:r>
        <w:t xml:space="preserve">package and the scripts reproducing every table and figure are openly</w:t>
      </w:r>
      <w:r>
        <w:t xml:space="preserve"> </w:t>
      </w:r>
      <w:r>
        <w:t xml:space="preserve">available (Appendix A). The author declares no conflict of interest.</w:t>
      </w:r>
      <w:r>
        <w:t xml:space="preserve"> </w:t>
      </w:r>
      <w:r>
        <w:rPr>
          <w:iCs/>
          <w:i/>
        </w:rPr>
        <w:t xml:space="preserve">[Add</w:t>
      </w:r>
      <w:r>
        <w:rPr>
          <w:iCs/>
          <w:i/>
        </w:rPr>
        <w:t xml:space="preserve"> </w:t>
      </w:r>
      <w:r>
        <w:rPr>
          <w:iCs/>
          <w:i/>
        </w:rPr>
        <w:t xml:space="preserve">funding/grant details if applicable.]</w:t>
      </w:r>
    </w:p>
    <w:bookmarkEnd w:id="39"/>
    <w:bookmarkStart w:id="40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rPr>
          <w:iCs/>
          <w:i/>
        </w:rPr>
        <w:t xml:space="preserve">[Real, curated list. Confirm author strings marked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[confirm]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against the article,</w:t>
      </w:r>
      <w:r>
        <w:rPr>
          <w:iCs/>
          <w:i/>
        </w:rPr>
        <w:t xml:space="preserve"> </w:t>
      </w:r>
      <w:r>
        <w:rPr>
          <w:iCs/>
          <w:i/>
        </w:rPr>
        <w:t xml:space="preserve">match the target journal’s style, and expand toward the journal’s expected range by</w:t>
      </w:r>
      <w:r>
        <w:rPr>
          <w:iCs/>
          <w:i/>
        </w:rPr>
        <w:t xml:space="preserve"> </w:t>
      </w:r>
      <w:r>
        <w:rPr>
          <w:iCs/>
          <w:i/>
        </w:rPr>
        <w:t xml:space="preserve">adding further applied Q/R-mode and African-water citations.]</w:t>
      </w:r>
    </w:p>
    <w:p>
      <w:pPr>
        <w:numPr>
          <w:ilvl w:val="0"/>
          <w:numId w:val="1001"/>
        </w:numPr>
        <w:pStyle w:val="Compact"/>
      </w:pPr>
      <w:r>
        <w:t xml:space="preserve">Anselin, L. (1995). Local indicators of spatial association—LISA.</w:t>
      </w:r>
      <w:r>
        <w:t xml:space="preserve"> </w:t>
      </w:r>
      <w:r>
        <w:rPr>
          <w:iCs/>
          <w:i/>
        </w:rPr>
        <w:t xml:space="preserve">Geographical Analysis</w:t>
      </w:r>
      <w:r>
        <w:t xml:space="preserve">, 27(2), 93–115.</w:t>
      </w:r>
    </w:p>
    <w:p>
      <w:pPr>
        <w:numPr>
          <w:ilvl w:val="0"/>
          <w:numId w:val="1001"/>
        </w:numPr>
        <w:pStyle w:val="Compact"/>
      </w:pPr>
      <w:r>
        <w:t xml:space="preserve">Bivand, R. S., Pebesma, E. J., &amp; Gómez-Rubio, V. (2013).</w:t>
      </w:r>
      <w:r>
        <w:t xml:space="preserve"> </w:t>
      </w:r>
      <w:r>
        <w:rPr>
          <w:iCs/>
          <w:i/>
        </w:rPr>
        <w:t xml:space="preserve">Applied Spatial Data Analysis with R</w:t>
      </w:r>
      <w:r>
        <w:t xml:space="preserve"> </w:t>
      </w:r>
      <w:r>
        <w:t xml:space="preserve">(2nd ed.). Springer.</w:t>
      </w:r>
    </w:p>
    <w:p>
      <w:pPr>
        <w:numPr>
          <w:ilvl w:val="0"/>
          <w:numId w:val="1001"/>
        </w:numPr>
        <w:pStyle w:val="Compact"/>
      </w:pPr>
      <w:r>
        <w:t xml:space="preserve">Cattell, R. B. (1966). The scree test for the number of factors.</w:t>
      </w:r>
      <w:r>
        <w:t xml:space="preserve"> </w:t>
      </w:r>
      <w:r>
        <w:rPr>
          <w:iCs/>
          <w:i/>
        </w:rPr>
        <w:t xml:space="preserve">Multivariate Behavioral Research</w:t>
      </w:r>
      <w:r>
        <w:t xml:space="preserve">, 1(2), 245–276.</w:t>
      </w:r>
    </w:p>
    <w:p>
      <w:pPr>
        <w:numPr>
          <w:ilvl w:val="0"/>
          <w:numId w:val="1001"/>
        </w:numPr>
        <w:pStyle w:val="Compact"/>
      </w:pPr>
      <w:r>
        <w:t xml:space="preserve">Damkjaer, S., &amp; Taylor, R. (2017). The measurement of water scarcity: Defining a meaningful indicator.</w:t>
      </w:r>
      <w:r>
        <w:t xml:space="preserve"> </w:t>
      </w:r>
      <w:r>
        <w:rPr>
          <w:iCs/>
          <w:i/>
        </w:rPr>
        <w:t xml:space="preserve">Ambio</w:t>
      </w:r>
      <w:r>
        <w:t xml:space="preserve">, 46(5), 513–531.</w:t>
      </w:r>
    </w:p>
    <w:p>
      <w:pPr>
        <w:numPr>
          <w:ilvl w:val="0"/>
          <w:numId w:val="1001"/>
        </w:numPr>
        <w:pStyle w:val="Compact"/>
      </w:pPr>
      <w:r>
        <w:t xml:space="preserve">Davis, J. C. (2002).</w:t>
      </w:r>
      <w:r>
        <w:t xml:space="preserve"> </w:t>
      </w:r>
      <w:r>
        <w:rPr>
          <w:iCs/>
          <w:i/>
        </w:rPr>
        <w:t xml:space="preserve">Statistics and Data Analysis in Geology</w:t>
      </w:r>
      <w:r>
        <w:t xml:space="preserve"> </w:t>
      </w:r>
      <w:r>
        <w:t xml:space="preserve">(3rd ed.). Wiley.</w:t>
      </w:r>
    </w:p>
    <w:p>
      <w:pPr>
        <w:numPr>
          <w:ilvl w:val="0"/>
          <w:numId w:val="1001"/>
        </w:numPr>
        <w:pStyle w:val="Compact"/>
      </w:pPr>
      <w:r>
        <w:t xml:space="preserve">Dray, S., &amp; Jombart, T. (2011). Revisiting Guerry’s data: Introducing spatial constraints in multivariate analysis.</w:t>
      </w:r>
      <w:r>
        <w:t xml:space="preserve"> </w:t>
      </w:r>
      <w:r>
        <w:rPr>
          <w:iCs/>
          <w:i/>
        </w:rPr>
        <w:t xml:space="preserve">Annals of Applied Statistics</w:t>
      </w:r>
      <w:r>
        <w:t xml:space="preserve">, 5(4), 2278–2299.</w:t>
      </w:r>
    </w:p>
    <w:p>
      <w:pPr>
        <w:numPr>
          <w:ilvl w:val="0"/>
          <w:numId w:val="1001"/>
        </w:numPr>
        <w:pStyle w:val="Compact"/>
      </w:pPr>
      <w:r>
        <w:t xml:space="preserve">Dray, S., Saïd, S., &amp; Débias, F. (2008). Spatial ordination of vegetation data using a generalization of Wartenberg’s multivariate spatial correlation.</w:t>
      </w:r>
      <w:r>
        <w:t xml:space="preserve"> </w:t>
      </w:r>
      <w:r>
        <w:rPr>
          <w:iCs/>
          <w:i/>
        </w:rPr>
        <w:t xml:space="preserve">Journal of Vegetation Science</w:t>
      </w:r>
      <w:r>
        <w:t xml:space="preserve">, 19(1), 45–56.</w:t>
      </w:r>
    </w:p>
    <w:p>
      <w:pPr>
        <w:numPr>
          <w:ilvl w:val="0"/>
          <w:numId w:val="1001"/>
        </w:numPr>
        <w:pStyle w:val="Compact"/>
      </w:pPr>
      <w:r>
        <w:t xml:space="preserve">Falkenmark, M., Lundqvist, J., &amp; Widstrand, C. (1989). Macro-scale water scarcity requires micro-scale approaches.</w:t>
      </w:r>
      <w:r>
        <w:t xml:space="preserve"> </w:t>
      </w:r>
      <w:r>
        <w:rPr>
          <w:iCs/>
          <w:i/>
        </w:rPr>
        <w:t xml:space="preserve">Natural Resources Forum</w:t>
      </w:r>
      <w:r>
        <w:t xml:space="preserve">, 13(4), 258–267.</w:t>
      </w:r>
    </w:p>
    <w:p>
      <w:pPr>
        <w:numPr>
          <w:ilvl w:val="0"/>
          <w:numId w:val="1001"/>
        </w:numPr>
        <w:pStyle w:val="Compact"/>
      </w:pPr>
      <w:r>
        <w:t xml:space="preserve">FAO (2026).</w:t>
      </w:r>
      <w:r>
        <w:t xml:space="preserve"> </w:t>
      </w:r>
      <w:r>
        <w:rPr>
          <w:iCs/>
          <w:i/>
        </w:rPr>
        <w:t xml:space="preserve">AQUASTAT — FAO’s Global Information System on Water and Agriculture: Water withdrawal by sector.</w:t>
      </w:r>
      <w:r>
        <w:t xml:space="preserve"> </w:t>
      </w:r>
      <w:r>
        <w:t xml:space="preserve">Rome: FAO. https://data.apps.fao.org/aquastat/</w:t>
      </w:r>
    </w:p>
    <w:p>
      <w:pPr>
        <w:numPr>
          <w:ilvl w:val="0"/>
          <w:numId w:val="1001"/>
        </w:numPr>
        <w:pStyle w:val="Compact"/>
      </w:pPr>
      <w:r>
        <w:t xml:space="preserve">Filzmoser, P., Garrett, R. G., &amp; Reimann, C. (2005). Multivariate outlier detection in exploration geochemistry.</w:t>
      </w:r>
      <w:r>
        <w:t xml:space="preserve"> </w:t>
      </w:r>
      <w:r>
        <w:rPr>
          <w:iCs/>
          <w:i/>
        </w:rPr>
        <w:t xml:space="preserve">Computers &amp; Geosciences</w:t>
      </w:r>
      <w:r>
        <w:t xml:space="preserve">, 31(5), 579–587.</w:t>
      </w:r>
    </w:p>
    <w:p>
      <w:pPr>
        <w:numPr>
          <w:ilvl w:val="0"/>
          <w:numId w:val="1001"/>
        </w:numPr>
        <w:pStyle w:val="Compact"/>
      </w:pPr>
      <w:r>
        <w:t xml:space="preserve">Gollini, I., Lu, B., Charlton, M., Brunsdon, C., &amp; Harris, P. (2015). GWmodel: An R package for exploring spatial heterogeneity using geographically weighted models.</w:t>
      </w:r>
      <w:r>
        <w:t xml:space="preserve"> </w:t>
      </w:r>
      <w:r>
        <w:rPr>
          <w:iCs/>
          <w:i/>
        </w:rPr>
        <w:t xml:space="preserve">Journal of Statistical Software</w:t>
      </w:r>
      <w:r>
        <w:t xml:space="preserve">, 63(17), 1–50.</w:t>
      </w:r>
    </w:p>
    <w:p>
      <w:pPr>
        <w:numPr>
          <w:ilvl w:val="0"/>
          <w:numId w:val="1001"/>
        </w:numPr>
        <w:pStyle w:val="Compact"/>
      </w:pPr>
      <w:r>
        <w:t xml:space="preserve">Harris, P., Brunsdon, C., &amp; Charlton, M. (2011). Geographically weighted principal components analysis.</w:t>
      </w:r>
      <w:r>
        <w:t xml:space="preserve"> </w:t>
      </w:r>
      <w:r>
        <w:rPr>
          <w:iCs/>
          <w:i/>
        </w:rPr>
        <w:t xml:space="preserve">International Journal of Geographical Information Science</w:t>
      </w:r>
      <w:r>
        <w:t xml:space="preserve">, 25(10), 1717–1736.</w:t>
      </w:r>
    </w:p>
    <w:p>
      <w:pPr>
        <w:numPr>
          <w:ilvl w:val="0"/>
          <w:numId w:val="1001"/>
        </w:numPr>
        <w:pStyle w:val="Compact"/>
      </w:pPr>
      <w:r>
        <w:t xml:space="preserve">Hofste, R. W., et al. (2019).</w:t>
      </w:r>
      <w:r>
        <w:t xml:space="preserve"> </w:t>
      </w:r>
      <w:r>
        <w:rPr>
          <w:iCs/>
          <w:i/>
        </w:rPr>
        <w:t xml:space="preserve">Aqueduct 3.0: Updated decision-relevant global water risk indicators.</w:t>
      </w:r>
      <w:r>
        <w:t xml:space="preserve"> </w:t>
      </w:r>
      <w:r>
        <w:t xml:space="preserve">WRI Technical Note. Washington, DC: World Resources Institute.</w:t>
      </w:r>
    </w:p>
    <w:p>
      <w:pPr>
        <w:numPr>
          <w:ilvl w:val="0"/>
          <w:numId w:val="1001"/>
        </w:numPr>
        <w:pStyle w:val="Compact"/>
      </w:pPr>
      <w:r>
        <w:t xml:space="preserve">Horn, J. L. (1965). A rationale and test for the number of factors in factor analysis.</w:t>
      </w:r>
      <w:r>
        <w:t xml:space="preserve"> </w:t>
      </w:r>
      <w:r>
        <w:rPr>
          <w:iCs/>
          <w:i/>
        </w:rPr>
        <w:t xml:space="preserve">Psychometrika</w:t>
      </w:r>
      <w:r>
        <w:t xml:space="preserve">, 30(2), 179–185.</w:t>
      </w:r>
    </w:p>
    <w:p>
      <w:pPr>
        <w:numPr>
          <w:ilvl w:val="0"/>
          <w:numId w:val="1001"/>
        </w:numPr>
        <w:pStyle w:val="Compact"/>
      </w:pPr>
      <w:r>
        <w:t xml:space="preserve">Kaiser, H. F. (1960). The application of electronic computers to factor analysis.</w:t>
      </w:r>
      <w:r>
        <w:t xml:space="preserve"> </w:t>
      </w:r>
      <w:r>
        <w:rPr>
          <w:iCs/>
          <w:i/>
        </w:rPr>
        <w:t xml:space="preserve">Educational and Psychological Measurement</w:t>
      </w:r>
      <w:r>
        <w:t xml:space="preserve">, 20(1), 141–151.</w:t>
      </w:r>
    </w:p>
    <w:p>
      <w:pPr>
        <w:numPr>
          <w:ilvl w:val="0"/>
          <w:numId w:val="1001"/>
        </w:numPr>
        <w:pStyle w:val="Compact"/>
      </w:pPr>
      <w:r>
        <w:t xml:space="preserve">Kaiser, H. F. (1974). An index of factorial simplicity.</w:t>
      </w:r>
      <w:r>
        <w:t xml:space="preserve"> </w:t>
      </w:r>
      <w:r>
        <w:rPr>
          <w:iCs/>
          <w:i/>
        </w:rPr>
        <w:t xml:space="preserve">Psychometrika</w:t>
      </w:r>
      <w:r>
        <w:t xml:space="preserve">, 39(1), 31–36.</w:t>
      </w:r>
    </w:p>
    <w:p>
      <w:pPr>
        <w:numPr>
          <w:ilvl w:val="0"/>
          <w:numId w:val="1001"/>
        </w:numPr>
        <w:pStyle w:val="Compact"/>
      </w:pPr>
      <w:r>
        <w:t xml:space="preserve">Moran, P. A. P. (1950). Notes on continuous stochastic phenomena.</w:t>
      </w:r>
      <w:r>
        <w:t xml:space="preserve"> </w:t>
      </w:r>
      <w:r>
        <w:rPr>
          <w:iCs/>
          <w:i/>
        </w:rPr>
        <w:t xml:space="preserve">Biometrika</w:t>
      </w:r>
      <w:r>
        <w:t xml:space="preserve">, 37(1–2), 17–23.</w:t>
      </w:r>
    </w:p>
    <w:p>
      <w:pPr>
        <w:numPr>
          <w:ilvl w:val="0"/>
          <w:numId w:val="1001"/>
        </w:numPr>
        <w:pStyle w:val="Compact"/>
      </w:pPr>
      <w:r>
        <w:t xml:space="preserve">Owusu, G. (2026).</w:t>
      </w:r>
      <w:r>
        <w:t xml:space="preserve"> </w:t>
      </w:r>
      <w:r>
        <w:rPr>
          <w:iCs/>
          <w:i/>
        </w:rPr>
        <w:t xml:space="preserve">qrfactor: Simultaneous Q-mode and R-mode factor analysis for spatial data.</w:t>
      </w:r>
      <w:r>
        <w:t xml:space="preserve"> </w:t>
      </w:r>
      <w:r>
        <w:t xml:space="preserve">R package version 1.5. https://github.com/gowusu/qrfactor</w:t>
      </w:r>
    </w:p>
    <w:p>
      <w:pPr>
        <w:numPr>
          <w:ilvl w:val="0"/>
          <w:numId w:val="1001"/>
        </w:numPr>
        <w:pStyle w:val="Compact"/>
      </w:pPr>
      <w:r>
        <w:t xml:space="preserve">Pebesma, E. (2018). Simple Features for R: Standardized support for spatial vector data.</w:t>
      </w:r>
      <w:r>
        <w:t xml:space="preserve"> </w:t>
      </w:r>
      <w:r>
        <w:rPr>
          <w:iCs/>
          <w:i/>
        </w:rPr>
        <w:t xml:space="preserve">The R Journal</w:t>
      </w:r>
      <w:r>
        <w:t xml:space="preserve">, 10(1), 439–446.</w:t>
      </w:r>
    </w:p>
    <w:p>
      <w:pPr>
        <w:numPr>
          <w:ilvl w:val="0"/>
          <w:numId w:val="1001"/>
        </w:numPr>
        <w:pStyle w:val="Compact"/>
      </w:pPr>
      <w:r>
        <w:t xml:space="preserve">Pebesma, E. J., &amp; Bivand, R. S. (2005). Classes and methods for spatial data in R.</w:t>
      </w:r>
      <w:r>
        <w:t xml:space="preserve"> </w:t>
      </w:r>
      <w:r>
        <w:rPr>
          <w:iCs/>
          <w:i/>
        </w:rPr>
        <w:t xml:space="preserve">R News</w:t>
      </w:r>
      <w:r>
        <w:t xml:space="preserve">, 5(2), 9–13.</w:t>
      </w:r>
    </w:p>
    <w:p>
      <w:pPr>
        <w:numPr>
          <w:ilvl w:val="0"/>
          <w:numId w:val="1001"/>
        </w:numPr>
        <w:pStyle w:val="Compact"/>
      </w:pPr>
      <w:r>
        <w:t xml:space="preserve">R Core Team (2026).</w:t>
      </w:r>
      <w:r>
        <w:t xml:space="preserve"> </w:t>
      </w:r>
      <w:r>
        <w:rPr>
          <w:iCs/>
          <w:i/>
        </w:rPr>
        <w:t xml:space="preserve">R: A Language and Environment for Statistical Computing.</w:t>
      </w:r>
      <w:r>
        <w:t xml:space="preserve"> </w:t>
      </w:r>
      <w:r>
        <w:t xml:space="preserve">Vienna: R Foundation for Statistical Computing.</w:t>
      </w:r>
    </w:p>
    <w:p>
      <w:pPr>
        <w:numPr>
          <w:ilvl w:val="0"/>
          <w:numId w:val="1001"/>
        </w:numPr>
        <w:pStyle w:val="Compact"/>
      </w:pPr>
      <w:r>
        <w:t xml:space="preserve">Rencher, A. C. (2002).</w:t>
      </w:r>
      <w:r>
        <w:t xml:space="preserve"> </w:t>
      </w:r>
      <w:r>
        <w:rPr>
          <w:iCs/>
          <w:i/>
        </w:rPr>
        <w:t xml:space="preserve">Methods of Multivariate Analysis</w:t>
      </w:r>
      <w:r>
        <w:t xml:space="preserve"> </w:t>
      </w:r>
      <w:r>
        <w:t xml:space="preserve">(2nd ed.). Wiley.</w:t>
      </w:r>
    </w:p>
    <w:p>
      <w:pPr>
        <w:numPr>
          <w:ilvl w:val="0"/>
          <w:numId w:val="1001"/>
        </w:numPr>
        <w:pStyle w:val="Compact"/>
      </w:pPr>
      <w:r>
        <w:t xml:space="preserve">Revelle, W. (2024).</w:t>
      </w:r>
      <w:r>
        <w:t xml:space="preserve"> </w:t>
      </w:r>
      <w:r>
        <w:rPr>
          <w:iCs/>
          <w:i/>
        </w:rPr>
        <w:t xml:space="preserve">psych: Procedures for Psychological, Psychometric, and Personality Research.</w:t>
      </w:r>
      <w:r>
        <w:t xml:space="preserve"> </w:t>
      </w:r>
      <w:r>
        <w:t xml:space="preserve">R package. Northwestern University.</w:t>
      </w:r>
    </w:p>
    <w:p>
      <w:pPr>
        <w:numPr>
          <w:ilvl w:val="0"/>
          <w:numId w:val="1001"/>
        </w:numPr>
        <w:pStyle w:val="Compact"/>
      </w:pPr>
      <w:r>
        <w:t xml:space="preserve">Reyment, R. A., &amp; Jöreskog, K. G. (1993).</w:t>
      </w:r>
      <w:r>
        <w:t xml:space="preserve"> </w:t>
      </w:r>
      <w:r>
        <w:rPr>
          <w:iCs/>
          <w:i/>
        </w:rPr>
        <w:t xml:space="preserve">Applied Factor Analysis in the Natural Sciences.</w:t>
      </w:r>
      <w:r>
        <w:t xml:space="preserve"> </w:t>
      </w:r>
      <w:r>
        <w:t xml:space="preserve">Cambridge University Press.</w:t>
      </w:r>
    </w:p>
    <w:p>
      <w:pPr>
        <w:numPr>
          <w:ilvl w:val="0"/>
          <w:numId w:val="1001"/>
        </w:numPr>
        <w:pStyle w:val="Compact"/>
      </w:pPr>
      <w:r>
        <w:t xml:space="preserve">Rousseeuw, P. J. (1987). Silhouettes: A graphical aid to the interpretation and validation of cluster analysis.</w:t>
      </w:r>
      <w:r>
        <w:t xml:space="preserve"> </w:t>
      </w:r>
      <w:r>
        <w:rPr>
          <w:iCs/>
          <w:i/>
        </w:rPr>
        <w:t xml:space="preserve">Journal of Computational and Applied Mathematics</w:t>
      </w:r>
      <w:r>
        <w:t xml:space="preserve">, 20, 53–65.</w:t>
      </w:r>
    </w:p>
    <w:p>
      <w:pPr>
        <w:numPr>
          <w:ilvl w:val="0"/>
          <w:numId w:val="1001"/>
        </w:numPr>
        <w:pStyle w:val="Compact"/>
      </w:pPr>
      <w:r>
        <w:t xml:space="preserve">Suzuki, R., &amp; Shimodaira, H. (2006). Pvclust: An R package for assessing the uncertainty in hierarchical clustering.</w:t>
      </w:r>
      <w:r>
        <w:t xml:space="preserve"> </w:t>
      </w:r>
      <w:r>
        <w:rPr>
          <w:iCs/>
          <w:i/>
        </w:rPr>
        <w:t xml:space="preserve">Bioinformatics</w:t>
      </w:r>
      <w:r>
        <w:t xml:space="preserve">, 22(12), 1540–1542.</w:t>
      </w:r>
    </w:p>
    <w:p>
      <w:pPr>
        <w:numPr>
          <w:ilvl w:val="0"/>
          <w:numId w:val="1001"/>
        </w:numPr>
        <w:pStyle w:val="Compact"/>
      </w:pPr>
      <w:r>
        <w:t xml:space="preserve">Wartenberg, D. (1985). Multivariate spatial correlation: A method for exploratory geographical analysis.</w:t>
      </w:r>
      <w:r>
        <w:t xml:space="preserve"> </w:t>
      </w:r>
      <w:r>
        <w:rPr>
          <w:iCs/>
          <w:i/>
        </w:rPr>
        <w:t xml:space="preserve">Geographical Analysis</w:t>
      </w:r>
      <w:r>
        <w:t xml:space="preserve">, 17(4), 263–283.</w:t>
      </w:r>
    </w:p>
    <w:p>
      <w:pPr>
        <w:numPr>
          <w:ilvl w:val="0"/>
          <w:numId w:val="1001"/>
        </w:numPr>
        <w:pStyle w:val="Compact"/>
      </w:pPr>
      <w:r>
        <w:t xml:space="preserve">Yidana, S. M., et al. [confirm] (2009). Hydrochemical analysis of groundwater using multivariate statistical methods — the Volta region, Ghana.</w:t>
      </w:r>
      <w:r>
        <w:t xml:space="preserve"> </w:t>
      </w:r>
      <w:r>
        <w:rPr>
          <w:iCs/>
          <w:i/>
        </w:rPr>
        <w:t xml:space="preserve">KSCE Journal of Civil Engineering</w:t>
      </w:r>
      <w:r>
        <w:t xml:space="preserve">, 13(1). [confirm volume/pages/authors]</w:t>
      </w:r>
    </w:p>
    <w:p>
      <w:pPr>
        <w:numPr>
          <w:ilvl w:val="0"/>
          <w:numId w:val="1001"/>
        </w:numPr>
        <w:pStyle w:val="Compact"/>
      </w:pPr>
      <w:r>
        <w:t xml:space="preserve">[Cariri Valley authors — confirm] (2008). Clustering of groundwaters by Q-mode factor analysis according to their hydrogeochemical origin: a case study of the Cariri Valley (northern Brazil) wells.</w:t>
      </w:r>
      <w:r>
        <w:t xml:space="preserve"> </w:t>
      </w:r>
      <w:r>
        <w:rPr>
          <w:iCs/>
          <w:i/>
        </w:rPr>
        <w:t xml:space="preserve">Water SA</w:t>
      </w:r>
      <w:r>
        <w:t xml:space="preserve">, 34(5). [confirm authors/pages]</w:t>
      </w:r>
    </w:p>
    <w:bookmarkEnd w:id="40"/>
    <w:bookmarkStart w:id="41" w:name="appendix-a-reproducibility"/>
    <w:p>
      <w:pPr>
        <w:pStyle w:val="Heading2"/>
      </w:pPr>
      <w:r>
        <w:t xml:space="preserve">Appendix A — Reproducibility</w:t>
      </w:r>
    </w:p>
    <w:p>
      <w:pPr>
        <w:pStyle w:val="FirstParagraph"/>
      </w:pPr>
      <w:r>
        <w:t xml:space="preserve">Every table and figure reproduces from public data via two scripts. The refreshed</w:t>
      </w:r>
      <w:r>
        <w:t xml:space="preserve"> </w:t>
      </w:r>
      <w:r>
        <w:t xml:space="preserve">dataset is built by</w:t>
      </w:r>
      <w:r>
        <w:t xml:space="preserve"> </w:t>
      </w:r>
      <w:r>
        <w:rPr>
          <w:rStyle w:val="VerbatimChar"/>
        </w:rPr>
        <w:t xml:space="preserve">paper/build_paper3_data.R</w:t>
      </w:r>
      <w:r>
        <w:t xml:space="preserve">, which downloads the current</w:t>
      </w:r>
      <w:r>
        <w:t xml:space="preserve"> </w:t>
      </w:r>
      <w:r>
        <w:t xml:space="preserve">AQUASTAT withdrawal series and assembles the analysis table; the diagnostics of</w:t>
      </w:r>
      <w:r>
        <w:t xml:space="preserve"> </w:t>
      </w:r>
      <w:r>
        <w:t xml:space="preserve">Section 4 (KMO, Bartlett, parallel analysis, varimax, silhouette, Moran’s I / LISA)</w:t>
      </w:r>
      <w:r>
        <w:t xml:space="preserve"> </w:t>
      </w:r>
      <w:r>
        <w:t xml:space="preserve">are produced by</w:t>
      </w:r>
      <w:r>
        <w:t xml:space="preserve"> </w:t>
      </w:r>
      <w:r>
        <w:rPr>
          <w:rStyle w:val="VerbatimChar"/>
        </w:rPr>
        <w:t xml:space="preserve">paper/paper3_diagnostics.R</w:t>
      </w:r>
      <w:r>
        <w:t xml:space="preserve">. The core analysis is one call: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(qrfactor)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"Domestic"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"Industry"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"Agricultur"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"Resources"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"withdrawal"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cleaned set</w:t>
      </w:r>
      <w:r>
        <w:br/>
      </w:r>
      <w:r>
        <w:rPr>
          <w:rStyle w:val="NormalTok"/>
        </w:rPr>
        <w:t xml:space="preserve">m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qrfactor</w:t>
      </w:r>
      <w:r>
        <w:rPr>
          <w:rStyle w:val="NormalTok"/>
        </w:rPr>
        <w:t xml:space="preserve">(dat[v])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(m)                       </w:t>
      </w:r>
      <w:r>
        <w:rPr>
          <w:rStyle w:val="CommentTok"/>
        </w:rPr>
        <w:t xml:space="preserve"># Table 3 (eigenvalues/variance)</w:t>
      </w:r>
      <w:r>
        <w:br/>
      </w:r>
      <w:r>
        <w:rPr>
          <w:rStyle w:val="NormalTok"/>
        </w:rPr>
        <w:t xml:space="preserve">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correlation                    </w:t>
      </w:r>
      <w:r>
        <w:rPr>
          <w:rStyle w:val="CommentTok"/>
        </w:rPr>
        <w:t xml:space="preserve"># Table 2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rowname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Figure 1 (biplot)</w:t>
      </w:r>
      <w:r>
        <w:br/>
      </w:r>
      <w:r>
        <w:br/>
      </w:r>
      <w:r>
        <w:rPr>
          <w:rStyle w:val="CommentTok"/>
        </w:rPr>
        <w:t xml:space="preserve"># spatial: scores/indices/clusters written back to the map</w:t>
      </w:r>
      <w:r>
        <w:br/>
      </w:r>
      <w:r>
        <w:rPr>
          <w:rStyle w:val="NormalTok"/>
        </w:rPr>
        <w:t xml:space="preserve">sm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qrfactor</w:t>
      </w:r>
      <w:r>
        <w:rPr>
          <w:rStyle w:val="NormalTok"/>
        </w:rPr>
        <w:t xml:space="preserve">(shapefile_dir, </w:t>
      </w:r>
      <w:r>
        <w:rPr>
          <w:rStyle w:val="AttributeTok"/>
        </w:rPr>
        <w:t xml:space="preserve">layer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"Africanfreshwater"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v)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(sm,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"map"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Figures 2-3 (factor-index choropleths)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(sm,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"cluster"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Figure 4 (clusplot) + Table 6 (ANOVA)</w:t>
      </w:r>
      <w:r>
        <w:br/>
      </w:r>
      <w:r>
        <w:rPr>
          <w:rStyle w:val="CommentTok"/>
        </w:rPr>
        <w:t xml:space="preserve"># KMO/Bartlett/rotation/parallel analysis/silhouette/Moran's I: see paper3_diagnostics.R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Simultaneous Q- and R-Mode Factor Analysis of Water Use Across African Countries: A Reproducible, Map-First Workflow</dc:title>
  <dc:creator>George Owusu — Department of Geography and Resource Development, University of Ghana</dc:creator>
  <cp:keywords/>
  <dcterms:created xsi:type="dcterms:W3CDTF">2026-07-24T16:29:00Z</dcterms:created>
  <dcterms:modified xsi:type="dcterms:W3CDTF">2026-07-24T16:29:00Z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</Properties>
</file>