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Simultaneous</w:t>
      </w:r>
      <w:r>
        <w:t xml:space="preserve"> </w:t>
      </w:r>
      <w:r>
        <w:t xml:space="preserve">Q-</w:t>
      </w:r>
      <w:r>
        <w:t xml:space="preserve"> </w:t>
      </w:r>
      <w:r>
        <w:t xml:space="preserve">and</w:t>
      </w:r>
      <w:r>
        <w:t xml:space="preserve"> </w:t>
      </w:r>
      <w:r>
        <w:t xml:space="preserve">R-Mode</w:t>
      </w:r>
      <w:r>
        <w:t xml:space="preserve"> </w:t>
      </w:r>
      <w:r>
        <w:t xml:space="preserve">Factor</w:t>
      </w:r>
      <w:r>
        <w:t xml:space="preserve"> </w:t>
      </w:r>
      <w:r>
        <w:t xml:space="preserve">Analysis</w:t>
      </w:r>
      <w:r>
        <w:t xml:space="preserve"> </w:t>
      </w:r>
      <w:r>
        <w:t xml:space="preserve">of</w:t>
      </w:r>
      <w:r>
        <w:t xml:space="preserve"> </w:t>
      </w:r>
      <w:r>
        <w:t xml:space="preserve">Water</w:t>
      </w:r>
      <w:r>
        <w:t xml:space="preserve"> </w:t>
      </w:r>
      <w:r>
        <w:t xml:space="preserve">Use</w:t>
      </w:r>
      <w:r>
        <w:t xml:space="preserve"> </w:t>
      </w:r>
      <w:r>
        <w:t xml:space="preserve">Across</w:t>
      </w:r>
      <w:r>
        <w:t xml:space="preserve"> </w:t>
      </w:r>
      <w:r>
        <w:t xml:space="preserve">African</w:t>
      </w:r>
      <w:r>
        <w:t xml:space="preserve"> </w:t>
      </w:r>
      <w:r>
        <w:t xml:space="preserve">Countries:</w:t>
      </w:r>
      <w:r>
        <w:t xml:space="preserve"> </w:t>
      </w:r>
      <w:r>
        <w:t xml:space="preserve">A</w:t>
      </w:r>
      <w:r>
        <w:t xml:space="preserve"> </w:t>
      </w:r>
      <w:r>
        <w:t xml:space="preserve">Reproducible,</w:t>
      </w:r>
      <w:r>
        <w:t xml:space="preserve"> </w:t>
      </w:r>
      <w:r>
        <w:t xml:space="preserve">Map-First</w:t>
      </w:r>
      <w:r>
        <w:t xml:space="preserve"> </w:t>
      </w:r>
      <w:r>
        <w:t xml:space="preserve">Workflow</w:t>
      </w:r>
    </w:p>
    <w:p>
      <w:pPr>
        <w:pStyle w:val="Author"/>
      </w:pPr>
      <w:r>
        <w:t xml:space="preserve">George</w:t>
      </w:r>
      <w:r>
        <w:t xml:space="preserve"> </w:t>
      </w:r>
      <w:r>
        <w:t xml:space="preserve">Owusu</w:t>
      </w:r>
      <w:r>
        <w:t xml:space="preserve"> </w:t>
      </w:r>
      <w:r>
        <w:t xml:space="preserve">—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Geography</w:t>
      </w:r>
      <w:r>
        <w:t xml:space="preserve"> </w:t>
      </w:r>
      <w:r>
        <w:t xml:space="preserve">and</w:t>
      </w:r>
      <w:r>
        <w:t xml:space="preserve"> </w:t>
      </w:r>
      <w:r>
        <w:t xml:space="preserve">Resource</w:t>
      </w:r>
      <w:r>
        <w:t xml:space="preserve"> </w:t>
      </w:r>
      <w:r>
        <w:t xml:space="preserve">Development,</w:t>
      </w:r>
      <w:r>
        <w:t xml:space="preserve"> </w:t>
      </w:r>
      <w:r>
        <w:t xml:space="preserve">University</w:t>
      </w:r>
      <w:r>
        <w:t xml:space="preserve"> </w:t>
      </w:r>
      <w:r>
        <w:t xml:space="preserve">of</w:t>
      </w:r>
      <w:r>
        <w:t xml:space="preserve"> </w:t>
      </w:r>
      <w:r>
        <w:t xml:space="preserve">Ghana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Q-mode factor analysis; R-mode factor analysis; water withdrawal;</w:t>
      </w:r>
      <w:r>
        <w:t xml:space="preserve"> </w:t>
      </w:r>
      <w:r>
        <w:t xml:space="preserve">spatial ordination; Africa; AQUASTAT; reproducible workflow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Africa is described, in the same breath, as</w:t>
      </w:r>
      <w:r>
        <w:t xml:space="preserve"> </w:t>
      </w:r>
      <w:r>
        <w:rPr>
          <w:iCs/>
          <w:i/>
        </w:rPr>
        <w:t xml:space="preserve">water-rich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water-stressed</w:t>
      </w:r>
      <w:r>
        <w:t xml:space="preserve">,</w:t>
      </w:r>
      <w:r>
        <w:t xml:space="preserve"> </w:t>
      </w:r>
      <w:r>
        <w:t xml:space="preserve">yet the two claims are rarely tested together because the analysis has two</w:t>
      </w:r>
      <w:r>
        <w:t xml:space="preserve"> </w:t>
      </w:r>
      <w:r>
        <w:t xml:space="preserve">sides — the structure among water-use</w:t>
      </w:r>
      <w:r>
        <w:t xml:space="preserve"> </w:t>
      </w:r>
      <w:r>
        <w:rPr>
          <w:iCs/>
          <w:i/>
        </w:rPr>
        <w:t xml:space="preserve">variables</w:t>
      </w:r>
      <w:r>
        <w:t xml:space="preserve"> </w:t>
      </w:r>
      <w:r>
        <w:t xml:space="preserve">and the grouping of</w:t>
      </w:r>
      <w:r>
        <w:t xml:space="preserve"> </w:t>
      </w:r>
      <w:r>
        <w:rPr>
          <w:iCs/>
          <w:i/>
        </w:rPr>
        <w:t xml:space="preserve">countries</w:t>
      </w:r>
      <w:r>
        <w:t xml:space="preserve"> </w:t>
      </w:r>
      <w:r>
        <w:t xml:space="preserve">— usually handled by separate tools. This study applies simultaneous Q- and</w:t>
      </w:r>
      <w:r>
        <w:t xml:space="preserve"> </w:t>
      </w:r>
      <w:r>
        <w:t xml:space="preserve">R-mode factor analysis, in a single reproducible call, to six water-use</w:t>
      </w:r>
      <w:r>
        <w:t xml:space="preserve"> </w:t>
      </w:r>
      <w:r>
        <w:t xml:space="preserve">indicators for 50 African countries, and writes the results back to the map. Two</w:t>
      </w:r>
      <w:r>
        <w:t xml:space="preserve"> </w:t>
      </w:r>
      <w:r>
        <w:t xml:space="preserve">factors explain 74% of the variation: Factor 1 (56%) is an agriculture-driven</w:t>
      </w:r>
      <w:r>
        <w:t xml:space="preserve"> </w:t>
      </w:r>
      <w:r>
        <w:t xml:space="preserve">scale of overall use; Factor 2 (18%) is a resource-versus-use contrast. Renewable</w:t>
      </w:r>
      <w:r>
        <w:t xml:space="preserve"> </w:t>
      </w:r>
      <w:r>
        <w:t xml:space="preserve">availability is essentially uncorrelated with use (r between −0.04 and −0.19).</w:t>
      </w:r>
      <w:r>
        <w:t xml:space="preserve"> </w:t>
      </w:r>
      <w:r>
        <w:t xml:space="preserve">Countries partition into two profiles whose heavy users draw roughly eight times</w:t>
      </w:r>
      <w:r>
        <w:t xml:space="preserve"> </w:t>
      </w:r>
      <w:r>
        <w:t xml:space="preserve">more agricultural water yet hold less than half the renewable resource (mean 59</w:t>
      </w:r>
      <w:r>
        <w:t xml:space="preserve"> </w:t>
      </w:r>
      <w:r>
        <w:t xml:space="preserve">versus 128). The contribution is a</w:t>
      </w:r>
      <w:r>
        <w:t xml:space="preserve"> </w:t>
      </w:r>
      <w:r>
        <w:rPr>
          <w:iCs/>
          <w:i/>
        </w:rPr>
        <w:t xml:space="preserve">workflow</w:t>
      </w:r>
      <w:r>
        <w:t xml:space="preserve">: one function delivers the</w:t>
      </w:r>
      <w:r>
        <w:t xml:space="preserve"> </w:t>
      </w:r>
      <w:r>
        <w:t xml:space="preserve">ordination, the classification, cluster tests and choropleth maps, so applied</w:t>
      </w:r>
      <w:r>
        <w:t xml:space="preserve"> </w:t>
      </w:r>
      <w:r>
        <w:t xml:space="preserve">users can move from table to map without stitching five packages together.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Water security is among the defining development questions for sub-Saharan and</w:t>
      </w:r>
      <w:r>
        <w:t xml:space="preserve"> </w:t>
      </w:r>
      <w:r>
        <w:t xml:space="preserve">North Africa, where irrigation dominates abstraction, renewable supply is</w:t>
      </w:r>
      <w:r>
        <w:t xml:space="preserve"> </w:t>
      </w:r>
      <w:r>
        <w:t xml:space="preserve">unevenly distributed, and per-capita availability is falling with population</w:t>
      </w:r>
      <w:r>
        <w:t xml:space="preserve"> </w:t>
      </w:r>
      <w:r>
        <w:t xml:space="preserve">growth. A recurring paradox frames the debate: the continent is portrayed as</w:t>
      </w:r>
      <w:r>
        <w:t xml:space="preserve"> </w:t>
      </w:r>
      <w:r>
        <w:t xml:space="preserve">water-abundant — the Congo Basin alone holds a substantial share of Africa’s</w:t>
      </w:r>
      <w:r>
        <w:t xml:space="preserve"> </w:t>
      </w:r>
      <w:r>
        <w:t xml:space="preserve">renewable freshwater — and simultaneously as one of the most water-stressed</w:t>
      </w:r>
      <w:r>
        <w:t xml:space="preserve"> </w:t>
      </w:r>
      <w:r>
        <w:t xml:space="preserve">regions on Earth. Both statements can be true, but only if</w:t>
      </w:r>
      <w:r>
        <w:t xml:space="preserve"> </w:t>
      </w:r>
      <w:r>
        <w:rPr>
          <w:iCs/>
          <w:i/>
        </w:rP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availability</w:t>
      </w:r>
      <w:r>
        <w:t xml:space="preserve"> </w:t>
      </w:r>
      <w:r>
        <w:t xml:space="preserve">are governed by different processes and different geographies.</w:t>
      </w:r>
      <w:r>
        <w:t xml:space="preserve"> </w:t>
      </w:r>
      <w:r>
        <w:t xml:space="preserve">Testing that proposition requires a method that classifies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(which</w:t>
      </w:r>
      <w:r>
        <w:t xml:space="preserve"> </w:t>
      </w:r>
      <w:r>
        <w:t xml:space="preserve">kinds of water use move together?) and</w:t>
      </w:r>
      <w:r>
        <w:t xml:space="preserve"> </w:t>
      </w:r>
      <w:r>
        <w:rPr>
          <w:bCs/>
          <w:b/>
        </w:rPr>
        <w:t xml:space="preserve">samples</w:t>
      </w:r>
      <w:r>
        <w:t xml:space="preserve"> </w:t>
      </w:r>
      <w:r>
        <w:t xml:space="preserve">(which countries resemble one</w:t>
      </w:r>
      <w:r>
        <w:t xml:space="preserve"> </w:t>
      </w:r>
      <w:r>
        <w:t xml:space="preserve">another?) at the same time.</w:t>
      </w:r>
    </w:p>
    <w:p>
      <w:pPr>
        <w:pStyle w:val="BodyText"/>
      </w:pPr>
      <w:r>
        <w:t xml:space="preserve">Factor analysis provides both lenses. R-mode analysis groups variables by their</w:t>
      </w:r>
      <w:r>
        <w:t xml:space="preserve"> </w:t>
      </w:r>
      <w:r>
        <w:t xml:space="preserve">shared variation; Q-mode analysis groups observations by their similarity. In the</w:t>
      </w:r>
      <w:r>
        <w:t xml:space="preserve"> </w:t>
      </w:r>
      <w:r>
        <w:t xml:space="preserve">natural sciences the two are classically run in tandem — Reyment and Jöreskog</w:t>
      </w:r>
      <w:r>
        <w:t xml:space="preserve"> </w:t>
      </w:r>
      <w:r>
        <w:t xml:space="preserve">(1993) and Davis (2002) treat Q/R-mode analysis as a standard pairing in geology</w:t>
      </w:r>
      <w:r>
        <w:t xml:space="preserve"> </w:t>
      </w:r>
      <w:r>
        <w:t xml:space="preserve">and geochemistry — but in practice they are computed separately, in different</w:t>
      </w:r>
      <w:r>
        <w:t xml:space="preserve"> </w:t>
      </w:r>
      <w:r>
        <w:t xml:space="preserve">software, and reconciled by hand. For an applied water scientist this is a</w:t>
      </w:r>
      <w:r>
        <w:t xml:space="preserve"> </w:t>
      </w:r>
      <w:r>
        <w:t xml:space="preserve">barrier: the analysis fragments across packages, the results are tables rather</w:t>
      </w:r>
      <w:r>
        <w:t xml:space="preserve"> </w:t>
      </w:r>
      <w:r>
        <w:t xml:space="preserve">than maps, and reproducibility suffers.</w:t>
      </w:r>
    </w:p>
    <w:p>
      <w:pPr>
        <w:pStyle w:val="BodyText"/>
      </w:pPr>
      <w:r>
        <w:t xml:space="preserve">This study has two aims. First, substantively, it characterises the structure of</w:t>
      </w:r>
      <w:r>
        <w:t xml:space="preserve"> </w:t>
      </w:r>
      <w:r>
        <w:t xml:space="preserve">water use across African countries and tests whether use is decoupled from</w:t>
      </w:r>
      <w:r>
        <w:t xml:space="preserve"> </w:t>
      </w:r>
      <w:r>
        <w:t xml:space="preserve">availability — the empirical core of the water paradox. Second, methodologically,</w:t>
      </w:r>
      <w:r>
        <w:t xml:space="preserve"> </w:t>
      </w:r>
      <w:r>
        <w:t xml:space="preserve">it demonstrates a</w:t>
      </w:r>
      <w:r>
        <w:t xml:space="preserve"> </w:t>
      </w:r>
      <w:r>
        <w:rPr>
          <w:bCs/>
          <w:b/>
        </w:rPr>
        <w:t xml:space="preserve">map-first, single-call workflow</w:t>
      </w:r>
      <w:r>
        <w:t xml:space="preserve"> </w:t>
      </w:r>
      <w:r>
        <w:t xml:space="preserve">in which simultaneous Q- and</w:t>
      </w:r>
      <w:r>
        <w:t xml:space="preserve"> </w:t>
      </w:r>
      <w:r>
        <w:t xml:space="preserve">R-mode factor analysis, factor scoring, clustering, cluster testing and choropleth</w:t>
      </w:r>
      <w:r>
        <w:t xml:space="preserve"> </w:t>
      </w:r>
      <w:r>
        <w:t xml:space="preserve">mapping are produced from one command and written back to the geographic</w:t>
      </w:r>
      <w:r>
        <w:t xml:space="preserve"> </w:t>
      </w:r>
      <w:r>
        <w:t xml:space="preserve">attribute table. The workflow is implemented in the open-source R package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(Owusu, 2026) and is fully reproducible from public data.</w:t>
      </w:r>
    </w:p>
    <w:p>
      <w:pPr>
        <w:pStyle w:val="BodyText"/>
      </w:pPr>
      <w:r>
        <w:t xml:space="preserve">The remainder of the paper reviews Q/R-mode analysis and spatial ordination</w:t>
      </w:r>
      <w:r>
        <w:t xml:space="preserve"> </w:t>
      </w:r>
      <w:r>
        <w:t xml:space="preserve">(Section 2), describes the data and workflow (Section 3), reports the ordination,</w:t>
      </w:r>
      <w:r>
        <w:t xml:space="preserve"> </w:t>
      </w:r>
      <w:r>
        <w:t xml:space="preserve">maps and clusters (Section 4), and discusses the paradox, its policy reading and</w:t>
      </w:r>
      <w:r>
        <w:t xml:space="preserve"> </w:t>
      </w:r>
      <w:r>
        <w:t xml:space="preserve">the honest limits of a single cross-section (Section 5), before concluding</w:t>
      </w:r>
      <w:r>
        <w:t xml:space="preserve"> </w:t>
      </w:r>
      <w:r>
        <w:t xml:space="preserve">(Section 6).</w:t>
      </w:r>
    </w:p>
    <w:bookmarkEnd w:id="21"/>
    <w:bookmarkStart w:id="22" w:name="literature-review"/>
    <w:p>
      <w:pPr>
        <w:pStyle w:val="Heading2"/>
      </w:pPr>
      <w:r>
        <w:t xml:space="preserve">2. Literature review</w:t>
      </w:r>
    </w:p>
    <w:p>
      <w:pPr>
        <w:pStyle w:val="FirstParagraph"/>
      </w:pPr>
      <w:r>
        <w:rPr>
          <w:bCs/>
          <w:b/>
        </w:rPr>
        <w:t xml:space="preserve">Q- and R-mode factor analysis.</w:t>
      </w:r>
      <w:r>
        <w:t xml:space="preserve"> </w:t>
      </w:r>
      <w:r>
        <w:t xml:space="preserve">R-mode factor analysis summarises a set of</w:t>
      </w:r>
      <w:r>
        <w:t xml:space="preserve"> </w:t>
      </w:r>
      <w:r>
        <w:t xml:space="preserve">variables by a smaller set of latent factors, each a weighted combination of the</w:t>
      </w:r>
      <w:r>
        <w:t xml:space="preserve"> </w:t>
      </w:r>
      <w:r>
        <w:t xml:space="preserve">originals; the weights are</w:t>
      </w:r>
      <w:r>
        <w:t xml:space="preserve"> </w:t>
      </w:r>
      <w:r>
        <w:rPr>
          <w:iCs/>
          <w:i/>
        </w:rPr>
        <w:t xml:space="preserve">loadings</w:t>
      </w:r>
      <w:r>
        <w:t xml:space="preserve"> </w:t>
      </w:r>
      <w:r>
        <w:t xml:space="preserve">and the factors are ordered by the variance</w:t>
      </w:r>
      <w:r>
        <w:t xml:space="preserve"> </w:t>
      </w:r>
      <w:r>
        <w:t xml:space="preserve">(eigenvalue) they capture (Rencher, 2002). Q-mode analysis applies the same</w:t>
      </w:r>
      <w:r>
        <w:t xml:space="preserve"> </w:t>
      </w:r>
      <w:r>
        <w:t xml:space="preserve">algebra to the transpose, classifying observations. Reyment and Jöreskog (1993)</w:t>
      </w:r>
      <w:r>
        <w:t xml:space="preserve"> </w:t>
      </w:r>
      <w:r>
        <w:t xml:space="preserve">formalised the joint use of both modes in the natural sciences, and Davis (2002)</w:t>
      </w:r>
      <w:r>
        <w:t xml:space="preserve"> </w:t>
      </w:r>
      <w:r>
        <w:t xml:space="preserve">made Q/R-mode ordination a staple of quantitative geology. In hydrochemistry the</w:t>
      </w:r>
      <w:r>
        <w:t xml:space="preserve"> </w:t>
      </w:r>
      <w:r>
        <w:t xml:space="preserve">pairing is routine: R-mode identifies the processes controlling solute variation</w:t>
      </w:r>
      <w:r>
        <w:t xml:space="preserve"> </w:t>
      </w:r>
      <w:r>
        <w:t xml:space="preserve">while Q-mode groups samples of common origin, typically with varimax rotation and</w:t>
      </w:r>
      <w:r>
        <w:t xml:space="preserve"> </w:t>
      </w:r>
      <w:r>
        <w:t xml:space="preserve">the Kaiser (1960) eigenvalue-greater-than-one rule for retention, supported by the</w:t>
      </w:r>
      <w:r>
        <w:t xml:space="preserve"> </w:t>
      </w:r>
      <w:r>
        <w:t xml:space="preserve">scree test (Cattell, 1966).</w:t>
      </w:r>
    </w:p>
    <w:p>
      <w:pPr>
        <w:pStyle w:val="BodyText"/>
      </w:pPr>
      <w:r>
        <w:rPr>
          <w:bCs/>
          <w:b/>
        </w:rPr>
        <w:t xml:space="preserve">Spatial ordination.</w:t>
      </w:r>
      <w:r>
        <w:t xml:space="preserve"> </w:t>
      </w:r>
      <w:r>
        <w:t xml:space="preserve">Linking ordination to geography has a long lineage.</w:t>
      </w:r>
      <w:r>
        <w:t xml:space="preserve"> </w:t>
      </w:r>
      <w:r>
        <w:t xml:space="preserve">Wartenberg (1985) introduced multivariate spatial correlation, maximising the</w:t>
      </w:r>
      <w:r>
        <w:t xml:space="preserve"> </w:t>
      </w:r>
      <w:r>
        <w:t xml:space="preserve">product of variance and spatial autocorrelation; Dray, Saïd and Débias (2008)</w:t>
      </w:r>
      <w:r>
        <w:t xml:space="preserve"> </w:t>
      </w:r>
      <w:r>
        <w:t xml:space="preserve">generalised it into</w:t>
      </w:r>
      <w:r>
        <w:t xml:space="preserve"> </w:t>
      </w:r>
      <w:r>
        <w:rPr>
          <w:rStyle w:val="VerbatimChar"/>
        </w:rPr>
        <w:t xml:space="preserve">multispati</w:t>
      </w:r>
      <w:r>
        <w:t xml:space="preserve">, the basis of modern spatial-ordination tools in</w:t>
      </w:r>
      <w:r>
        <w:t xml:space="preserve"> </w:t>
      </w:r>
      <w:r>
        <w:t xml:space="preserve">R. This literature is mature, and it is important not to overstate novelty: linking</w:t>
      </w:r>
      <w:r>
        <w:t xml:space="preserve"> </w:t>
      </w:r>
      <w:r>
        <w:t xml:space="preserve">multivariate structure to spatial pattern is not new. What remains awkward for the</w:t>
      </w:r>
      <w:r>
        <w:t xml:space="preserve"> </w:t>
      </w:r>
      <w:r>
        <w:rPr>
          <w:iCs/>
          <w:i/>
        </w:rPr>
        <w:t xml:space="preserve">applied</w:t>
      </w:r>
      <w:r>
        <w:t xml:space="preserve"> </w:t>
      </w:r>
      <w:r>
        <w:t xml:space="preserve">user is integration — reading a shapefile, running the ordination,</w:t>
      </w:r>
      <w:r>
        <w:t xml:space="preserve"> </w:t>
      </w:r>
      <w:r>
        <w:t xml:space="preserve">classifying the units, testing the classes and drawing the maps still spans several</w:t>
      </w:r>
      <w:r>
        <w:t xml:space="preserve"> </w:t>
      </w:r>
      <w:r>
        <w:t xml:space="preserve">packages (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for geometry;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/</w:t>
      </w:r>
      <w:r>
        <w:rPr>
          <w:rStyle w:val="VerbatimChar"/>
        </w:rPr>
        <w:t xml:space="preserve">psych</w:t>
      </w:r>
      <w:r>
        <w:t xml:space="preserve"> </w:t>
      </w:r>
      <w:r>
        <w:t xml:space="preserve">for factors;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pvclust</w:t>
      </w:r>
      <w:r>
        <w:t xml:space="preserve"> </w:t>
      </w:r>
      <w:r>
        <w:t xml:space="preserve">for grouping), each with its own idioms (Bivand, Pebesma &amp; Gómez-Rubio,</w:t>
      </w:r>
      <w:r>
        <w:t xml:space="preserve"> </w:t>
      </w:r>
      <w:r>
        <w:t xml:space="preserve">2013; Pebesma, 2018).</w:t>
      </w:r>
    </w:p>
    <w:p>
      <w:pPr>
        <w:pStyle w:val="BodyText"/>
      </w:pPr>
      <w:r>
        <w:rPr>
          <w:bCs/>
          <w:b/>
        </w:rPr>
        <w:t xml:space="preserve">The gap and the framework.</w:t>
      </w:r>
      <w:r>
        <w:t xml:space="preserve"> </w:t>
      </w:r>
      <w:r>
        <w:t xml:space="preserve">Two gaps motivate this study. First, most applied</w:t>
      </w:r>
      <w:r>
        <w:t xml:space="preserve"> </w:t>
      </w:r>
      <w:r>
        <w:t xml:space="preserve">Q/R-mode work reports variable structure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sample grouping, seldom both on a</w:t>
      </w:r>
      <w:r>
        <w:t xml:space="preserve"> </w:t>
      </w:r>
      <w:r>
        <w:t xml:space="preserve">shared set of axes; and it rarely writes the result back to a map. Second, the</w:t>
      </w:r>
      <w:r>
        <w:t xml:space="preserve"> </w:t>
      </w:r>
      <w:r>
        <w:t xml:space="preserve">workflow is not reproducible end-to-end from a single object. We therefore adopt a</w:t>
      </w:r>
      <w:r>
        <w:t xml:space="preserve"> </w:t>
      </w:r>
      <w:r>
        <w:rPr>
          <w:bCs/>
          <w:b/>
        </w:rPr>
        <w:t xml:space="preserve">pipeline framework</w:t>
      </w:r>
      <w:r>
        <w:t xml:space="preserve"> </w:t>
      </w:r>
      <w:r>
        <w:t xml:space="preserve">(Table 1): one call ingests a shapefile or table; produces</w:t>
      </w:r>
      <w:r>
        <w:t xml:space="preserve"> </w:t>
      </w:r>
      <w:r>
        <w:t xml:space="preserve">the correlation structure, eigen-decomposition, R- and Q-mode loadings and scores</w:t>
      </w:r>
      <w:r>
        <w:t xml:space="preserve"> </w:t>
      </w:r>
      <w:r>
        <w:t xml:space="preserve">on shared axes; derives per-unit indices and clusters; and appends all of these to</w:t>
      </w:r>
      <w:r>
        <w:t xml:space="preserve"> </w:t>
      </w:r>
      <w:r>
        <w:t xml:space="preserve">the attribute table so that mapping is the final, not a separate, step. The</w:t>
      </w:r>
      <w:r>
        <w:t xml:space="preserve"> </w:t>
      </w:r>
      <w:r>
        <w:t xml:space="preserve">framework’s contribution is integration and reproducibility for applied users, not</w:t>
      </w:r>
      <w:r>
        <w:t xml:space="preserve"> </w:t>
      </w:r>
      <w:r>
        <w:t xml:space="preserve">a new estimator.</w:t>
      </w:r>
    </w:p>
    <w:p>
      <w:pPr>
        <w:pStyle w:val="BodyText"/>
      </w:pPr>
      <w:r>
        <w:rPr>
          <w:iCs/>
          <w:i/>
        </w:rPr>
        <w:t xml:space="preserve">Table 1. The map-first Q/R workflow: one call, six stages.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 table or shapefile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matrix + geometry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+ correlate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correlation/covariance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Eigen-decompose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eigenvalues, variance, PCA loadings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 and Q-mode loadings/scores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shared-axis biplot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Index, rank,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per-country indices +</w:t>
            </w:r>
            <w:r>
              <w:t xml:space="preserve"> </w:t>
            </w:r>
            <w:r>
              <w:rPr>
                <w:rStyle w:val="VerbatimChar"/>
              </w:rPr>
              <w:t xml:space="preserve">kmeans</w:t>
            </w:r>
            <w:r>
              <w:t xml:space="preserve"> </w:t>
            </w:r>
            <w:r>
              <w:t xml:space="preserve">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back +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 table + choropleths</w:t>
            </w:r>
          </w:p>
        </w:tc>
      </w:tr>
    </w:tbl>
    <w:bookmarkEnd w:id="22"/>
    <w:bookmarkStart w:id="23" w:name="data-and-methods"/>
    <w:p>
      <w:pPr>
        <w:pStyle w:val="Heading2"/>
      </w:pPr>
      <w:r>
        <w:t xml:space="preserve">3. Data and methods</w:t>
      </w:r>
    </w:p>
    <w:p>
      <w:pPr>
        <w:pStyle w:val="FirstParagraph"/>
      </w:pPr>
      <w:r>
        <w:rPr>
          <w:bCs/>
          <w:b/>
        </w:rPr>
        <w:t xml:space="preserve">Study units and variables.</w:t>
      </w:r>
      <w:r>
        <w:t xml:space="preserve"> </w:t>
      </w:r>
      <w:r>
        <w:t xml:space="preserve">The analysis covers 50 African countries described</w:t>
      </w:r>
      <w:r>
        <w:t xml:space="preserve"> </w:t>
      </w:r>
      <w:r>
        <w:t xml:space="preserve">by six water-use indicators derived from FAO’s AQUASTAT global water information</w:t>
      </w:r>
      <w:r>
        <w:t xml:space="preserve"> </w:t>
      </w:r>
      <w:r>
        <w:t xml:space="preserve">system (FAO, 2026): municipal (</w:t>
      </w:r>
      <w:r>
        <w:rPr>
          <w:rStyle w:val="VerbatimChar"/>
        </w:rPr>
        <w:t xml:space="preserve">Domestic</w:t>
      </w:r>
      <w:r>
        <w:t xml:space="preserve">), industrial (</w:t>
      </w:r>
      <w:r>
        <w:rPr>
          <w:rStyle w:val="VerbatimChar"/>
        </w:rPr>
        <w:t xml:space="preserve">Industry</w:t>
      </w:r>
      <w:r>
        <w:t xml:space="preserve">) and</w:t>
      </w:r>
      <w:r>
        <w:t xml:space="preserve"> </w:t>
      </w:r>
      <w:r>
        <w:t xml:space="preserve">agricultural (</w:t>
      </w:r>
      <w:r>
        <w:rPr>
          <w:rStyle w:val="VerbatimChar"/>
        </w:rPr>
        <w:t xml:space="preserve">Agricultur</w:t>
      </w:r>
      <w:r>
        <w:t xml:space="preserve">) water withdrawal; total renewable water resources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Resources</w:t>
      </w:r>
      <w:r>
        <w:t xml:space="preserve">); total water withdrawal (</w:t>
      </w:r>
      <w:r>
        <w:rPr>
          <w:rStyle w:val="VerbatimChar"/>
        </w:rPr>
        <w:t xml:space="preserve">withdrawal</w:t>
      </w:r>
      <w:r>
        <w:t xml:space="preserve">); and per-capita withdrawal</w:t>
      </w:r>
      <w:r>
        <w:t xml:space="preserve"> </w:t>
      </w:r>
      <w:r>
        <w:t xml:space="preserve">(</w:t>
      </w:r>
      <w:r>
        <w:rPr>
          <w:rStyle w:val="VerbatimChar"/>
        </w:rPr>
        <w:t xml:space="preserve">perCapitaW</w:t>
      </w:r>
      <w:r>
        <w:t xml:space="preserve">). Withdrawal quantities follow AQUASTAT conventions</w:t>
      </w:r>
      <w:r>
        <w:t xml:space="preserve"> </w:t>
      </w:r>
      <w:r>
        <w:t xml:space="preserve">(10⁹ m³ yr⁻¹ for volumes; m³ inhabitant⁻¹ yr⁻¹ for per-capita measures). The</w:t>
      </w:r>
      <w:r>
        <w:t xml:space="preserve"> </w:t>
      </w:r>
      <w:r>
        <w:t xml:space="preserve">present analysis uses the cross-section bundled with 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package (a</w:t>
      </w:r>
      <w:r>
        <w:t xml:space="preserve"> </w:t>
      </w:r>
      <w:r>
        <w:t xml:space="preserve">circa-2000 AQUASTAT compilation); a refreshed extract is obtained reproducibly from</w:t>
      </w:r>
      <w:r>
        <w:t xml:space="preserve"> </w:t>
      </w:r>
      <w:r>
        <w:t xml:space="preserve">the current AQUASTAT dissemination service (Appendix A), and the substantive</w:t>
      </w:r>
      <w:r>
        <w:t xml:space="preserve"> </w:t>
      </w:r>
      <w:r>
        <w:t xml:space="preserve">findings should be re-confirmed on it (Section 5).</w:t>
      </w:r>
    </w:p>
    <w:p>
      <w:pPr>
        <w:pStyle w:val="BodyText"/>
      </w:pPr>
      <w:r>
        <w:rPr>
          <w:bCs/>
          <w:b/>
        </w:rPr>
        <w:t xml:space="preserve">Analytical workflow.</w:t>
      </w:r>
      <w:r>
        <w:t xml:space="preserve"> </w:t>
      </w:r>
      <w:r>
        <w:t xml:space="preserve">All six stages of Table 1 are executed by a single call,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. Variables are standardised (correlation-based scaling) before</w:t>
      </w:r>
      <w:r>
        <w:t xml:space="preserve"> </w:t>
      </w:r>
      <w:r>
        <w:t xml:space="preserve">decomposition, so that all indicators contribute equally rather than the</w:t>
      </w:r>
      <w:r>
        <w:t xml:space="preserve"> </w:t>
      </w:r>
      <w:r>
        <w:t xml:space="preserve">largest-magnitude variable dominating. Factor retention follows the Kaiser (1960)</w:t>
      </w:r>
      <w:r>
        <w:t xml:space="preserve"> </w:t>
      </w:r>
      <w:r>
        <w:t xml:space="preserve">rule with the scree test (Cattell, 1966) as a check. R- and Q-mode loadings and</w:t>
      </w:r>
      <w:r>
        <w:t xml:space="preserve"> </w:t>
      </w:r>
      <w:r>
        <w:t xml:space="preserve">scores are placed on a common set of axes to permit joint interpretation. Country</w:t>
      </w:r>
      <w:r>
        <w:t xml:space="preserve"> </w:t>
      </w:r>
      <w:r>
        <w:t xml:space="preserve">groupings use</w:t>
      </w:r>
      <w:r>
        <w:t xml:space="preserve"> </w:t>
      </w:r>
      <w:r>
        <w:rPr>
          <w:rStyle w:val="VerbatimChar"/>
        </w:rPr>
        <w:t xml:space="preserve">kmeans</w:t>
      </w:r>
      <w:r>
        <w:t xml:space="preserve">; group separation on each variable is tested with one-way</w:t>
      </w:r>
      <w:r>
        <w:t xml:space="preserve"> </w:t>
      </w:r>
      <w:r>
        <w:t xml:space="preserve">ANOVA and the non-parametric Kruskal–Wallis test; cluster stability is assessed by</w:t>
      </w:r>
      <w:r>
        <w:t xml:space="preserve"> </w:t>
      </w:r>
      <w:r>
        <w:t xml:space="preserve">multiscale bootstrap resampling (</w:t>
      </w:r>
      <w:r>
        <w:rPr>
          <w:rStyle w:val="VerbatimChar"/>
        </w:rPr>
        <w:t xml:space="preserve">pvclust</w:t>
      </w:r>
      <w:r>
        <w:t xml:space="preserve">; Suzuki &amp; Shimodaira, 2006), and</w:t>
      </w:r>
      <w:r>
        <w:t xml:space="preserve"> </w:t>
      </w:r>
      <w:r>
        <w:t xml:space="preserve">multivariate outliers by the adjusted-quantile method (Filzmoser, Garrett &amp;</w:t>
      </w:r>
      <w:r>
        <w:t xml:space="preserve"> </w:t>
      </w:r>
      <w:r>
        <w:t xml:space="preserve">Reimann, 2005). Shapefiles are read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(Pebesma, 2018) and mapped with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(Pebesma &amp; Bivand, 2005). Because the factor scores, indices and cluster labels are</w:t>
      </w:r>
      <w:r>
        <w:t xml:space="preserve"> </w:t>
      </w:r>
      <w:r>
        <w:t xml:space="preserve">written back to the attribute table, the final products are choropleth maps of the</w:t>
      </w:r>
      <w:r>
        <w:t xml:space="preserve"> </w:t>
      </w:r>
      <w:r>
        <w:t xml:space="preserve">retained factors. Analyses were run in R 4.6 (R Core Team, 2026) with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1.5; the complete script is given in Appendix A.</w:t>
      </w:r>
    </w:p>
    <w:bookmarkEnd w:id="23"/>
    <w:bookmarkStart w:id="36" w:name="results"/>
    <w:p>
      <w:pPr>
        <w:pStyle w:val="Heading2"/>
      </w:pPr>
      <w:r>
        <w:t xml:space="preserve">4. Results</w:t>
      </w:r>
    </w:p>
    <w:p>
      <w:pPr>
        <w:pStyle w:val="FirstParagraph"/>
      </w:pPr>
      <w:r>
        <w:rPr>
          <w:bCs/>
          <w:b/>
        </w:rPr>
        <w:t xml:space="preserve">Correlation structure.</w:t>
      </w:r>
      <w:r>
        <w:t xml:space="preserve"> </w:t>
      </w:r>
      <w:r>
        <w:t xml:space="preserve">The six indicators show the pattern that underlies the</w:t>
      </w:r>
      <w:r>
        <w:t xml:space="preserve"> </w:t>
      </w:r>
      <w:r>
        <w:t xml:space="preserve">paradox (Table 2). Agricultural and per-capita withdrawal are nearly</w:t>
      </w:r>
      <w:r>
        <w:t xml:space="preserve"> </w:t>
      </w:r>
      <w:r>
        <w:t xml:space="preserve">interchangeable (r = 0.99): in Africa, per-capita water use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agricultural water</w:t>
      </w:r>
      <w:r>
        <w:t xml:space="preserve"> </w:t>
      </w:r>
      <w:r>
        <w:t xml:space="preserve">use. Municipal and industrial use rise together (r = 0.75), the signature of a</w:t>
      </w:r>
      <w:r>
        <w:t xml:space="preserve"> </w:t>
      </w:r>
      <w:r>
        <w:t xml:space="preserve">developing modern economy. Critically, renewable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correlates only</w:t>
      </w:r>
      <w:r>
        <w:t xml:space="preserve"> </w:t>
      </w:r>
      <w:r>
        <w:t xml:space="preserve">−0.04 to −0.19 with every use variable:</w:t>
      </w:r>
      <w:r>
        <w:t xml:space="preserve"> </w:t>
      </w:r>
      <w:r>
        <w:rPr>
          <w:bCs/>
          <w:b/>
        </w:rPr>
        <w:t xml:space="preserve">availability and use are decoupled.</w:t>
      </w:r>
    </w:p>
    <w:p>
      <w:pPr>
        <w:pStyle w:val="BodyText"/>
      </w:pPr>
      <w:r>
        <w:rPr>
          <w:iCs/>
          <w:i/>
        </w:rPr>
        <w:t xml:space="preserve">Table 2. Pearson correlations among the six water-use indicators (n = 50).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Domestic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Agricultur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Resources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perCapitaW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perCapitaW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bCs/>
          <w:b/>
        </w:rPr>
        <w:t xml:space="preserve">Factor retention.</w:t>
      </w:r>
      <w:r>
        <w:t xml:space="preserve"> </w:t>
      </w:r>
      <w:r>
        <w:t xml:space="preserve">The first two eigenvalues exceed unity (3.36, 1.08) and</w:t>
      </w:r>
      <w:r>
        <w:t xml:space="preserve"> </w:t>
      </w:r>
      <w:r>
        <w:t xml:space="preserve">together explain 74.0% of the variation; a third (0.91) sits just below the Kaiser</w:t>
      </w:r>
      <w:r>
        <w:t xml:space="preserve"> </w:t>
      </w:r>
      <w:r>
        <w:t xml:space="preserve">threshold, and the sixth collapses to zero — the arithmetic signature of the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–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redundancy (Table 3). Two factors are retained.</w:t>
      </w:r>
    </w:p>
    <w:p>
      <w:pPr>
        <w:pStyle w:val="BodyText"/>
      </w:pPr>
      <w:r>
        <w:rPr>
          <w:iCs/>
          <w:i/>
        </w:rPr>
        <w:t xml:space="preserve">Table 3. Eigenvalues and variance explained (correlation-based scaling).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Variance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Cumulative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the factors mean.</w:t>
      </w:r>
      <w:r>
        <w:t xml:space="preserve"> </w:t>
      </w:r>
      <w:r>
        <w:t xml:space="preserve">R-mode loadings (Table 4) show that five of six</w:t>
      </w:r>
      <w:r>
        <w:t xml:space="preserve"> </w:t>
      </w:r>
      <w:r>
        <w:t xml:space="preserve">variables load strongly and negatively on Factor 1 (−0.67 to −0.91): it is a</w:t>
      </w:r>
      <w:r>
        <w:t xml:space="preserve"> </w:t>
      </w:r>
      <w:r>
        <w:t xml:space="preserve">general</w:t>
      </w:r>
      <w:r>
        <w:t xml:space="preserve"> </w:t>
      </w:r>
      <w:r>
        <w:rPr>
          <w:iCs/>
          <w:i/>
        </w:rPr>
        <w:t xml:space="preserve">scale of water use</w:t>
      </w:r>
      <w:r>
        <w:t xml:space="preserve">, dominated by agriculture.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alone loads on</w:t>
      </w:r>
      <w:r>
        <w:t xml:space="preserve"> </w:t>
      </w:r>
      <w:r>
        <w:t xml:space="preserve">Factor 2 (−0.68), which is therefore a</w:t>
      </w:r>
      <w:r>
        <w:t xml:space="preserve"> </w:t>
      </w:r>
      <w:r>
        <w:rPr>
          <w:iCs/>
          <w:i/>
        </w:rPr>
        <w:t xml:space="preserve">resource-versus-use contrast</w:t>
      </w:r>
      <w:r>
        <w:t xml:space="preserve">. The</w:t>
      </w:r>
      <w:r>
        <w:t xml:space="preserve"> </w:t>
      </w:r>
      <w:r>
        <w:t xml:space="preserve">simultaneous Q/R biplot (Figure 1) places variables and countries on these axes</w:t>
      </w:r>
      <w:r>
        <w:t xml:space="preserve"> </w:t>
      </w:r>
      <w:r>
        <w:t xml:space="preserve">together. It resolves into interpretable regions: the heavy agricultural users —</w:t>
      </w:r>
      <w:r>
        <w:t xml:space="preserve"> </w:t>
      </w:r>
      <w:r>
        <w:t xml:space="preserve">Egypt, Sudan, Madagascar, Libya, Mali, Mauritania and Swaziland — lie at the</w:t>
      </w:r>
      <w:r>
        <w:t xml:space="preserve"> </w:t>
      </w:r>
      <w:r>
        <w:t xml:space="preserve">high-use pole; the water-rich Congo and the Democratic Republic of the Congo lie</w:t>
      </w:r>
      <w:r>
        <w:t xml:space="preserve"> </w:t>
      </w:r>
      <w:r>
        <w:t xml:space="preserve">alone by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vector, with vast supply and negligible withdrawal;</w:t>
      </w:r>
      <w:r>
        <w:t xml:space="preserve"> </w:t>
      </w:r>
      <w:r>
        <w:t xml:space="preserve">Equatorial Guinea, Algeria and Botswana define a domestic/industrial tilt; and a</w:t>
      </w:r>
      <w:r>
        <w:t xml:space="preserve"> </w:t>
      </w:r>
      <w:r>
        <w:t xml:space="preserve">dense cluster of small, low-use economies fills the remainder. As Figure 1 shows,</w:t>
      </w:r>
      <w:r>
        <w:t xml:space="preserve"> </w:t>
      </w:r>
      <w:r>
        <w:t xml:space="preserve">Congo and Egypt land almost as far apart as the data allow — one holds the water,</w:t>
      </w:r>
      <w:r>
        <w:t xml:space="preserve"> </w:t>
      </w:r>
      <w:r>
        <w:t xml:space="preserve">the other uses it.</w:t>
      </w:r>
    </w:p>
    <w:p>
      <w:pPr>
        <w:pStyle w:val="BodyText"/>
      </w:pPr>
      <w:r>
        <w:rPr>
          <w:iCs/>
          <w:i/>
        </w:rPr>
        <w:t xml:space="preserve">Table 4. R-mode loadings on the first two retained factors.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Factor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Factor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perCapitaW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−0.264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. Simultaneous Q/R-mode biplot. Variables (labelled diamonds) and countries (numbered points) share the first two factor axes (Factor 1 = 56%, Factor 2 = 18%). Country 16 = Egypt, 42 = Sudan, 12 = Congo, 14 = DR Congo, 17 = Equatorial Guinea." title="" id="25" name="Picture"/>
            <a:graphic>
              <a:graphicData uri="http://schemas.openxmlformats.org/drawingml/2006/picture">
                <pic:pic>
                  <pic:nvPicPr>
                    <pic:cNvPr descr="../manual/figures/fig_simultaneou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Simultaneous Q/R-mode biplot. Variables (labelled diamonds) and countries (numbered points) share the first two factor axes (Factor 1 = 56%, Factor 2 = 18%). Country 16 = Egypt, 42 = Sudan, 12 = Congo, 14 = DR Congo, 17 = Equatorial Guinea.</w:t>
      </w:r>
    </w:p>
    <w:p>
      <w:pPr>
        <w:pStyle w:val="BodyText"/>
      </w:pPr>
      <w:r>
        <w:rPr>
          <w:bCs/>
          <w:b/>
        </w:rPr>
        <w:t xml:space="preserve">The map-first result.</w:t>
      </w:r>
      <w:r>
        <w:t xml:space="preserve"> </w:t>
      </w:r>
      <w:r>
        <w:t xml:space="preserve">Because the factor indices are written to the attribute</w:t>
      </w:r>
      <w:r>
        <w:t xml:space="preserve"> </w:t>
      </w:r>
      <w:r>
        <w:t xml:space="preserve">table, the ordination becomes a map. Figure 2 maps the Factor 1 index (overall</w:t>
      </w:r>
      <w:r>
        <w:t xml:space="preserve"> </w:t>
      </w:r>
      <w:r>
        <w:t xml:space="preserve">water use): the high-use band across Egypt, Sudan, Libya and the Sahel contrasts</w:t>
      </w:r>
      <w:r>
        <w:t xml:space="preserve"> </w:t>
      </w:r>
      <w:r>
        <w:t xml:space="preserve">with the deep lows of the Congo Basin. Figure 3 maps the Factor 2 index (the</w:t>
      </w:r>
      <w:r>
        <w:t xml:space="preserve"> </w:t>
      </w:r>
      <w:r>
        <w:t xml:space="preserve">resource contrast), a distinct geography. Together they render the paradox</w:t>
      </w:r>
      <w:r>
        <w:t xml:space="preserve"> </w:t>
      </w:r>
      <w:r>
        <w:t xml:space="preserve">spatially: the places using the most water are not the places that have it.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2. Factor 1 index (overall, agriculture-driven water use) mapped across Africa. Warmer colours denote higher use; the Congo Basin (dark) is lowest." title="" id="28" name="Picture"/>
            <a:graphic>
              <a:graphicData uri="http://schemas.openxmlformats.org/drawingml/2006/picture">
                <pic:pic>
                  <pic:nvPicPr>
                    <pic:cNvPr descr="../manual/figures/fig_map_2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Factor 1 index (overall, agriculture-driven water use) mapped across Africa. Warmer colours denote higher use; the Congo Basin (dark) is lowest.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3. Factor 2 index (the resource-versus-use contrast) mapped across Africa, showing a geography distinct from Figure 2." title="" id="31" name="Picture"/>
            <a:graphic>
              <a:graphicData uri="http://schemas.openxmlformats.org/drawingml/2006/picture">
                <pic:pic>
                  <pic:nvPicPr>
                    <pic:cNvPr descr="../manual/figures/fig_map_2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Factor 2 index (the resource-versus-use contrast) mapped across Africa, showing a geography distinct from Figure 2.</w:t>
      </w:r>
    </w:p>
    <w:p>
      <w:pPr>
        <w:pStyle w:val="BodyText"/>
      </w:pPr>
      <w:r>
        <w:rPr>
          <w:bCs/>
          <w:b/>
        </w:rPr>
        <w:t xml:space="preserve">Country profiles.</w:t>
      </w:r>
      <w:r>
        <w:t xml:space="preserve"> </w:t>
      </w:r>
      <w:r>
        <w:rPr>
          <w:rStyle w:val="VerbatimChar"/>
        </w:rPr>
        <w:t xml:space="preserve">kmeans</w:t>
      </w:r>
      <w:r>
        <w:t xml:space="preserve"> </w:t>
      </w:r>
      <w:r>
        <w:t xml:space="preserve">on the scores yields two robust groups whose mean</w:t>
      </w:r>
      <w:r>
        <w:t xml:space="preserve"> </w:t>
      </w:r>
      <w:r>
        <w:t xml:space="preserve">profiles name them (Table 5). Cluster B — the heavy users (Egypt, Sudan, Libya,</w:t>
      </w:r>
      <w:r>
        <w:t xml:space="preserve"> </w:t>
      </w:r>
      <w:r>
        <w:t xml:space="preserve">Mali, South Africa, Morocco and similar) — withdraws roughly eight times more</w:t>
      </w:r>
      <w:r>
        <w:t xml:space="preserve"> </w:t>
      </w:r>
      <w:r>
        <w:t xml:space="preserve">agricultural water per country than Cluster A, yet sits on</w:t>
      </w:r>
      <w:r>
        <w:t xml:space="preserve"> </w:t>
      </w:r>
      <w:r>
        <w:rPr>
          <w:bCs/>
          <w:b/>
        </w:rPr>
        <w:t xml:space="preserve">less than half</w:t>
      </w:r>
      <w:r>
        <w:t xml:space="preserve"> </w:t>
      </w:r>
      <w:r>
        <w:t xml:space="preserve">the</w:t>
      </w:r>
      <w:r>
        <w:t xml:space="preserve"> </w:t>
      </w:r>
      <w:r>
        <w:t xml:space="preserve">renewable resource (59 versus 128). One-way ANOVA confirms that every</w:t>
      </w:r>
      <w:r>
        <w:t xml:space="preserve"> </w:t>
      </w:r>
      <w:r>
        <w:rPr>
          <w:iCs/>
          <w:i/>
        </w:rPr>
        <w:t xml:space="preserve">use</w:t>
      </w:r>
      <w:r>
        <w:t xml:space="preserve"> </w:t>
      </w:r>
      <w:r>
        <w:t xml:space="preserve">variable separates the clusters at p &lt; 0.001, whereas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does not</w:t>
      </w:r>
      <w:r>
        <w:t xml:space="preserve"> </w:t>
      </w:r>
      <w:r>
        <w:t xml:space="preserve">(F = 0.90, p = 0.35): the split is defined by consumption, not endowment, exactly</w:t>
      </w:r>
      <w:r>
        <w:t xml:space="preserve"> </w:t>
      </w:r>
      <w:r>
        <w:t xml:space="preserve">as Factor 1 implied. Kruskal–Wallis tests agree. The clustering is visualised in</w:t>
      </w:r>
      <w:r>
        <w:t xml:space="preserve"> </w:t>
      </w:r>
      <w:r>
        <w:t xml:space="preserve">Figure 4.</w:t>
      </w:r>
    </w:p>
    <w:p>
      <w:pPr>
        <w:pStyle w:val="BodyText"/>
      </w:pPr>
      <w:r>
        <w:rPr>
          <w:iCs/>
          <w:i/>
        </w:rPr>
        <w:t xml:space="preserve">Table 5. Cluster mean profiles and one-way ANOVA of group separation.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Cluster A (light)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Cluster B (heavy)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(1,48)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7.8×10⁻⁹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2.4×10⁻⁸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2.7×10⁻¹⁰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1.7×10⁻⁴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perCapitaW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1.1×10⁻¹²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 (n.s.)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4. Cluster ordination (clusplot) of the 50 countries on the retained factors, with group hulls. Cluster stability was confirmed by multiscale bootstrap resampling." title="" id="34" name="Picture"/>
            <a:graphic>
              <a:graphicData uri="http://schemas.openxmlformats.org/drawingml/2006/picture">
                <pic:pic>
                  <pic:nvPicPr>
                    <pic:cNvPr descr="../manual/figures/fig_cluster_0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Cluster ordination (clusplot) of the 50 countries on the retained factors, with group hulls. Cluster stability was confirmed by multiscale bootstrap resampling.</w:t>
      </w:r>
    </w:p>
    <w:bookmarkEnd w:id="36"/>
    <w:bookmarkStart w:id="37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rPr>
          <w:bCs/>
          <w:b/>
        </w:rPr>
        <w:t xml:space="preserve">The paradox, measured.</w:t>
      </w:r>
      <w:r>
        <w:t xml:space="preserve"> </w:t>
      </w:r>
      <w:r>
        <w:t xml:space="preserve">The analysis converts a rhetorical claim into a</w:t>
      </w:r>
      <w:r>
        <w:t xml:space="preserve"> </w:t>
      </w:r>
      <w:r>
        <w:t xml:space="preserve">measurement. Water use in Africa is a single dominant axis (56% of the variance),</w:t>
      </w:r>
      <w:r>
        <w:t xml:space="preserve"> </w:t>
      </w:r>
      <w:r>
        <w:t xml:space="preserve">driven overwhelmingly by agriculture; water</w:t>
      </w:r>
      <w:r>
        <w:t xml:space="preserve"> </w:t>
      </w:r>
      <w:r>
        <w:rPr>
          <w:iCs/>
          <w:i/>
        </w:rPr>
        <w:t xml:space="preserve">availability</w:t>
      </w:r>
      <w:r>
        <w:t xml:space="preserve"> </w:t>
      </w:r>
      <w:r>
        <w:t xml:space="preserve">is a nearly independent</w:t>
      </w:r>
      <w:r>
        <w:t xml:space="preserve"> </w:t>
      </w:r>
      <w:r>
        <w:t xml:space="preserve">second axis (18%); and the two are statistically decoupled (Table 2). The clustering</w:t>
      </w:r>
      <w:r>
        <w:t xml:space="preserve"> </w:t>
      </w:r>
      <w:r>
        <w:t xml:space="preserve">sharpens the point: the countries drawing the most water are, on average, the least</w:t>
      </w:r>
      <w:r>
        <w:t xml:space="preserve"> </w:t>
      </w:r>
      <w:r>
        <w:t xml:space="preserve">resource-endowed (Table 5, Figures 2–3). Egypt, Sudan, Libya and Mali abstract</w:t>
      </w:r>
      <w:r>
        <w:t xml:space="preserve"> </w:t>
      </w:r>
      <w:r>
        <w:t xml:space="preserve">heavily against limited renewable supply, while Congo and the DRC hold abundant</w:t>
      </w:r>
      <w:r>
        <w:t xml:space="preserve"> </w:t>
      </w:r>
      <w:r>
        <w:t xml:space="preserve">water they scarcely use. For the water paradox, both halves are true — of different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Cs/>
          <w:b/>
        </w:rPr>
        <w:t xml:space="preserve">Policy reading.</w:t>
      </w:r>
      <w:r>
        <w:t xml:space="preserve"> </w:t>
      </w:r>
      <w:r>
        <w:t xml:space="preserve">The decoupling implies that continental averages mislead:</w:t>
      </w:r>
      <w:r>
        <w:t xml:space="preserve"> </w:t>
      </w:r>
      <w:r>
        <w:t xml:space="preserve">“</w:t>
      </w:r>
      <w:r>
        <w:t xml:space="preserve">Africa has enough water</w:t>
      </w:r>
      <w:r>
        <w:t xml:space="preserve">”</w:t>
      </w:r>
      <w:r>
        <w:t xml:space="preserve"> </w:t>
      </w:r>
      <w:r>
        <w:t xml:space="preserve">is a statement about endowment (Cluster A, the Congo</w:t>
      </w:r>
      <w:r>
        <w:t xml:space="preserve"> </w:t>
      </w:r>
      <w:r>
        <w:t xml:space="preserve">Basin) that says nothing about the stressed heavy users (Cluster B). Interventions —</w:t>
      </w:r>
      <w:r>
        <w:t xml:space="preserve"> </w:t>
      </w:r>
      <w:r>
        <w:t xml:space="preserve">irrigation efficiency, transfer infrastructure, demand management — should be</w:t>
      </w:r>
      <w:r>
        <w:t xml:space="preserve"> </w:t>
      </w:r>
      <w:r>
        <w:t xml:space="preserve">targeted to the Factor 1 high-use, low-resource band that Figures 2–3 delineate,</w:t>
      </w:r>
      <w:r>
        <w:t xml:space="preserve"> </w:t>
      </w:r>
      <w:r>
        <w:t xml:space="preserve">not applied at a continental scale. The map-first output is directly usable for such</w:t>
      </w:r>
      <w:r>
        <w:t xml:space="preserve"> </w:t>
      </w:r>
      <w:r>
        <w:t xml:space="preserve">targeting.</w:t>
      </w:r>
    </w:p>
    <w:p>
      <w:pPr>
        <w:pStyle w:val="BodyText"/>
      </w:pPr>
      <w:r>
        <w:rPr>
          <w:bCs/>
          <w:b/>
        </w:rPr>
        <w:t xml:space="preserve">Methodological position.</w:t>
      </w:r>
      <w:r>
        <w:t xml:space="preserve"> </w:t>
      </w:r>
      <w:r>
        <w:t xml:space="preserve">We deliberately do not claim a new estimator. Linking</w:t>
      </w:r>
      <w:r>
        <w:t xml:space="preserve"> </w:t>
      </w:r>
      <w:r>
        <w:t xml:space="preserve">multivariate structure to spatial pattern dates to Wartenberg (1985) and is well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multispati</w:t>
      </w:r>
      <w:r>
        <w:t xml:space="preserve"> </w:t>
      </w:r>
      <w:r>
        <w:t xml:space="preserve">and its descendants (Dray et al., 2008). The contribution</w:t>
      </w:r>
      <w:r>
        <w:t xml:space="preserve"> </w:t>
      </w:r>
      <w:r>
        <w:t xml:space="preserve">here is</w:t>
      </w:r>
      <w:r>
        <w:t xml:space="preserve"> </w:t>
      </w:r>
      <w:r>
        <w:rPr>
          <w:iCs/>
          <w:i/>
        </w:rPr>
        <w:t xml:space="preserve">workflow</w:t>
      </w:r>
      <w:r>
        <w:t xml:space="preserve">: simultaneous Q- and R-mode analysis, indices, clustering,</w:t>
      </w:r>
      <w:r>
        <w:t xml:space="preserve"> </w:t>
      </w:r>
      <w:r>
        <w:t xml:space="preserve">cluster testing and choropleth mapping from one reproducible call, with results</w:t>
      </w:r>
      <w:r>
        <w:t xml:space="preserve"> </w:t>
      </w:r>
      <w:r>
        <w:t xml:space="preserve">written back to the geography (Table 1). For the applied water scientist that</w:t>
      </w:r>
      <w:r>
        <w:t xml:space="preserve"> </w:t>
      </w:r>
      <w:r>
        <w:t xml:space="preserve">integration — not a new algorithm — is the practical advance.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Four are material. (i)</w:t>
      </w:r>
      <w:r>
        <w:t xml:space="preserve"> </w:t>
      </w:r>
      <w:r>
        <w:rPr>
          <w:iCs/>
          <w:i/>
        </w:rPr>
        <w:t xml:space="preserve">Data vintage.</w:t>
      </w:r>
      <w:r>
        <w:t xml:space="preserve"> </w:t>
      </w:r>
      <w:r>
        <w:t xml:space="preserve">The cross-section analysed</w:t>
      </w:r>
      <w:r>
        <w:t xml:space="preserve"> </w:t>
      </w:r>
      <w:r>
        <w:t xml:space="preserve">here is a circa-2000 AQUASTAT compilation; the substantive numbers must be</w:t>
      </w:r>
      <w:r>
        <w:t xml:space="preserve"> </w:t>
      </w:r>
      <w:r>
        <w:t xml:space="preserve">re-confirmed on the current AQUASTAT extract, obtained reproducibly by the script in</w:t>
      </w:r>
      <w:r>
        <w:t xml:space="preserve"> </w:t>
      </w:r>
      <w:r>
        <w:t xml:space="preserve">Appendix A, before any policy weight is placed on specific countries. (ii)</w:t>
      </w:r>
      <w:r>
        <w:t xml:space="preserve"> </w:t>
      </w:r>
      <w:r>
        <w:rPr>
          <w:iCs/>
          <w:i/>
        </w:rPr>
        <w:t xml:space="preserve">Collinearity.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are near-duplicates (r = 0.99),</w:t>
      </w:r>
      <w:r>
        <w:t xml:space="preserve"> </w:t>
      </w:r>
      <w:r>
        <w:t xml:space="preserve">inflating agriculture’s role and collapsing the final factor; one of the pair should</w:t>
      </w:r>
      <w:r>
        <w:t xml:space="preserve"> </w:t>
      </w:r>
      <w:r>
        <w:t xml:space="preserve">be dropped in confirmatory work. (iii)</w:t>
      </w:r>
      <w:r>
        <w:t xml:space="preserve"> </w:t>
      </w:r>
      <w:r>
        <w:rPr>
          <w:iCs/>
          <w:i/>
        </w:rPr>
        <w:t xml:space="preserve">Cross-sectional inference.</w:t>
      </w:r>
      <w:r>
        <w:t xml:space="preserve"> </w:t>
      </w:r>
      <w:r>
        <w:t xml:space="preserve">These are</w:t>
      </w:r>
      <w:r>
        <w:t xml:space="preserve"> </w:t>
      </w:r>
      <w:r>
        <w:t xml:space="preserve">associations in a single snapshot of 50 countries, not causal claims; the drivers of</w:t>
      </w:r>
      <w:r>
        <w:t xml:space="preserve"> </w:t>
      </w:r>
      <w:r>
        <w:t xml:space="preserve">the decoupling (climate, economy, irrigation policy, data year) are for domain</w:t>
      </w:r>
      <w:r>
        <w:t xml:space="preserve"> </w:t>
      </w:r>
      <w:r>
        <w:t xml:space="preserve">analysis, not the factor model. (iv)</w:t>
      </w:r>
      <w:r>
        <w:t xml:space="preserve"> </w:t>
      </w:r>
      <w:r>
        <w:rPr>
          <w:iCs/>
          <w:i/>
        </w:rPr>
        <w:t xml:space="preserve">Spatial autocorrelation not yet tested.</w:t>
      </w:r>
      <w:r>
        <w:t xml:space="preserve"> </w:t>
      </w:r>
      <w:r>
        <w:t xml:space="preserve">The</w:t>
      </w:r>
      <w:r>
        <w:t xml:space="preserve"> </w:t>
      </w:r>
      <w:r>
        <w:t xml:space="preserve">maps display clear regional pattern, but we have not formally tested whether the</w:t>
      </w:r>
      <w:r>
        <w:t xml:space="preserve"> </w:t>
      </w:r>
      <w:r>
        <w:t xml:space="preserve">factor indices are spatially clustered.</w:t>
      </w:r>
    </w:p>
    <w:p>
      <w:pPr>
        <w:pStyle w:val="BodyText"/>
      </w:pPr>
      <w:r>
        <w:rPr>
          <w:bCs/>
          <w:b/>
        </w:rPr>
        <w:t xml:space="preserve">Future work.</w:t>
      </w:r>
      <w:r>
        <w:t xml:space="preserve"> </w:t>
      </w:r>
      <w:r>
        <w:t xml:space="preserve">The natural next step is a global Moran’s I and local (LISA) test of</w:t>
      </w:r>
      <w:r>
        <w:t xml:space="preserve"> </w:t>
      </w:r>
      <w:r>
        <w:t xml:space="preserve">the factor indices, built from the country adjacency graph (</w:t>
      </w:r>
      <w:r>
        <w:rPr>
          <w:rStyle w:val="VerbatimChar"/>
        </w:rPr>
        <w:t xml:space="preserve">spdep</w:t>
      </w:r>
      <w:r>
        <w:t xml:space="preserve">), to establish</w:t>
      </w:r>
      <w:r>
        <w:t xml:space="preserve"> </w:t>
      </w:r>
      <w:r>
        <w:t xml:space="preserve">spatial-clustering significance and identify hot- and cold-spots — a capability</w:t>
      </w:r>
      <w:r>
        <w:t xml:space="preserve"> </w:t>
      </w:r>
      <w:r>
        <w:t xml:space="preserve">planned for the workflow. A refreshed, multi-year AQUASTAT extract would also permit</w:t>
      </w:r>
      <w:r>
        <w:t xml:space="preserve"> </w:t>
      </w:r>
      <w:r>
        <w:t xml:space="preserve">tracking whether the use–availability decoupling is widening.</w:t>
      </w:r>
    </w:p>
    <w:bookmarkEnd w:id="37"/>
    <w:bookmarkStart w:id="38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set out to test the African water paradox and to demonstrate a</w:t>
      </w:r>
      <w:r>
        <w:t xml:space="preserve"> </w:t>
      </w:r>
      <w:r>
        <w:t xml:space="preserve">reproducible, map-first workflow for doing so. Simultaneous Q- and R-mode factor</w:t>
      </w:r>
      <w:r>
        <w:t xml:space="preserve"> </w:t>
      </w:r>
      <w:r>
        <w:t xml:space="preserve">analysis of six water-use indicators across 50 countries reduces to two</w:t>
      </w:r>
      <w:r>
        <w:t xml:space="preserve"> </w:t>
      </w:r>
      <w:r>
        <w:t xml:space="preserve">interpretable axes — an agriculture-driven scale of use (56%) and a</w:t>
      </w:r>
      <w:r>
        <w:t xml:space="preserve"> </w:t>
      </w:r>
      <w:r>
        <w:t xml:space="preserve">resource-versus-use contrast (18%) — that are statistically decoupled, and to two</w:t>
      </w:r>
      <w:r>
        <w:t xml:space="preserve"> </w:t>
      </w:r>
      <w:r>
        <w:t xml:space="preserve">country profiles whose heavy users hold less than half the renewable resource of</w:t>
      </w:r>
      <w:r>
        <w:t xml:space="preserve"> </w:t>
      </w:r>
      <w:r>
        <w:t xml:space="preserve">the light users. The paradox is therefore real, and geographic: abundance and</w:t>
      </w:r>
      <w:r>
        <w:t xml:space="preserve"> </w:t>
      </w:r>
      <w:r>
        <w:t xml:space="preserve">stress describe different countries, mapped in Figures 2 and 3. Methodologically,</w:t>
      </w:r>
      <w:r>
        <w:t xml:space="preserve"> </w:t>
      </w:r>
      <w:r>
        <w:t xml:space="preserve">the value is integration: one call moved the analysis from table to map, with every</w:t>
      </w:r>
      <w:r>
        <w:t xml:space="preserve"> </w:t>
      </w:r>
      <w:r>
        <w:t xml:space="preserve">quantity written back to the geography and the whole pipeline reproducible from</w:t>
      </w:r>
      <w:r>
        <w:t xml:space="preserve"> </w:t>
      </w:r>
      <w:r>
        <w:t xml:space="preserve">public data. As African water planning grows more data-driven, workflows that reach</w:t>
      </w:r>
      <w:r>
        <w:t xml:space="preserve"> </w:t>
      </w:r>
      <w:r>
        <w:t xml:space="preserve">a map — not just a table — will make the difference between analysis and action.</w:t>
      </w:r>
    </w:p>
    <w:bookmarkEnd w:id="38"/>
    <w:bookmarkStart w:id="3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thanks the FAO AQUASTAT programme for open access to the underlying data,</w:t>
      </w:r>
      <w:r>
        <w:t xml:space="preserve"> </w:t>
      </w:r>
      <w:r>
        <w:t xml:space="preserve">and the R spatial community for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sp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pvclust</w:t>
      </w:r>
      <w:r>
        <w:t xml:space="preserve"> </w:t>
      </w:r>
      <w:r>
        <w:t xml:space="preserve">packages on</w:t>
      </w:r>
      <w:r>
        <w:t xml:space="preserve"> </w:t>
      </w:r>
      <w:r>
        <w:t xml:space="preserve">which the workflow builds. 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package and the scripts reproducing every</w:t>
      </w:r>
      <w:r>
        <w:t xml:space="preserve"> </w:t>
      </w:r>
      <w:r>
        <w:t xml:space="preserve">table and figure in this paper are openly available (Appendix A). The author declares</w:t>
      </w:r>
      <w:r>
        <w:t xml:space="preserve"> </w:t>
      </w:r>
      <w:r>
        <w:t xml:space="preserve">no conflict of interest.</w:t>
      </w:r>
      <w:r>
        <w:t xml:space="preserve"> </w:t>
      </w:r>
      <w:r>
        <w:rPr>
          <w:iCs/>
          <w:i/>
        </w:rPr>
        <w:t xml:space="preserve">[Add funding/grant details if applicable.]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[The list below is a real, curated starting bibliography. Verify each against the</w:t>
      </w:r>
      <w:r>
        <w:rPr>
          <w:iCs/>
          <w:i/>
        </w:rPr>
        <w:t xml:space="preserve"> </w:t>
      </w:r>
      <w:r>
        <w:rPr>
          <w:iCs/>
          <w:i/>
        </w:rPr>
        <w:t xml:space="preserve">target journal’s style, and expand to the journal’s expected 30–80 entries — in</w:t>
      </w:r>
      <w:r>
        <w:rPr>
          <w:iCs/>
          <w:i/>
        </w:rPr>
        <w:t xml:space="preserve"> </w:t>
      </w:r>
      <w:r>
        <w:rPr>
          <w:iCs/>
          <w:i/>
        </w:rPr>
        <w:t xml:space="preserve">particular, add the applied Q/R-mode hydrochemistry studies (e.g. northern Volta</w:t>
      </w:r>
      <w:r>
        <w:rPr>
          <w:iCs/>
          <w:i/>
        </w:rPr>
        <w:t xml:space="preserve"> </w:t>
      </w:r>
      <w:r>
        <w:rPr>
          <w:iCs/>
          <w:i/>
        </w:rPr>
        <w:t xml:space="preserve">region, Ghana; Nethravathi catchment, India; Cariri Valley, Brazil), whose exact</w:t>
      </w:r>
      <w:r>
        <w:rPr>
          <w:iCs/>
          <w:i/>
        </w:rPr>
        <w:t xml:space="preserve"> </w:t>
      </w:r>
      <w:r>
        <w:rPr>
          <w:iCs/>
          <w:i/>
        </w:rPr>
        <w:t xml:space="preserve">bibliographic details should be confirmed.]</w:t>
      </w:r>
    </w:p>
    <w:p>
      <w:pPr>
        <w:numPr>
          <w:ilvl w:val="0"/>
          <w:numId w:val="1001"/>
        </w:numPr>
        <w:pStyle w:val="Compact"/>
      </w:pPr>
      <w:r>
        <w:t xml:space="preserve">Bivand, R. S., Pebesma, E. J., &amp; Gómez-Rubio, V. (2013).</w:t>
      </w:r>
      <w:r>
        <w:t xml:space="preserve"> </w:t>
      </w:r>
      <w:r>
        <w:rPr>
          <w:iCs/>
          <w:i/>
        </w:rPr>
        <w:t xml:space="preserve">Applied Spatial Data Analysis with R</w:t>
      </w:r>
      <w:r>
        <w:t xml:space="preserve"> </w:t>
      </w:r>
      <w:r>
        <w:t xml:space="preserve">(2nd ed.). Springer.</w:t>
      </w:r>
    </w:p>
    <w:p>
      <w:pPr>
        <w:numPr>
          <w:ilvl w:val="0"/>
          <w:numId w:val="1001"/>
        </w:numPr>
        <w:pStyle w:val="Compact"/>
      </w:pPr>
      <w:r>
        <w:t xml:space="preserve">Cattell, R. B. (1966). The scree test for the number of factors.</w:t>
      </w:r>
      <w:r>
        <w:t xml:space="preserve"> </w:t>
      </w:r>
      <w:r>
        <w:rPr>
          <w:iCs/>
          <w:i/>
        </w:rPr>
        <w:t xml:space="preserve">Multivariate Behavioral Research</w:t>
      </w:r>
      <w:r>
        <w:t xml:space="preserve">, 1(2), 245–276.</w:t>
      </w:r>
    </w:p>
    <w:p>
      <w:pPr>
        <w:numPr>
          <w:ilvl w:val="0"/>
          <w:numId w:val="1001"/>
        </w:numPr>
        <w:pStyle w:val="Compact"/>
      </w:pPr>
      <w:r>
        <w:t xml:space="preserve">Davis, J. C. (2002).</w:t>
      </w:r>
      <w:r>
        <w:t xml:space="preserve"> </w:t>
      </w:r>
      <w:r>
        <w:rPr>
          <w:iCs/>
          <w:i/>
        </w:rPr>
        <w:t xml:space="preserve">Statistics and Data Analysis in Geology</w:t>
      </w:r>
      <w:r>
        <w:t xml:space="preserve"> </w:t>
      </w:r>
      <w:r>
        <w:t xml:space="preserve">(3rd ed.). Wiley.</w:t>
      </w:r>
    </w:p>
    <w:p>
      <w:pPr>
        <w:numPr>
          <w:ilvl w:val="0"/>
          <w:numId w:val="1001"/>
        </w:numPr>
        <w:pStyle w:val="Compact"/>
      </w:pPr>
      <w:r>
        <w:t xml:space="preserve">Dray, S., Saïd, S., &amp; Débias, F. (2008). Spatial ordination of vegetation data using a generalization of Wartenberg’s multivariate spatial correlation.</w:t>
      </w:r>
      <w:r>
        <w:t xml:space="preserve"> </w:t>
      </w:r>
      <w:r>
        <w:rPr>
          <w:iCs/>
          <w:i/>
        </w:rPr>
        <w:t xml:space="preserve">Journal of Vegetation Science</w:t>
      </w:r>
      <w:r>
        <w:t xml:space="preserve">, 19(1), 45–56.</w:t>
      </w:r>
    </w:p>
    <w:p>
      <w:pPr>
        <w:numPr>
          <w:ilvl w:val="0"/>
          <w:numId w:val="1001"/>
        </w:numPr>
        <w:pStyle w:val="Compact"/>
      </w:pPr>
      <w:r>
        <w:t xml:space="preserve">FAO (2026).</w:t>
      </w:r>
      <w:r>
        <w:t xml:space="preserve"> </w:t>
      </w:r>
      <w:r>
        <w:rPr>
          <w:iCs/>
          <w:i/>
        </w:rPr>
        <w:t xml:space="preserve">AQUASTAT — FAO’s Global Information System on Water and Agriculture: Water withdrawal by sector.</w:t>
      </w:r>
      <w:r>
        <w:t xml:space="preserve"> </w:t>
      </w:r>
      <w:r>
        <w:t xml:space="preserve">Rome: Food and Agriculture Organization of the United Nations. https://data.apps.fao.org/aquastat/</w:t>
      </w:r>
    </w:p>
    <w:p>
      <w:pPr>
        <w:numPr>
          <w:ilvl w:val="0"/>
          <w:numId w:val="1001"/>
        </w:numPr>
        <w:pStyle w:val="Compact"/>
      </w:pPr>
      <w:r>
        <w:t xml:space="preserve">Filzmoser, P., Garrett, R. G., &amp; Reimann, C. (2005). Multivariate outlier detection in exploration geochemistry.</w:t>
      </w:r>
      <w:r>
        <w:t xml:space="preserve"> </w:t>
      </w:r>
      <w:r>
        <w:rPr>
          <w:iCs/>
          <w:i/>
        </w:rPr>
        <w:t xml:space="preserve">Computers &amp; Geosciences</w:t>
      </w:r>
      <w:r>
        <w:t xml:space="preserve">, 31(5), 579–587.</w:t>
      </w:r>
    </w:p>
    <w:p>
      <w:pPr>
        <w:numPr>
          <w:ilvl w:val="0"/>
          <w:numId w:val="1001"/>
        </w:numPr>
        <w:pStyle w:val="Compact"/>
      </w:pPr>
      <w:r>
        <w:t xml:space="preserve">Kaiser, H. F. (1960). The application of electronic computers to factor analysis.</w:t>
      </w:r>
      <w:r>
        <w:t xml:space="preserve"> </w:t>
      </w:r>
      <w:r>
        <w:rPr>
          <w:iCs/>
          <w:i/>
        </w:rPr>
        <w:t xml:space="preserve">Educational and Psychological Measurement</w:t>
      </w:r>
      <w:r>
        <w:t xml:space="preserve">, 20(1), 141–151.</w:t>
      </w:r>
    </w:p>
    <w:p>
      <w:pPr>
        <w:numPr>
          <w:ilvl w:val="0"/>
          <w:numId w:val="1001"/>
        </w:numPr>
        <w:pStyle w:val="Compac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qrfactor: Simultaneous Q-mode and R-mode factor analysis for spatial data.</w:t>
      </w:r>
      <w:r>
        <w:t xml:space="preserve"> </w:t>
      </w:r>
      <w:r>
        <w:t xml:space="preserve">R package version 1.5. https://github.com/gowusu/qrfactor</w:t>
      </w:r>
    </w:p>
    <w:p>
      <w:pPr>
        <w:numPr>
          <w:ilvl w:val="0"/>
          <w:numId w:val="1001"/>
        </w:numPr>
        <w:pStyle w:val="Compact"/>
      </w:pPr>
      <w:r>
        <w:t xml:space="preserve">Pebesma, E. (2018). Simple Features for R: Standardized support for spatial vector data.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, 10(1), 439–446.</w:t>
      </w:r>
    </w:p>
    <w:p>
      <w:pPr>
        <w:numPr>
          <w:ilvl w:val="0"/>
          <w:numId w:val="1001"/>
        </w:numPr>
        <w:pStyle w:val="Compact"/>
      </w:pPr>
      <w:r>
        <w:t xml:space="preserve">Pebesma, E. J., &amp; Bivand, R. S. (2005). Classes and methods for spatial data in R.</w:t>
      </w:r>
      <w:r>
        <w:t xml:space="preserve"> </w:t>
      </w:r>
      <w:r>
        <w:rPr>
          <w:iCs/>
          <w:i/>
        </w:rPr>
        <w:t xml:space="preserve">R News</w:t>
      </w:r>
      <w:r>
        <w:t xml:space="preserve">, 5(2), 9–13.</w:t>
      </w:r>
    </w:p>
    <w:p>
      <w:pPr>
        <w:numPr>
          <w:ilvl w:val="0"/>
          <w:numId w:val="1001"/>
        </w:numPr>
        <w:pStyle w:val="Compact"/>
      </w:pPr>
      <w:r>
        <w:t xml:space="preserve">R Core Team (2026).</w:t>
      </w:r>
      <w:r>
        <w:t xml:space="preserve"> </w:t>
      </w:r>
      <w:r>
        <w:rPr>
          <w:iCs/>
          <w:i/>
        </w:rPr>
        <w:t xml:space="preserve">R: A Language and Environment for Statistical Computing.</w:t>
      </w:r>
      <w:r>
        <w:t xml:space="preserve"> </w:t>
      </w:r>
      <w:r>
        <w:t xml:space="preserve">Vienna: R Foundation for Statistical Computing.</w:t>
      </w:r>
    </w:p>
    <w:p>
      <w:pPr>
        <w:numPr>
          <w:ilvl w:val="0"/>
          <w:numId w:val="1001"/>
        </w:numPr>
        <w:pStyle w:val="Compact"/>
      </w:pPr>
      <w:r>
        <w:t xml:space="preserve">Rencher, A. C. (2002).</w:t>
      </w:r>
      <w:r>
        <w:t xml:space="preserve"> </w:t>
      </w:r>
      <w:r>
        <w:rPr>
          <w:iCs/>
          <w:i/>
        </w:rPr>
        <w:t xml:space="preserve">Methods of Multivariate Analysis</w:t>
      </w:r>
      <w:r>
        <w:t xml:space="preserve"> </w:t>
      </w:r>
      <w:r>
        <w:t xml:space="preserve">(2nd ed.). Wiley.</w:t>
      </w:r>
    </w:p>
    <w:p>
      <w:pPr>
        <w:numPr>
          <w:ilvl w:val="0"/>
          <w:numId w:val="1001"/>
        </w:numPr>
        <w:pStyle w:val="Compact"/>
      </w:pPr>
      <w:r>
        <w:t xml:space="preserve">Reyment, R. A., &amp; Jöreskog, K. G. (1993).</w:t>
      </w:r>
      <w:r>
        <w:t xml:space="preserve"> </w:t>
      </w:r>
      <w:r>
        <w:rPr>
          <w:iCs/>
          <w:i/>
        </w:rPr>
        <w:t xml:space="preserve">Applied Factor Analysis in the Natural Sciences.</w:t>
      </w:r>
      <w:r>
        <w:t xml:space="preserve"> </w:t>
      </w:r>
      <w:r>
        <w:t xml:space="preserve">Cambridge University Press.</w:t>
      </w:r>
    </w:p>
    <w:p>
      <w:pPr>
        <w:numPr>
          <w:ilvl w:val="0"/>
          <w:numId w:val="1001"/>
        </w:numPr>
        <w:pStyle w:val="Compact"/>
      </w:pPr>
      <w:r>
        <w:t xml:space="preserve">Suzuki, R., &amp; Shimodaira, H. (2006). Pvclust: an R package for assessing the uncertainty in hierarchical clustering.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, 22(12), 1540–1542.</w:t>
      </w:r>
    </w:p>
    <w:p>
      <w:pPr>
        <w:numPr>
          <w:ilvl w:val="0"/>
          <w:numId w:val="1001"/>
        </w:numPr>
        <w:pStyle w:val="Compact"/>
      </w:pPr>
      <w:r>
        <w:t xml:space="preserve">Wartenberg, D. (1985). Multivariate spatial correlation: A method for exploratory geographical analysis.</w:t>
      </w:r>
      <w:r>
        <w:t xml:space="preserve"> </w:t>
      </w:r>
      <w:r>
        <w:rPr>
          <w:iCs/>
          <w:i/>
        </w:rPr>
        <w:t xml:space="preserve">Geographical Analysis</w:t>
      </w:r>
      <w:r>
        <w:t xml:space="preserve">, 17(4), 263–283.</w:t>
      </w:r>
    </w:p>
    <w:bookmarkEnd w:id="40"/>
    <w:bookmarkStart w:id="41" w:name="appendix-a-reproducibility"/>
    <w:p>
      <w:pPr>
        <w:pStyle w:val="Heading2"/>
      </w:pPr>
      <w:r>
        <w:t xml:space="preserve">Appendix A — Reproducibility</w:t>
      </w:r>
    </w:p>
    <w:p>
      <w:pPr>
        <w:pStyle w:val="FirstParagraph"/>
      </w:pPr>
      <w:r>
        <w:t xml:space="preserve">The complete analysis reproduces from public data. The refreshed dataset is built by</w:t>
      </w:r>
      <w:r>
        <w:t xml:space="preserve"> </w:t>
      </w:r>
      <w:r>
        <w:rPr>
          <w:rStyle w:val="VerbatimChar"/>
        </w:rPr>
        <w:t xml:space="preserve">paper/build_paper3_data.R</w:t>
      </w:r>
      <w:r>
        <w:t xml:space="preserve">, which downloads the current AQUASTAT withdrawal series</w:t>
      </w:r>
      <w:r>
        <w:t xml:space="preserve"> </w:t>
      </w:r>
      <w:r>
        <w:t xml:space="preserve">and assembles the analysis table; the analysis itself is a single call: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(qrfactor)</w:t>
      </w:r>
      <w:r>
        <w:br/>
      </w:r>
      <w:r>
        <w:rPr>
          <w:rStyle w:val="CommentTok"/>
        </w:rPr>
        <w:t xml:space="preserve"># `dat` = the AQUASTAT table (columns: Domestic, Industry, Agricultur,</w:t>
      </w:r>
      <w:r>
        <w:br/>
      </w:r>
      <w:r>
        <w:rPr>
          <w:rStyle w:val="CommentTok"/>
        </w:rPr>
        <w:t xml:space="preserve">#          Resources, withdrawal, perCapitaW) for the 50 countries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(dat[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"Industry"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"Agricultur"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"perCapitaW"</w:t>
      </w:r>
      <w:r>
        <w:rPr>
          <w:rStyle w:val="NormalTok"/>
        </w:rPr>
        <w:t xml:space="preserve">)])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(m)                     </w:t>
      </w:r>
      <w:r>
        <w:rPr>
          <w:rStyle w:val="CommentTok"/>
        </w:rPr>
        <w:t xml:space="preserve"># Tables 3 and 4</w:t>
      </w:r>
      <w:r>
        <w:br/>
      </w:r>
      <w:r>
        <w:rPr>
          <w:rStyle w:val="NormalTok"/>
        </w:rPr>
        <w:t xml:space="preserve">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correlation                  </w:t>
      </w:r>
      <w:r>
        <w:rPr>
          <w:rStyle w:val="CommentTok"/>
        </w:rPr>
        <w:t xml:space="preserve"># Table 2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rowname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Figure 1 (biplot)</w:t>
      </w:r>
      <w:r>
        <w:br/>
      </w:r>
      <w:r>
        <w:br/>
      </w:r>
      <w:r>
        <w:rPr>
          <w:rStyle w:val="CommentTok"/>
        </w:rPr>
        <w:t xml:space="preserve"># spatial version: scores/indices/clusters written back to the map</w:t>
      </w:r>
      <w:r>
        <w:br/>
      </w:r>
      <w:r>
        <w:rPr>
          <w:rStyle w:val="NormalTok"/>
        </w:rPr>
        <w:t xml:space="preserve">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(shapefile_dir,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"Africanfreshwater"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"Industry"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"Agricultur"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"perCapitaW"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(sm,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Figures 2-3 (factor-index choropleths)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(sm,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Figure 4 (clusplot) + Table 5 (ANOVA)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Simultaneous Q- and R-Mode Factor Analysis of Water Use Across African Countries: A Reproducible, Map-First Workflow</dc:title>
  <dc:creator>George Owusu — Department of Geography and Resource Development, University of Ghana</dc:creator>
  <cp:keywords/>
  <dcterms:created xsi:type="dcterms:W3CDTF">2026-07-24T15:46:21Z</dcterms:created>
  <dcterms:modified xsi:type="dcterms:W3CDTF">2026-07-24T15:46:21Z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</Properties>
</file>