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vec5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b w:val="0"/>
          <w:i w:val="0"/>
          <w:sz w:val="28"/>
        </w:rPr>
        <w:t>Северо-Кавказский федеральный университет</w:t>
      </w:r>
    </w:p>
    <w:p>
      <w:pPr>
        <w:ind w:firstLine="0"/>
        <w:jc w:val="center"/>
      </w:pPr>
    </w:p>
    <w:p>
      <w:pPr>
        <w:ind w:firstLine="0"/>
        <w:jc w:val="center"/>
      </w:pPr>
      <w:r>
        <w:rPr>
          <w:b/>
          <w:i w:val="0"/>
          <w:sz w:val="28"/>
        </w:rPr>
        <w:t>ДОКЛАД</w:t>
      </w:r>
    </w:p>
    <w:p>
      <w:pPr>
        <w:ind w:firstLine="0"/>
        <w:jc w:val="center"/>
      </w:pPr>
      <w:r>
        <w:rPr>
          <w:b/>
          <w:i w:val="0"/>
          <w:sz w:val="28"/>
        </w:rPr>
        <w:t>Администрации АО «Невинномысский Азот»</w:t>
      </w:r>
    </w:p>
    <w:p>
      <w:pPr>
        <w:ind w:firstLine="0"/>
        <w:jc w:val="center"/>
      </w:pPr>
    </w:p>
    <w:p>
      <w:pPr>
        <w:ind w:firstLine="0"/>
        <w:jc w:val="center"/>
      </w:pPr>
      <w:r>
        <w:rPr>
          <w:b/>
          <w:i w:val="0"/>
          <w:sz w:val="28"/>
        </w:rPr>
        <w:t>ВЫИГРЫШ АО «НЕВИННОМЫССКИЙ АЗОТ» ОТ ЗАПУСКА ПРОМЫШЛЕННОЙ ЭКОПЛАТФОРМЫ г. НЕВИННОМЫССКА: ОЦЕНКА НА ИМИТАЦИОННОЙ МОДЕЛИ</w:t>
      </w:r>
    </w:p>
    <w:p>
      <w:pPr>
        <w:ind w:firstLine="0"/>
        <w:jc w:val="center"/>
      </w:pPr>
    </w:p>
    <w:p>
      <w:pPr>
        <w:keepNext/>
        <w:jc w:val="left"/>
      </w:pPr>
      <w:r>
        <w:rPr>
          <w:b/>
          <w:i w:val="0"/>
        </w:rPr>
        <w:t>1. Предмет доклада</w:t>
      </w:r>
    </w:p>
    <w:p>
      <w:r>
        <w:rPr>
          <w:b w:val="0"/>
          <w:i w:val="0"/>
        </w:rPr>
        <w:t>Доклад адресован руководству АО «Невинномысский Азот» и отвечает на вопрос, что получит предприятие, если в городе начнёт работать промышленная экоплатформа. Платформа – это оператор, который ведёт реестр межзаводских ресурсных потоков, подбирает пары «поставщик – потребитель», рассчитывает дополнительный эффект обменов и распределяет часть этого эффекта между участниками и бюджетом территории. «Азот» участвует в ней в одной роли: как поставщик технологического CO</w:t>
      </w:r>
      <w:r>
        <w:rPr>
          <w:b w:val="0"/>
          <w:i w:val="0"/>
          <w:vertAlign w:val="subscript"/>
        </w:rPr>
        <w:t>2</w:t>
      </w:r>
      <w:r>
        <w:rPr>
          <w:b w:val="0"/>
          <w:i w:val="0"/>
        </w:rPr>
        <w:t xml:space="preserve"> резидентам ТОСЭР сверх тех объёмов, которые он продаёт сегодня. Параметров механизма предприятие не выбирает и получателем эффекта «по положению» не является.</w:t>
      </w:r>
    </w:p>
    <w:p>
      <w:r>
        <w:rPr>
          <w:b w:val="0"/>
          <w:i w:val="0"/>
        </w:rPr>
        <w:t>Расчёты выполнены на открытой имитационной модели экоплатформы [2]. Базовый сценарий: связность промышленной сети растёт с 0,15 в 2026 г. до 0,23 к 2030 г., цена обмена стоит в середине договорного коридора (ω = 0,5), прирост продаж CO</w:t>
      </w:r>
      <w:r>
        <w:rPr>
          <w:b w:val="0"/>
          <w:i w:val="0"/>
          <w:vertAlign w:val="subscript"/>
        </w:rPr>
        <w:t>2</w:t>
      </w:r>
      <w:r>
        <w:rPr>
          <w:b w:val="0"/>
          <w:i w:val="0"/>
        </w:rPr>
        <w:t xml:space="preserve"> сверх нынешних 32 тыс. т в год составляет 12 тыс. т. Закрытые параметры предприятия (выбросы CO</w:t>
      </w:r>
      <w:r>
        <w:rPr>
          <w:b w:val="0"/>
          <w:i w:val="0"/>
          <w:vertAlign w:val="subscript"/>
        </w:rPr>
        <w:t>2</w:t>
      </w:r>
      <w:r>
        <w:rPr>
          <w:b w:val="0"/>
          <w:i w:val="0"/>
        </w:rPr>
        <w:t xml:space="preserve"> и N</w:t>
      </w:r>
      <w:r>
        <w:rPr>
          <w:b w:val="0"/>
          <w:i w:val="0"/>
          <w:vertAlign w:val="subscript"/>
        </w:rPr>
        <w:t>2</w:t>
      </w:r>
      <w:r>
        <w:rPr>
          <w:b w:val="0"/>
          <w:i w:val="0"/>
        </w:rPr>
        <w:t>O, свободный поток технологического CO</w:t>
      </w:r>
      <w:r>
        <w:rPr>
          <w:b w:val="0"/>
          <w:i w:val="0"/>
          <w:vertAlign w:val="subscript"/>
        </w:rPr>
        <w:t>2</w:t>
      </w:r>
      <w:r>
        <w:rPr>
          <w:b w:val="0"/>
          <w:i w:val="0"/>
        </w:rPr>
        <w:t>, вероятность простоя) перенесены с 19 азотных комплексов-аналогов и помечены классом качества данных. После получения статистики предприятия они будут пересчитаны; на денежные выводы доклада это повлияет слабо, на экологические – заметно.</w:t>
      </w:r>
    </w:p>
    <w:p>
      <w:r>
        <w:rPr>
          <w:b w:val="0"/>
          <w:i w:val="0"/>
        </w:rPr>
        <w:t>Место «Азота» в структуре экоплатформы показано на рисунке 1.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060000" cy="46066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_grap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4606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ind w:firstLine="0"/>
        <w:jc w:val="center"/>
      </w:pPr>
      <w:r>
        <w:rPr>
          <w:b w:val="0"/>
          <w:i w:val="0"/>
        </w:rPr>
        <w:t>Рисунок 1 – Граф функционирования экосистемы: «Азот» поставляет CO</w:t>
      </w:r>
      <w:r>
        <w:rPr>
          <w:b w:val="0"/>
          <w:i w:val="0"/>
          <w:vertAlign w:val="subscript"/>
        </w:rPr>
        <w:t>2</w:t>
      </w:r>
      <w:r>
        <w:rPr>
          <w:b w:val="0"/>
          <w:i w:val="0"/>
        </w:rPr>
        <w:t>, ГРЭС – тепло, экопромышленный парк – вторичное сырьё</w:t>
      </w:r>
    </w:p>
    <w:p>
      <w:pPr>
        <w:ind w:firstLine="0"/>
        <w:jc w:val="center"/>
      </w:pPr>
      <w:r>
        <w:rPr>
          <w:b w:val="0"/>
          <w:i w:val="0"/>
          <w:sz w:val="24"/>
        </w:rPr>
        <w:t>Источник: экран вкладки «Симуляция» имитационной модели [2]</w:t>
      </w:r>
    </w:p>
    <w:p>
      <w:r>
        <w:rPr>
          <w:b w:val="0"/>
          <w:i w:val="0"/>
        </w:rPr>
        <w:t>На рисунке 1 «Азот» связан с платформой красной стрелкой ресурсного потока CO</w:t>
      </w:r>
      <w:r>
        <w:rPr>
          <w:b w:val="0"/>
          <w:i w:val="0"/>
          <w:vertAlign w:val="subscript"/>
        </w:rPr>
        <w:t>2</w:t>
      </w:r>
      <w:r>
        <w:rPr>
          <w:b w:val="0"/>
          <w:i w:val="0"/>
        </w:rPr>
        <w:t xml:space="preserve"> и зелёной стрелкой финансового потока. Других обязательств, кроме поставки и раскрытия данных об отгрузках, у предприятия в схеме нет. Выручку от продажи CO</w:t>
      </w:r>
      <w:r>
        <w:rPr>
          <w:b w:val="0"/>
          <w:i w:val="0"/>
          <w:vertAlign w:val="subscript"/>
        </w:rPr>
        <w:t>2</w:t>
      </w:r>
      <w:r>
        <w:rPr>
          <w:b w:val="0"/>
          <w:i w:val="0"/>
        </w:rPr>
        <w:t xml:space="preserve"> и долю дивиденда оно получает по договору с резидентами и оператором.</w:t>
      </w:r>
    </w:p>
    <w:p>
      <w:pPr>
        <w:keepNext/>
        <w:jc w:val="left"/>
      </w:pPr>
      <w:r>
        <w:rPr>
          <w:b/>
          <w:i w:val="0"/>
        </w:rPr>
        <w:t>2. Ресурс, который предприятие сегодня почти не продаёт</w:t>
      </w:r>
    </w:p>
    <w:p>
      <w:r>
        <w:rPr>
          <w:b w:val="0"/>
          <w:i w:val="0"/>
        </w:rPr>
        <w:t>Производство аммиака даёт поток технологического CO</w:t>
      </w:r>
      <w:r>
        <w:rPr>
          <w:b w:val="0"/>
          <w:i w:val="0"/>
          <w:vertAlign w:val="subscript"/>
        </w:rPr>
        <w:t>2</w:t>
      </w:r>
      <w:r>
        <w:rPr>
          <w:b w:val="0"/>
          <w:i w:val="0"/>
        </w:rPr>
        <w:t xml:space="preserve"> высокой концентрации, и почти весь он уходит в атмосферу. Оценка этого потока по заводам-аналогам приведена на рисунке 2.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860000" cy="58333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anchor_t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5833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ind w:firstLine="0"/>
        <w:jc w:val="center"/>
      </w:pPr>
      <w:r>
        <w:rPr>
          <w:b w:val="0"/>
          <w:i w:val="0"/>
        </w:rPr>
        <w:t>Рисунок 2 – Калибровка параметров АО «Невинномысский Азот»: выбросы CO</w:t>
      </w:r>
      <w:r>
        <w:rPr>
          <w:b w:val="0"/>
          <w:i w:val="0"/>
          <w:vertAlign w:val="subscript"/>
        </w:rPr>
        <w:t>2</w:t>
      </w:r>
      <w:r>
        <w:rPr>
          <w:b w:val="0"/>
          <w:i w:val="0"/>
        </w:rPr>
        <w:t xml:space="preserve"> и N</w:t>
      </w:r>
      <w:r>
        <w:rPr>
          <w:b w:val="0"/>
          <w:i w:val="0"/>
          <w:vertAlign w:val="subscript"/>
        </w:rPr>
        <w:t>2</w:t>
      </w:r>
      <w:r>
        <w:rPr>
          <w:b w:val="0"/>
          <w:i w:val="0"/>
        </w:rPr>
        <w:t>O, процессный и свободный технологический CO</w:t>
      </w:r>
      <w:r>
        <w:rPr>
          <w:b w:val="0"/>
          <w:i w:val="0"/>
          <w:vertAlign w:val="subscript"/>
        </w:rPr>
        <w:t>2</w:t>
      </w:r>
      <w:r>
        <w:rPr>
          <w:b w:val="0"/>
          <w:i w:val="0"/>
        </w:rPr>
        <w:t>, тыс. т в год</w:t>
      </w:r>
    </w:p>
    <w:p>
      <w:pPr>
        <w:ind w:firstLine="0"/>
        <w:jc w:val="center"/>
      </w:pPr>
      <w:r>
        <w:rPr>
          <w:b w:val="0"/>
          <w:i w:val="0"/>
          <w:sz w:val="24"/>
        </w:rPr>
        <w:t>Источник: блок «Якорь: АО «Невинномысский Азот» – калибровка» вкладки «Симуляция» имитационной модели [2]</w:t>
      </w:r>
    </w:p>
    <w:p>
      <w:r>
        <w:rPr>
          <w:b w:val="0"/>
          <w:i w:val="0"/>
        </w:rPr>
        <w:t>Рисунок 2 показывает, что при мощности 1 160 тыс. т аммиака в год свободный технологический CO</w:t>
      </w:r>
      <w:r>
        <w:rPr>
          <w:b w:val="0"/>
          <w:i w:val="0"/>
          <w:vertAlign w:val="subscript"/>
        </w:rPr>
        <w:t>2</w:t>
      </w:r>
      <w:r>
        <w:rPr>
          <w:b w:val="0"/>
          <w:i w:val="0"/>
        </w:rPr>
        <w:t xml:space="preserve"> оценивается в 907 тыс. т, а продажи пищевой углекислоты (32 тыс. т) составляют лишь 3,5 % этого потока. Ограничение здесь создаёт спрос, а не предложение: предприятию есть что продавать, но нет покупателей. Экоплатформа добавляет покупателей – тепличные хозяйства и другие производства резидентов ТОСЭР – и доводит продажи до 44 тыс. т (4,9 % свободного потока). Тот же рисунок фиксирует величину, которая к денежному результату не относится, но важна для углеродной стратегии: при отсутствии каталитической очистки выбросы N</w:t>
      </w:r>
      <w:r>
        <w:rPr>
          <w:b w:val="0"/>
          <w:i w:val="0"/>
          <w:vertAlign w:val="subscript"/>
        </w:rPr>
        <w:t>2</w:t>
      </w:r>
      <w:r>
        <w:rPr>
          <w:b w:val="0"/>
          <w:i w:val="0"/>
        </w:rPr>
        <w:t>O оцениваются в 2 394 тыс. т CO</w:t>
      </w:r>
      <w:r>
        <w:rPr>
          <w:b w:val="0"/>
          <w:i w:val="0"/>
          <w:vertAlign w:val="subscript"/>
        </w:rPr>
        <w:t>2</w:t>
      </w:r>
      <w:r>
        <w:rPr>
          <w:b w:val="0"/>
          <w:i w:val="0"/>
        </w:rPr>
        <w:t>-экв. против 487 тыс. т при её наличии.</w:t>
      </w:r>
    </w:p>
    <w:p>
      <w:r>
        <w:rPr>
          <w:b w:val="0"/>
          <w:i w:val="0"/>
        </w:rPr>
        <w:t>Денежная оценка потока CO</w:t>
      </w:r>
      <w:r>
        <w:rPr>
          <w:b w:val="0"/>
          <w:i w:val="0"/>
          <w:vertAlign w:val="subscript"/>
        </w:rPr>
        <w:t>2</w:t>
      </w:r>
      <w:r>
        <w:rPr>
          <w:b w:val="0"/>
          <w:i w:val="0"/>
        </w:rPr>
        <w:t xml:space="preserve"> в составе эффекта платформы приведена на рисунке 3.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860000" cy="43733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anchor_botto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4373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ind w:firstLine="0"/>
        <w:jc w:val="center"/>
      </w:pPr>
      <w:r>
        <w:rPr>
          <w:b w:val="0"/>
          <w:i w:val="0"/>
        </w:rPr>
        <w:t>Рисунок 3 – Состав дополнительного эффекта платформы по потокам и доля «Азота» по вектору Шепли с поправкой на риск остановки, млн руб. в год</w:t>
      </w:r>
    </w:p>
    <w:p>
      <w:pPr>
        <w:ind w:firstLine="0"/>
        <w:jc w:val="center"/>
      </w:pPr>
      <w:r>
        <w:rPr>
          <w:b w:val="0"/>
          <w:i w:val="0"/>
          <w:sz w:val="24"/>
        </w:rPr>
        <w:t>Источник: блок «Якорь» вкладки «Симуляция» имитационной модели [2]</w:t>
      </w:r>
    </w:p>
    <w:p>
      <w:r>
        <w:rPr>
          <w:b w:val="0"/>
          <w:i w:val="0"/>
        </w:rPr>
        <w:t>Из рисунка 3 видно, что поток CO</w:t>
      </w:r>
      <w:r>
        <w:rPr>
          <w:b w:val="0"/>
          <w:i w:val="0"/>
          <w:vertAlign w:val="subscript"/>
        </w:rPr>
        <w:t>2</w:t>
      </w:r>
      <w:r>
        <w:rPr>
          <w:b w:val="0"/>
          <w:i w:val="0"/>
        </w:rPr>
        <w:t xml:space="preserve"> сверх 32 тыс. т даёт 72,0 млн руб. валовой экономии в год, из которых 13,2 млн руб. уходят на аннуитет узла подготовки и подачи газа; чистый вклад потока составляет 58,9 млн руб. Это второй по величине поток после вторичного сырья экопромышленного парка и самый выгодный по отношению вклада к вложениям. Справа на рисунке приведена доля «Азота» в чистом эффекте 117,4 млн руб. по вектору Шепли: 25 %, или 29,4 млн руб. в год, а с поправкой на риск остановки агрегатов – 27,9 млн руб. К этой цифре доклад вернётся в разделе 4.</w:t>
      </w:r>
    </w:p>
    <w:p>
      <w:pPr>
        <w:keepNext/>
        <w:jc w:val="left"/>
      </w:pPr>
      <w:r>
        <w:rPr>
          <w:b/>
          <w:i w:val="0"/>
        </w:rPr>
        <w:t>3. Денежный выигрыш предприятия</w:t>
      </w:r>
    </w:p>
    <w:p>
      <w:r>
        <w:rPr>
          <w:b w:val="0"/>
          <w:i w:val="0"/>
        </w:rPr>
        <w:t>Платформа реализует поток не сразу, а по мере роста связности сети. Доля реализованного потенциала описывается функцией</w:t>
      </w:r>
    </w:p>
    <w:p>
      <w:pPr>
        <w:keepNext/>
        <w:tabs>
          <w:tab w:pos="4677" w:val="center"/>
          <w:tab w:pos="9354" w:val="right"/>
        </w:tabs>
        <w:ind w:firstLine="0"/>
        <w:jc w:val="left"/>
      </w:pPr>
      <w:r>
        <w:tab/>
      </w:r>
      <m:oMath>
        <m:r>
          <w:rPr>
            <w:rFonts w:ascii="Cambria Math" w:hAnsi="Cambria Math"/>
            <w:sz w:val="28"/>
          </w:rPr>
          <m:t>φ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8"/>
              </w:rPr>
              <m:t>C</m:t>
            </m:r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= 1 − </m:t>
        </m:r>
        <m:sSup>
          <m:e>
            <m:r>
              <w:rPr>
                <w:rFonts w:ascii="Cambria Math" w:hAnsi="Cambria Math"/>
                <w:sz w:val="28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−</m:t>
            </m:r>
            <m:r>
              <w:rPr>
                <w:rFonts w:ascii="Cambria Math" w:hAnsi="Cambria Math"/>
                <w:sz w:val="28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·</m:t>
            </m:r>
            <m:r>
              <w:rPr>
                <w:rFonts w:ascii="Cambria Math" w:hAnsi="Cambria Math"/>
                <w:sz w:val="28"/>
              </w:rPr>
              <m:t>C</m:t>
            </m:r>
          </m:sup>
        </m:sSup>
      </m:oMath>
      <w:r>
        <w:tab/>
        <w:t>(1)</w:t>
      </w:r>
    </w:p>
    <w:p>
      <w:pPr>
        <w:ind w:firstLine="0"/>
      </w:pPr>
      <w:r>
        <w:rPr>
          <w:b w:val="0"/>
          <w:i w:val="0"/>
        </w:rPr>
        <w:t xml:space="preserve">где </w:t>
      </w:r>
      <w:r>
        <w:rPr>
          <w:b w:val="0"/>
          <w:i/>
        </w:rPr>
        <w:t>φ</w:t>
      </w:r>
      <w:r>
        <w:rPr>
          <w:b w:val="0"/>
          <w:i w:val="0"/>
        </w:rPr>
        <w:t>(</w:t>
      </w:r>
      <w:r>
        <w:rPr>
          <w:b w:val="0"/>
          <w:i/>
        </w:rPr>
        <w:t>C</w:t>
      </w:r>
      <w:r>
        <w:rPr>
          <w:b w:val="0"/>
          <w:i w:val="0"/>
        </w:rPr>
        <w:t xml:space="preserve">) – доля потенциального выигрыша обменов, реализуемая при связности сети </w:t>
      </w:r>
      <w:r>
        <w:rPr>
          <w:b w:val="0"/>
          <w:i/>
        </w:rPr>
        <w:t>C</w:t>
      </w:r>
      <w:r>
        <w:rPr>
          <w:b w:val="0"/>
          <w:i w:val="0"/>
        </w:rPr>
        <w:t>;</w:t>
      </w:r>
    </w:p>
    <w:p>
      <w:r>
        <w:rPr>
          <w:b w:val="0"/>
          <w:i/>
        </w:rPr>
        <w:t>C</w:t>
      </w:r>
      <w:r>
        <w:rPr>
          <w:b w:val="0"/>
          <w:i w:val="0"/>
        </w:rPr>
        <w:t xml:space="preserve"> – индекс связности – доля реализованных межзаводских связей от технически возможных;</w:t>
      </w:r>
    </w:p>
    <w:p>
      <w:r>
        <w:rPr>
          <w:b w:val="0"/>
          <w:i/>
        </w:rPr>
        <w:t>k</w:t>
      </w:r>
      <w:r>
        <w:rPr>
          <w:b w:val="0"/>
          <w:i w:val="0"/>
        </w:rPr>
        <w:t xml:space="preserve"> – институциональный параметр, отражающий скорость, с которой рост связности переходит в заключённые обмены (5 в 2026 г., 7,5 к 2036 г.);</w:t>
      </w:r>
    </w:p>
    <w:p>
      <w:r>
        <w:rPr>
          <w:b w:val="0"/>
          <w:i/>
        </w:rPr>
        <w:t>e</w:t>
      </w:r>
      <w:r>
        <w:rPr>
          <w:b w:val="0"/>
          <w:i w:val="0"/>
        </w:rPr>
        <w:t xml:space="preserve"> – основание натурального логарифма.</w:t>
      </w:r>
    </w:p>
    <w:p>
      <w:r>
        <w:rPr>
          <w:b w:val="0"/>
          <w:i w:val="0"/>
        </w:rPr>
        <w:t>Чистый выигрыш «Азота» складывается из его доли в выигрыше обмена, доли в затратах платформы, сальдо дивиденда и налога на прибыль:</w:t>
      </w:r>
    </w:p>
    <w:p>
      <w:pPr>
        <w:keepNext/>
        <w:tabs>
          <w:tab w:pos="4677" w:val="center"/>
          <w:tab w:pos="9354" w:val="right"/>
        </w:tabs>
        <w:ind w:firstLine="0"/>
        <w:jc w:val="left"/>
      </w:pPr>
      <w:r>
        <w:tab/>
      </w:r>
      <m:oMath>
        <m:sSub>
          <m:e>
            <m:r>
              <w:rPr>
                <w:rFonts w:ascii="Cambria Math" w:hAnsi="Cambria Math"/>
                <w:sz w:val="28"/>
              </w:rPr>
              <m:t>NB</m:t>
            </m:r>
          </m:e>
          <m:sub>
            <m:r>
              <w:rPr>
                <w:rFonts w:ascii="Cambria Math" w:hAnsi="Cambria Math"/>
                <w:sz w:val="28"/>
              </w:rPr>
              <m:t>A</m:t>
            </m:r>
          </m:sub>
        </m:sSub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8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d>
          <m:dPr>
            <m:begChr m:val="("/>
            <m:endChr m:val=")"/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1 − 0,25</m:t>
            </m:r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·</m:t>
        </m:r>
        <m:d>
          <m:dPr>
            <m:begChr m:val="["/>
            <m:endChr m:val="]"/>
          </m:dPr>
          <m:e>
            <m:r>
              <w:rPr>
                <w:rFonts w:ascii="Cambria Math" w:hAnsi="Cambria Math"/>
                <w:sz w:val="28"/>
              </w:rPr>
              <m:t>ω</m:t>
            </m:r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·</m:t>
            </m:r>
            <m:sSub>
              <m:e>
                <m:r>
                  <w:rPr>
                    <w:rFonts w:ascii="Cambria Math" w:hAnsi="Cambria Math"/>
                    <w:sz w:val="28"/>
                  </w:rPr>
                  <m:t>Π</m:t>
                </m:r>
              </m:e>
              <m:sub>
                <m:sSub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 xml:space="preserve">CO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 xml:space="preserve">2</m:t>
                    </m:r>
                  </m:sub>
                </m:sSub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·</m:t>
            </m:r>
            <m:r>
              <w:rPr>
                <w:rFonts w:ascii="Cambria Math" w:hAnsi="Cambria Math"/>
                <w:sz w:val="28"/>
              </w:rPr>
              <m:t>φ</m:t>
            </m:r>
            <m:d>
              <m:dPr>
                <m:begChr m:val="("/>
                <m:endChr m:val=")"/>
              </m:dPr>
              <m:e>
                <m:sSub>
                  <m:e>
                    <m:r>
                      <w:rPr>
                        <w:rFonts w:ascii="Cambria Math" w:hAnsi="Cambria Math"/>
                        <w:sz w:val="28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</w:rPr>
                      <m:t>t</m:t>
                    </m:r>
                  </m:sub>
                </m:sSub>
              </m:e>
            </m:d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 − </m:t>
            </m:r>
            <m:sSub>
              <m:e>
                <m:r>
                  <w:rPr>
                    <w:rFonts w:ascii="Cambria Math" w:hAnsi="Cambria Math"/>
                    <w:sz w:val="28"/>
                  </w:rPr>
                  <m:t>Z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пл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·</m:t>
            </m:r>
            <m:sSub>
              <m:e>
                <m:r>
                  <w:rPr>
                    <w:rFonts w:ascii="Cambria Math" w:hAnsi="Cambria Math"/>
                    <w:sz w:val="28"/>
                  </w:rPr>
                  <m:t>w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>A</m:t>
                </m:r>
              </m:sub>
            </m:sSub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  <w:sz w:val="28"/>
                  </w:rPr>
                  <m:t>t</m:t>
                </m:r>
              </m:e>
            </m:d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 + </m:t>
            </m:r>
            <m:sSub>
              <m:e>
                <m:r>
                  <w:rPr>
                    <w:rFonts w:ascii="Cambria Math" w:hAnsi="Cambria Math"/>
                    <w:sz w:val="28"/>
                  </w:rPr>
                  <m:t>D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>A</m:t>
                </m:r>
              </m:sub>
            </m:sSub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  <w:sz w:val="28"/>
                  </w:rPr>
                  <m:t>t</m:t>
                </m:r>
              </m:e>
            </m:d>
          </m:e>
        </m:d>
      </m:oMath>
      <w:r>
        <w:tab/>
        <w:t>(2)</w:t>
      </w:r>
    </w:p>
    <w:p>
      <w:pPr>
        <w:ind w:firstLine="0"/>
      </w:pPr>
      <w:r>
        <w:rPr>
          <w:b w:val="0"/>
          <w:i w:val="0"/>
        </w:rPr>
        <w:t xml:space="preserve">где </w:t>
      </w:r>
      <w:r>
        <w:rPr>
          <w:b w:val="0"/>
          <w:i/>
        </w:rPr>
        <w:t>NB</w:t>
      </w:r>
      <w:r>
        <w:rPr>
          <w:b w:val="0"/>
          <w:i/>
          <w:vertAlign w:val="subscript"/>
        </w:rPr>
        <w:t>A</w:t>
      </w:r>
      <w:r>
        <w:rPr>
          <w:b w:val="0"/>
          <w:i w:val="0"/>
        </w:rPr>
        <w:t>(</w:t>
      </w:r>
      <w:r>
        <w:rPr>
          <w:b w:val="0"/>
          <w:i/>
        </w:rPr>
        <w:t>t</w:t>
      </w:r>
      <w:r>
        <w:rPr>
          <w:b w:val="0"/>
          <w:i w:val="0"/>
        </w:rPr>
        <w:t xml:space="preserve">) – чистый выигрыш АО «Невинномысский Азот» в году </w:t>
      </w:r>
      <w:r>
        <w:rPr>
          <w:b w:val="0"/>
          <w:i/>
        </w:rPr>
        <w:t>t</w:t>
      </w:r>
      <w:r>
        <w:rPr>
          <w:b w:val="0"/>
          <w:i w:val="0"/>
        </w:rPr>
        <w:t>, млн руб;</w:t>
      </w:r>
    </w:p>
    <w:p>
      <w:r>
        <w:rPr>
          <w:b w:val="0"/>
          <w:i w:val="0"/>
        </w:rPr>
        <w:t>0,25 – ставка налога на прибыль организаций (8 % – федеральный бюджет, 17 % – бюджет края);</w:t>
      </w:r>
    </w:p>
    <w:p>
      <w:r>
        <w:rPr>
          <w:b w:val="0"/>
          <w:i/>
        </w:rPr>
        <w:t>ω</w:t>
      </w:r>
      <w:r>
        <w:rPr>
          <w:b w:val="0"/>
          <w:i w:val="0"/>
        </w:rPr>
        <w:t xml:space="preserve"> – положение цены обмена в договорном коридоре – доля выигрыша обмена, достающаяся поставщику;</w:t>
      </w:r>
    </w:p>
    <w:p>
      <w:r>
        <w:rPr>
          <w:b w:val="0"/>
          <w:i w:val="0"/>
        </w:rPr>
        <w:t>Π</w:t>
      </w:r>
      <w:r>
        <w:rPr>
          <w:b w:val="0"/>
          <w:i w:val="0"/>
          <w:vertAlign w:val="subscript"/>
        </w:rPr>
        <w:t>CO2</w:t>
      </w:r>
      <w:r>
        <w:rPr>
          <w:b w:val="0"/>
          <w:i w:val="0"/>
        </w:rPr>
        <w:t xml:space="preserve"> – чистый вклад потока CO</w:t>
      </w:r>
      <w:r>
        <w:rPr>
          <w:b w:val="0"/>
          <w:i w:val="0"/>
          <w:vertAlign w:val="subscript"/>
        </w:rPr>
        <w:t>2</w:t>
      </w:r>
      <w:r>
        <w:rPr>
          <w:b w:val="0"/>
          <w:i w:val="0"/>
        </w:rPr>
        <w:t xml:space="preserve"> при полной реализации (58,9 млн руб. в год);</w:t>
      </w:r>
    </w:p>
    <w:p>
      <w:r>
        <w:rPr>
          <w:b w:val="0"/>
          <w:i/>
        </w:rPr>
        <w:t>Z</w:t>
      </w:r>
      <w:r>
        <w:rPr>
          <w:b w:val="0"/>
          <w:i w:val="0"/>
          <w:vertAlign w:val="subscript"/>
        </w:rPr>
        <w:t>пл</w:t>
      </w:r>
      <w:r>
        <w:rPr>
          <w:b w:val="0"/>
          <w:i w:val="0"/>
        </w:rPr>
        <w:t xml:space="preserve"> – годовые затраты платформы – аннуитет вложений, эксплуатация, аудит (69,6 млн руб.);</w:t>
      </w:r>
    </w:p>
    <w:p>
      <w:r>
        <w:rPr>
          <w:b w:val="0"/>
          <w:i/>
        </w:rPr>
        <w:t>w</w:t>
      </w:r>
      <w:r>
        <w:rPr>
          <w:b w:val="0"/>
          <w:i/>
          <w:vertAlign w:val="subscript"/>
        </w:rPr>
        <w:t>A</w:t>
      </w:r>
      <w:r>
        <w:rPr>
          <w:b w:val="0"/>
          <w:i w:val="0"/>
        </w:rPr>
        <w:t>(</w:t>
      </w:r>
      <w:r>
        <w:rPr>
          <w:b w:val="0"/>
          <w:i/>
        </w:rPr>
        <w:t>t</w:t>
      </w:r>
      <w:r>
        <w:rPr>
          <w:b w:val="0"/>
          <w:i w:val="0"/>
        </w:rPr>
        <w:t>) – доля «Азота» в суммарном выигрыше участников обмена, по которой распределяется сервисный платёж;</w:t>
      </w:r>
    </w:p>
    <w:p>
      <w:r>
        <w:rPr>
          <w:b w:val="0"/>
          <w:i/>
        </w:rPr>
        <w:t>D</w:t>
      </w:r>
      <w:r>
        <w:rPr>
          <w:b w:val="0"/>
          <w:i/>
          <w:vertAlign w:val="subscript"/>
        </w:rPr>
        <w:t>A</w:t>
      </w:r>
      <w:r>
        <w:rPr>
          <w:b w:val="0"/>
          <w:i w:val="0"/>
        </w:rPr>
        <w:t>(</w:t>
      </w:r>
      <w:r>
        <w:rPr>
          <w:b w:val="0"/>
          <w:i/>
        </w:rPr>
        <w:t>t</w:t>
      </w:r>
      <w:r>
        <w:rPr>
          <w:b w:val="0"/>
          <w:i w:val="0"/>
        </w:rPr>
        <w:t>) – сальдо дивиденда: доля «Азота» в дивиденде поставщиков за вычетом изъятия, млн руб.</w:t>
      </w:r>
    </w:p>
    <w:p>
      <w:r>
        <w:rPr>
          <w:b w:val="0"/>
          <w:i w:val="0"/>
        </w:rPr>
        <w:t>Для 2030 г. формула (2) даёт: 0,5 · 58,9 · 0,748 = 22,0 млн руб. выигрыша обмена; сервисный платёж 69,6 · 0,157 = 11,0 млн руб.; сальдо дивиденда −0,68 млн руб.; прибыль до налога 10,35 млн руб., чистый выигрыш 7,8 млн руб. Тот же результат выдаёт модель в годовом балансе бенефициаров (рисунок 4).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50286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_table_bas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028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ind w:firstLine="0"/>
        <w:jc w:val="center"/>
      </w:pPr>
      <w:r>
        <w:rPr>
          <w:b w:val="0"/>
          <w:i w:val="0"/>
        </w:rPr>
        <w:t>Рисунок 4 – Баланс бенефициаров экоплатформы в 2030 г., базовый сценарий, млн руб.</w:t>
      </w:r>
    </w:p>
    <w:p>
      <w:pPr>
        <w:ind w:firstLine="0"/>
        <w:jc w:val="center"/>
      </w:pPr>
      <w:r>
        <w:rPr>
          <w:b w:val="0"/>
          <w:i w:val="0"/>
          <w:sz w:val="24"/>
        </w:rPr>
        <w:t>Источник: вкладка «Бенефициары и стратегии» имитационной модели [2]</w:t>
      </w:r>
    </w:p>
    <w:p>
      <w:r>
        <w:rPr>
          <w:b w:val="0"/>
          <w:i w:val="0"/>
        </w:rPr>
        <w:t>В строке «АО «Невинномысский Азот»» на рисунке 4 последовательно отражены все составляющие: +22,0 выигрыша обмена, −11,0 платы платформе, −0,68 дивиденда, −2,60 налога, итог +7,8 млн руб. Внизу экрана модель проверяет замыкание баланса: сумма выигрышей всех бенефициаров (40,6 млн руб.) равна эффекту платформы за вычетом выпадающей платы за негативное воздействие (70,4 − 29,8). Значит, выигрыш «Азота» не получен за счёт двойного счёта или условных переливов. Переход от валового выигрыша к чистому показан на рисунке 5.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43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zot_waterfall.png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ind w:firstLine="0"/>
        <w:jc w:val="center"/>
      </w:pPr>
      <w:r>
        <w:rPr>
          <w:b w:val="0"/>
          <w:i w:val="0"/>
        </w:rPr>
        <w:t>Рисунок 5 – Переход от выигрыша в цене обмена CO</w:t>
      </w:r>
      <w:r>
        <w:rPr>
          <w:b w:val="0"/>
          <w:i w:val="0"/>
          <w:vertAlign w:val="subscript"/>
        </w:rPr>
        <w:t>2</w:t>
      </w:r>
      <w:r>
        <w:rPr>
          <w:b w:val="0"/>
          <w:i w:val="0"/>
        </w:rPr>
        <w:t xml:space="preserve"> к чистому выигрышу АО «Невинномысский Азот» в 2030 г., млн руб.</w:t>
      </w:r>
    </w:p>
    <w:p>
      <w:pPr>
        <w:ind w:firstLine="0"/>
        <w:jc w:val="center"/>
      </w:pPr>
      <w:r>
        <w:rPr>
          <w:b w:val="0"/>
          <w:i w:val="0"/>
          <w:sz w:val="24"/>
        </w:rPr>
        <w:t>Источник: рассчитано по формуле (2) на имитационной модели [2]</w:t>
      </w:r>
    </w:p>
    <w:p>
      <w:r>
        <w:rPr>
          <w:b w:val="0"/>
          <w:i w:val="0"/>
        </w:rPr>
        <w:t>Рисунок 5 показывает, что половину выигрыша обмена поглощает сервисный платёж оператору. Это плата за то, что без платформы обмен не состоялся бы: подбор покупателей, типовой договор, подтверждение объёмов, доверительное хранение коммерческих данных. Налог на прибыль забирает ещё 2,6 млн руб., из которых 1,77 млн руб. поступают в бюджет края. В итоге предприятие получает 7,8 млн руб. в год дополнительной чистой прибыли от ресурса, который сегодня выбрасывается.</w:t>
      </w:r>
    </w:p>
    <w:p>
      <w:r>
        <w:rPr>
          <w:b w:val="0"/>
          <w:i w:val="0"/>
        </w:rPr>
        <w:t>Суммарные значения за десять лет приведены в таблице 1.</w:t>
      </w:r>
    </w:p>
    <w:p>
      <w:pPr>
        <w:keepNext/>
        <w:ind w:firstLine="0"/>
        <w:jc w:val="right"/>
      </w:pPr>
      <w:r>
        <w:rPr>
          <w:b w:val="0"/>
          <w:i w:val="0"/>
        </w:rPr>
        <w:t>Таблица 1</w:t>
      </w:r>
    </w:p>
    <w:p>
      <w:pPr>
        <w:keepNext/>
        <w:ind w:firstLine="0"/>
        <w:jc w:val="center"/>
      </w:pPr>
      <w:r>
        <w:rPr>
          <w:b/>
          <w:i w:val="0"/>
        </w:rPr>
        <w:t>Выигрыш АО «Невинномысский Азот» от участия в экоплатформе, млн руб.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6"/>
        <w:gridCol w:w="1701"/>
        <w:gridCol w:w="2268"/>
      </w:tblGrid>
      <w:tr>
        <w:trPr>
          <w:tblHeader/>
        </w:trPr>
        <w:tc>
          <w:tcPr>
            <w:tcW w:type="dxa" w:w="538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i w:val="0"/>
                <w:sz w:val="24"/>
              </w:rPr>
              <w:t>Составляющая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i w:val="0"/>
                <w:sz w:val="24"/>
              </w:rPr>
              <w:t>2030 г.</w:t>
            </w:r>
          </w:p>
        </w:tc>
        <w:tc>
          <w:tcPr>
            <w:tcW w:type="dxa" w:w="22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i w:val="0"/>
                <w:sz w:val="24"/>
              </w:rPr>
              <w:t>Σ 2027–2036 гг.</w:t>
            </w:r>
          </w:p>
        </w:tc>
      </w:tr>
      <w:tr>
        <w:tc>
          <w:tcPr>
            <w:tcW w:type="dxa" w:w="538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Выигрыш в цене обмена CO</w:t>
            </w:r>
            <w:r>
              <w:rPr>
                <w:b w:val="0"/>
                <w:i w:val="0"/>
                <w:sz w:val="24"/>
                <w:vertAlign w:val="subscript"/>
              </w:rPr>
              <w:t>2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+22,0</w:t>
            </w:r>
          </w:p>
        </w:tc>
        <w:tc>
          <w:tcPr>
            <w:tcW w:type="dxa" w:w="22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+219,1</w:t>
            </w:r>
          </w:p>
        </w:tc>
      </w:tr>
      <w:tr>
        <w:tc>
          <w:tcPr>
            <w:tcW w:type="dxa" w:w="538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Сервисный платёж оператору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−10,95</w:t>
            </w:r>
          </w:p>
        </w:tc>
        <w:tc>
          <w:tcPr>
            <w:tcW w:type="dxa" w:w="22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−109,5</w:t>
            </w:r>
          </w:p>
        </w:tc>
      </w:tr>
      <w:tr>
        <w:tc>
          <w:tcPr>
            <w:tcW w:type="dxa" w:w="538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Сальдо дивиденда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−0,68</w:t>
            </w:r>
          </w:p>
        </w:tc>
        <w:tc>
          <w:tcPr>
            <w:tcW w:type="dxa" w:w="22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−6,8</w:t>
            </w:r>
          </w:p>
        </w:tc>
      </w:tr>
      <w:tr>
        <w:tc>
          <w:tcPr>
            <w:tcW w:type="dxa" w:w="538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Прибыль до налогообложения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+10,35</w:t>
            </w:r>
          </w:p>
        </w:tc>
        <w:tc>
          <w:tcPr>
            <w:tcW w:type="dxa" w:w="22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+102,8</w:t>
            </w:r>
          </w:p>
        </w:tc>
      </w:tr>
      <w:tr>
        <w:tc>
          <w:tcPr>
            <w:tcW w:type="dxa" w:w="538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Налог на прибыль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−2,60</w:t>
            </w:r>
          </w:p>
        </w:tc>
        <w:tc>
          <w:tcPr>
            <w:tcW w:type="dxa" w:w="22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−25,7</w:t>
            </w:r>
          </w:p>
        </w:tc>
      </w:tr>
      <w:tr>
        <w:tc>
          <w:tcPr>
            <w:tcW w:type="dxa" w:w="538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в том числе в бюджет края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−1,77</w:t>
            </w:r>
          </w:p>
        </w:tc>
        <w:tc>
          <w:tcPr>
            <w:tcW w:type="dxa" w:w="22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−17,5</w:t>
            </w:r>
          </w:p>
        </w:tc>
      </w:tr>
      <w:tr>
        <w:tc>
          <w:tcPr>
            <w:tcW w:type="dxa" w:w="538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в том числе в федеральный бюджет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−0,83</w:t>
            </w:r>
          </w:p>
        </w:tc>
        <w:tc>
          <w:tcPr>
            <w:tcW w:type="dxa" w:w="22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−8,2</w:t>
            </w:r>
          </w:p>
        </w:tc>
      </w:tr>
      <w:tr>
        <w:tc>
          <w:tcPr>
            <w:tcW w:type="dxa" w:w="538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b/>
                <w:i w:val="0"/>
                <w:sz w:val="24"/>
              </w:rPr>
              <w:t>Чистый выигрыш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i w:val="0"/>
                <w:sz w:val="24"/>
              </w:rPr>
              <w:t>+7,8</w:t>
            </w:r>
          </w:p>
        </w:tc>
        <w:tc>
          <w:tcPr>
            <w:tcW w:type="dxa" w:w="22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i w:val="0"/>
                <w:sz w:val="24"/>
              </w:rPr>
              <w:t>+77,1</w:t>
            </w:r>
          </w:p>
        </w:tc>
      </w:tr>
      <w:tr>
        <w:tc>
          <w:tcPr>
            <w:tcW w:type="dxa" w:w="538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Приведённая стоимость за 2026–2040 гг. (r = 10 %)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–</w:t>
            </w:r>
          </w:p>
        </w:tc>
        <w:tc>
          <w:tcPr>
            <w:tcW w:type="dxa" w:w="22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60</w:t>
            </w:r>
          </w:p>
        </w:tc>
      </w:tr>
    </w:tbl>
    <w:p>
      <w:pPr>
        <w:ind w:firstLine="0"/>
        <w:jc w:val="left"/>
      </w:pPr>
      <w:r>
        <w:rPr>
          <w:b w:val="0"/>
          <w:i w:val="0"/>
          <w:sz w:val="24"/>
        </w:rPr>
        <w:t>Источник: рассчитано на имитационной модели [2]; базовый сценарий, ω = 0,5.</w:t>
      </w:r>
    </w:p>
    <w:p>
      <w:r>
        <w:rPr>
          <w:b w:val="0"/>
          <w:i w:val="0"/>
        </w:rPr>
        <w:t>Таблица 1 показывает, что за 2027–2036 гг. «Азот» получает 77,1 млн руб. чистой прибыли, а приведённая стоимость его выигрыша за 2026–2040 гг. составляет 60 млн руб. Годовой выигрыш растёт с 4,5 млн руб. в 2027 г. до 9,3 млн руб. в 2036 г. вслед за связностью сети. Капитальных вложений со стороны предприятия расчёт не предполагает: аннуитет узла подготовки CO</w:t>
      </w:r>
      <w:r>
        <w:rPr>
          <w:b w:val="0"/>
          <w:i w:val="0"/>
          <w:vertAlign w:val="subscript"/>
        </w:rPr>
        <w:t>2</w:t>
      </w:r>
      <w:r>
        <w:rPr>
          <w:b w:val="0"/>
          <w:i w:val="0"/>
        </w:rPr>
        <w:t xml:space="preserve"> уже вычтен из вклада потока и покрывается сервисным платежом.</w:t>
      </w:r>
    </w:p>
    <w:p>
      <w:r>
        <w:rPr>
          <w:b w:val="0"/>
          <w:i w:val="0"/>
        </w:rPr>
        <w:t>Место «Азота» среди остальных бенефициаров видно на рисунке 6.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517218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_npv_bas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172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ind w:firstLine="0"/>
        <w:jc w:val="center"/>
      </w:pPr>
      <w:r>
        <w:rPr>
          <w:b w:val="0"/>
          <w:i w:val="0"/>
        </w:rPr>
        <w:t>Рисунок 6 – Чистая приведённая стоимость выигрышей по бенефициарам, 2026–2040 гг., млн руб.</w:t>
      </w:r>
    </w:p>
    <w:p>
      <w:pPr>
        <w:ind w:firstLine="0"/>
        <w:jc w:val="center"/>
      </w:pPr>
      <w:r>
        <w:rPr>
          <w:b w:val="0"/>
          <w:i w:val="0"/>
          <w:sz w:val="24"/>
        </w:rPr>
        <w:t>Источник: вкладка «Бенефициары и стратегии» имитационной модели [2]</w:t>
      </w:r>
    </w:p>
    <w:p>
      <w:r>
        <w:rPr>
          <w:b w:val="0"/>
          <w:i w:val="0"/>
        </w:rPr>
        <w:t>По рисунку 6 «Азот» занимает третье место среди выигрывающих (60 млн руб.) после резидентов ТОСЭР (228 млн руб.) и экопромышленного парка (61 млн руб.). Проигрывают бюджеты города и края, теряющие плату за негативное воздействие. Для предприятия это обстоятельство имеет практический смысл: платформа не отнимает у «Азота» ничего, что он получает сегодня, а основные издержки механизма лежат на публичной стороне. Возражений против запуска со стороны предприятия модель не предсказывает.</w:t>
      </w:r>
    </w:p>
    <w:p>
      <w:pPr>
        <w:keepNext/>
        <w:jc w:val="left"/>
      </w:pPr>
      <w:r>
        <w:rPr>
          <w:b/>
          <w:i w:val="0"/>
        </w:rPr>
        <w:t>4. Цена CO</w:t>
      </w:r>
      <w:r>
        <w:rPr>
          <w:b/>
          <w:i w:val="0"/>
          <w:vertAlign w:val="subscript"/>
        </w:rPr>
        <w:t>2</w:t>
      </w:r>
      <w:r>
        <w:rPr>
          <w:b/>
          <w:i w:val="0"/>
        </w:rPr>
        <w:t xml:space="preserve"> и справедливая доля «Азота»</w:t>
      </w:r>
    </w:p>
    <w:p>
      <w:r>
        <w:rPr>
          <w:b w:val="0"/>
          <w:i w:val="0"/>
        </w:rPr>
        <w:t>Размер выигрыша «Азота» сильнее всего зависит от того, где в договорном коридоре окажется цена углекислоты. Нижняя граница коридора – издержки подготовки и упущенная выгода поставщика, верхняя – цена альтернативного источника для покупателя за вычетом его затрат на подготовку. Чувствительность результата к положению цены приведена в таблице 2.</w:t>
      </w:r>
    </w:p>
    <w:p>
      <w:pPr>
        <w:keepNext/>
        <w:ind w:firstLine="0"/>
        <w:jc w:val="right"/>
      </w:pPr>
      <w:r>
        <w:rPr>
          <w:b w:val="0"/>
          <w:i w:val="0"/>
        </w:rPr>
        <w:t>Таблица 2</w:t>
      </w:r>
    </w:p>
    <w:p>
      <w:pPr>
        <w:keepNext/>
        <w:ind w:firstLine="0"/>
        <w:jc w:val="center"/>
      </w:pPr>
      <w:r>
        <w:rPr>
          <w:b/>
          <w:i w:val="0"/>
        </w:rPr>
        <w:t>Выигрыш АО «Невинномысский Азот» при разных положениях цены CO</w:t>
      </w:r>
      <w:r>
        <w:rPr>
          <w:b/>
          <w:i w:val="0"/>
          <w:vertAlign w:val="subscript"/>
        </w:rPr>
        <w:t>2</w:t>
      </w:r>
      <w:r>
        <w:rPr>
          <w:b/>
          <w:i w:val="0"/>
        </w:rPr>
        <w:t xml:space="preserve"> в коридоре, млн руб.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1474"/>
        <w:gridCol w:w="1474"/>
        <w:gridCol w:w="1587"/>
      </w:tblGrid>
      <w:tr>
        <w:trPr>
          <w:tblHeader/>
        </w:trPr>
        <w:tc>
          <w:tcPr>
            <w:tcW w:type="dxa" w:w="481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i w:val="0"/>
                <w:sz w:val="24"/>
              </w:rPr>
              <w:t>Показатель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i w:val="0"/>
                <w:sz w:val="24"/>
              </w:rPr>
              <w:t>ω = 0,3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i w:val="0"/>
                <w:sz w:val="24"/>
              </w:rPr>
              <w:t>ω = 0,5</w:t>
            </w:r>
          </w:p>
        </w:tc>
        <w:tc>
          <w:tcPr>
            <w:tcW w:type="dxa" w:w="158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i w:val="0"/>
                <w:sz w:val="24"/>
              </w:rPr>
              <w:t>ω = 0,7</w:t>
            </w:r>
          </w:p>
        </w:tc>
      </w:tr>
      <w:tr>
        <w:tc>
          <w:tcPr>
            <w:tcW w:type="dxa" w:w="481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Выигрыш в цене обмена, 2030 г.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+13,2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+22,0</w:t>
            </w:r>
          </w:p>
        </w:tc>
        <w:tc>
          <w:tcPr>
            <w:tcW w:type="dxa" w:w="158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+30,8</w:t>
            </w:r>
          </w:p>
        </w:tc>
      </w:tr>
      <w:tr>
        <w:tc>
          <w:tcPr>
            <w:tcW w:type="dxa" w:w="481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Чистый выигрыш, 2030 г.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+4,8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+7,8</w:t>
            </w:r>
          </w:p>
        </w:tc>
        <w:tc>
          <w:tcPr>
            <w:tcW w:type="dxa" w:w="158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+10,8</w:t>
            </w:r>
          </w:p>
        </w:tc>
      </w:tr>
      <w:tr>
        <w:tc>
          <w:tcPr>
            <w:tcW w:type="dxa" w:w="481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4"/>
              </w:rPr>
              <w:t>Выигрыш в цене обмена, Σ 2027–2036 гг.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+131,4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+219,1</w:t>
            </w:r>
          </w:p>
        </w:tc>
        <w:tc>
          <w:tcPr>
            <w:tcW w:type="dxa" w:w="158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 w:val="0"/>
                <w:i w:val="0"/>
                <w:sz w:val="24"/>
              </w:rPr>
              <w:t>+306,9</w:t>
            </w:r>
          </w:p>
        </w:tc>
      </w:tr>
      <w:tr>
        <w:tc>
          <w:tcPr>
            <w:tcW w:type="dxa" w:w="481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b/>
                <w:i w:val="0"/>
                <w:sz w:val="24"/>
              </w:rPr>
              <w:t>Чистый выигрыш, Σ 2027–2036 гг.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i w:val="0"/>
                <w:sz w:val="24"/>
              </w:rPr>
              <w:t>+47,5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i w:val="0"/>
                <w:sz w:val="24"/>
              </w:rPr>
              <w:t>+77,1</w:t>
            </w:r>
          </w:p>
        </w:tc>
        <w:tc>
          <w:tcPr>
            <w:tcW w:type="dxa" w:w="158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i w:val="0"/>
                <w:sz w:val="24"/>
              </w:rPr>
              <w:t>+106,8</w:t>
            </w:r>
          </w:p>
        </w:tc>
      </w:tr>
    </w:tbl>
    <w:p>
      <w:pPr>
        <w:ind w:firstLine="0"/>
        <w:jc w:val="left"/>
      </w:pPr>
      <w:r>
        <w:rPr>
          <w:b w:val="0"/>
          <w:i w:val="0"/>
          <w:sz w:val="24"/>
        </w:rPr>
        <w:t>Источник: рассчитано на имитационной модели [2].</w:t>
      </w:r>
    </w:p>
    <w:p>
      <w:r>
        <w:rPr>
          <w:b w:val="0"/>
          <w:i w:val="0"/>
        </w:rPr>
        <w:t>Из таблицы 2 следует, что каждые 0,1 сдвига цены к верхней границе коридора добавляют предприятию около 1,5 млн руб. чистой прибыли в год и 15 млн руб. за десять лет. Тянуть цену вверх выгодно, но до предела: резидент вступает в обмен, только если его собственный выигрыш покрывает затраты подключения, и при ω, близком к единице, тепличные проекты перестают окупаться. Модель главы 3 показывает, что сокращение числа резидентов снижает связность, а с ней и φ(C) в формуле (2), так что высокая цена может уменьшить итог «Азота», а не увеличить его.</w:t>
      </w:r>
    </w:p>
    <w:p>
      <w:r>
        <w:rPr>
          <w:b w:val="0"/>
          <w:i w:val="0"/>
        </w:rPr>
        <w:t>Есть и второй довод, сильнее ценового. Вклад «Азота» в эффект платформы можно оценить вектором Шепли – средним приростом выигрыша, который предприятие приносит любой коалиции участников</w:t>
      </w:r>
      <w:r>
        <w:rPr>
          <w:vertAlign w:val="superscript"/>
        </w:rPr>
        <w:footnoteReference w:id="1"/>
      </w:r>
      <w:r>
        <w:rPr>
          <w:b w:val="0"/>
          <w:i w:val="0"/>
        </w:rPr>
        <w:t>. Агрегаты аммиака периодически останавливаются, и на это время все потоки от «Азота» прекращаются. С учётом такого риска доля предприятия уменьшается пропорционально доле времени без поставок:</w:t>
      </w:r>
    </w:p>
    <w:p>
      <w:pPr>
        <w:keepNext/>
        <w:tabs>
          <w:tab w:pos="4677" w:val="center"/>
          <w:tab w:pos="9354" w:val="right"/>
        </w:tabs>
        <w:ind w:firstLine="0"/>
        <w:jc w:val="left"/>
      </w:pPr>
      <w:r>
        <w:tab/>
      </w:r>
      <m:oMath>
        <m:sSub>
          <m:e>
            <m:r>
              <w:rPr>
                <w:rFonts w:ascii="Cambria Math" w:hAnsi="Cambria Math"/>
                <w:sz w:val="28"/>
              </w:rPr>
              <m:t>Sh</m:t>
            </m:r>
          </m:e>
          <m:sub>
            <m:r>
              <w:rPr>
                <w:rFonts w:ascii="Cambria Math" w:hAnsi="Cambria Math"/>
                <w:sz w:val="28"/>
              </w:rPr>
              <m:t>A</m:t>
            </m:r>
          </m:sub>
        </m:sSub>
        <m:d>
          <m:dPr>
            <m:begChr m:val="("/>
            <m:endChr m:val=")"/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v̄</m:t>
            </m:r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d>
          <m:dPr>
            <m:begChr m:val="("/>
            <m:endChr m:val=")"/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1 − </m:t>
            </m:r>
            <m:sSub>
              <m:e>
                <m:r>
                  <w:rPr>
                    <w:rFonts w:ascii="Cambria Math" w:hAnsi="Cambria Math"/>
                    <w:sz w:val="28"/>
                  </w:rPr>
                  <m:t>π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>A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·</m:t>
        </m:r>
        <m:sSub>
          <m:e>
            <m:r>
              <w:rPr>
                <w:rFonts w:ascii="Cambria Math" w:hAnsi="Cambria Math"/>
                <w:sz w:val="28"/>
              </w:rPr>
              <m:t>Sh</m:t>
            </m:r>
          </m:e>
          <m:sub>
            <m:r>
              <w:rPr>
                <w:rFonts w:ascii="Cambria Math" w:hAnsi="Cambria Math"/>
                <w:sz w:val="28"/>
              </w:rPr>
              <m:t>A</m:t>
            </m:r>
          </m:sub>
        </m:sSub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8"/>
              </w:rPr>
              <m:t>v</m:t>
            </m:r>
          </m:e>
        </m:d>
      </m:oMath>
      <w:r>
        <w:tab/>
        <w:t>(3)</w:t>
      </w:r>
    </w:p>
    <w:p>
      <w:pPr>
        <w:ind w:firstLine="0"/>
      </w:pPr>
      <w:r>
        <w:rPr>
          <w:b w:val="0"/>
          <w:i w:val="0"/>
        </w:rPr>
        <w:t xml:space="preserve">где </w:t>
      </w:r>
      <w:r>
        <w:rPr>
          <w:b w:val="0"/>
          <w:i/>
        </w:rPr>
        <w:t>Sh</w:t>
      </w:r>
      <w:r>
        <w:rPr>
          <w:b w:val="0"/>
          <w:i/>
          <w:vertAlign w:val="subscript"/>
        </w:rPr>
        <w:t>A</w:t>
      </w:r>
      <w:r>
        <w:rPr>
          <w:b w:val="0"/>
          <w:i w:val="0"/>
        </w:rPr>
        <w:t>(</w:t>
      </w:r>
      <w:r>
        <w:rPr>
          <w:b w:val="0"/>
          <w:i/>
        </w:rPr>
        <w:t>v̄</w:t>
      </w:r>
      <w:r>
        <w:rPr>
          <w:b w:val="0"/>
          <w:i w:val="0"/>
        </w:rPr>
        <w:t>) – доля «Азота» в эффекте платформы с учётом риска остановки, млн руб. в год;</w:t>
      </w:r>
    </w:p>
    <w:p>
      <w:r>
        <w:rPr>
          <w:b w:val="0"/>
          <w:i/>
        </w:rPr>
        <w:t>π</w:t>
      </w:r>
      <w:r>
        <w:rPr>
          <w:b w:val="0"/>
          <w:i/>
          <w:vertAlign w:val="subscript"/>
        </w:rPr>
        <w:t>A</w:t>
      </w:r>
      <w:r>
        <w:rPr>
          <w:b w:val="0"/>
          <w:i w:val="0"/>
        </w:rPr>
        <w:t xml:space="preserve"> – доля периода, в течение которой предприятие не поставляет ресурсы (оценка по аналогам – 0,05 при интервале 0,028–0,094);</w:t>
      </w:r>
    </w:p>
    <w:p>
      <w:r>
        <w:rPr>
          <w:b w:val="0"/>
          <w:i/>
        </w:rPr>
        <w:t>Sh</w:t>
      </w:r>
      <w:r>
        <w:rPr>
          <w:b w:val="0"/>
          <w:i/>
          <w:vertAlign w:val="subscript"/>
        </w:rPr>
        <w:t>A</w:t>
      </w:r>
      <w:r>
        <w:rPr>
          <w:b w:val="0"/>
          <w:i w:val="0"/>
        </w:rPr>
        <w:t>(</w:t>
      </w:r>
      <w:r>
        <w:rPr>
          <w:b w:val="0"/>
          <w:i/>
        </w:rPr>
        <w:t>v</w:t>
      </w:r>
      <w:r>
        <w:rPr>
          <w:b w:val="0"/>
          <w:i w:val="0"/>
        </w:rPr>
        <w:t>) – доля «Азота» по вектору Шепли при бесперебойной работе (25 % эффекта).</w:t>
      </w:r>
    </w:p>
    <w:p>
      <w:r>
        <w:rPr>
          <w:b w:val="0"/>
          <w:i w:val="0"/>
        </w:rPr>
        <w:t>Применив формулу (3) к эффекту 2030 г. (70,4 млн руб.), получим 0,95 · 0,25 · 70,4 ≈ 16,7 млн руб. прибыли до налогообложения. Схема распределения, заложенная в модель, даёт предприятию 10,35 млн руб. Разница около 6 млн руб. в год возникает из-за того, что сервисный платёж делится пропорционально валовому выигрышу участников, а не их вкладу в эффект. Это допущение модели, а не свойство платформы, и при переговорах о регламенте оператора «Азот» вправе предложить распределять сервисный платёж по риск-скорректированным долям Шепли. Предложение обоснованно ещё и потому, что формула (3) поощряет надёжность: чем меньше простоев, тем выше доля.</w:t>
      </w:r>
    </w:p>
    <w:p>
      <w:pPr>
        <w:keepNext/>
        <w:jc w:val="left"/>
      </w:pPr>
      <w:r>
        <w:rPr>
          <w:b/>
          <w:i w:val="0"/>
        </w:rPr>
        <w:t>5. Чего платформа предприятию не даст</w:t>
      </w:r>
    </w:p>
    <w:p>
      <w:r>
        <w:rPr>
          <w:b w:val="0"/>
          <w:i w:val="0"/>
        </w:rPr>
        <w:t>Углеродную проблему якорного предприятия платформа не решает, и это нужно сказать до начала переговоров, а не после первых отчётов. Траектории выбросов при включённых стратегиях роста химического комплекса и низкоуглеродного развития показаны на рисунке 7.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517218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_emis_azo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172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ind w:firstLine="0"/>
        <w:jc w:val="center"/>
      </w:pPr>
      <w:r>
        <w:rPr>
          <w:b w:val="0"/>
          <w:i w:val="0"/>
        </w:rPr>
        <w:t>Рисунок 7 – Выбросы АО «Невинномысский Азот» при стратегических сценариях, тыс. т CO</w:t>
      </w:r>
      <w:r>
        <w:rPr>
          <w:b w:val="0"/>
          <w:i w:val="0"/>
          <w:vertAlign w:val="subscript"/>
        </w:rPr>
        <w:t>2</w:t>
      </w:r>
      <w:r>
        <w:rPr>
          <w:b w:val="0"/>
          <w:i w:val="0"/>
        </w:rPr>
        <w:t>-экв.</w:t>
      </w:r>
    </w:p>
    <w:p>
      <w:pPr>
        <w:ind w:firstLine="0"/>
        <w:jc w:val="center"/>
      </w:pPr>
      <w:r>
        <w:rPr>
          <w:b w:val="0"/>
          <w:i w:val="0"/>
          <w:sz w:val="24"/>
        </w:rPr>
        <w:t>Источник: вкладка «Бенефициары и стратегии» имитационной модели [2]; включены стратегии роста химического комплекса (g = 2 % в год до 2030 г.) и низкоуглеродного развития [1]</w:t>
      </w:r>
    </w:p>
    <w:p>
      <w:r>
        <w:rPr>
          <w:b w:val="0"/>
          <w:i w:val="0"/>
        </w:rPr>
        <w:t>Рисунок 7 показывает, что к 2035 г. рост выпуска добавляет 579 тыс. т CO</w:t>
      </w:r>
      <w:r>
        <w:rPr>
          <w:b w:val="0"/>
          <w:i w:val="0"/>
          <w:vertAlign w:val="subscript"/>
        </w:rPr>
        <w:t>2</w:t>
      </w:r>
      <w:r>
        <w:rPr>
          <w:b w:val="0"/>
          <w:i w:val="0"/>
        </w:rPr>
        <w:t>-экв., а платформа снимает лишь 10 тыс. т: линии «стратегии без платформы» и «стратегии с платформой» почти совпадают. При сценарной цене выбросов 1 000 руб./т с 2030 г. и ежегодном росте на 10 % углеродная нагрузка на предприятие в 2035 г. составила бы 7 694 млн руб., и вычет за переданный резидентам CO</w:t>
      </w:r>
      <w:r>
        <w:rPr>
          <w:b w:val="0"/>
          <w:i w:val="0"/>
          <w:vertAlign w:val="subscript"/>
        </w:rPr>
        <w:t>2</w:t>
      </w:r>
      <w:r>
        <w:rPr>
          <w:b w:val="0"/>
          <w:i w:val="0"/>
        </w:rPr>
        <w:t xml:space="preserve"> её не уменьшает, пока газ не связывается постоянно (μ = 0): углекислота для теплиц и напитков возвращается в атмосферу. Сценарный анализ главы 3 оценивает вклад симбиоза в сокращение выбросов предприятия в 0,2–0,4 %, тогда как каталитическая очистка N</w:t>
      </w:r>
      <w:r>
        <w:rPr>
          <w:b w:val="0"/>
          <w:i w:val="0"/>
          <w:vertAlign w:val="subscript"/>
        </w:rPr>
        <w:t>2</w:t>
      </w:r>
      <w:r>
        <w:rPr>
          <w:b w:val="0"/>
          <w:i w:val="0"/>
        </w:rPr>
        <w:t>O способна снизить их примерно на 38 %. Решение об очистке принимается предприятием вне механизма платформы, и оно на два порядка важнее для углеродной позиции «Азота», чем участие в обменах.</w:t>
      </w:r>
    </w:p>
    <w:p>
      <w:r>
        <w:rPr>
          <w:b w:val="0"/>
          <w:i w:val="0"/>
        </w:rPr>
        <w:t>Платформа не отменяет и риск, связанный с ролью градообразующего предприятия. Резидент, который покупает CO</w:t>
      </w:r>
      <w:r>
        <w:rPr>
          <w:b w:val="0"/>
          <w:i w:val="0"/>
          <w:vertAlign w:val="subscript"/>
        </w:rPr>
        <w:t>2</w:t>
      </w:r>
      <w:r>
        <w:rPr>
          <w:b w:val="0"/>
          <w:i w:val="0"/>
        </w:rPr>
        <w:t xml:space="preserve"> только у «Азота», вкладывает средства в специфический актив и при остановке агрегатов теряет сырьё. Договор с ним поэтому должен предусматривать резервный источник и согласованный график плановых ремонтов. Для поставщиков «Азота» режим ТОСЭР ограничивает долю продаж градообразующей организации половиной выручки проекта, и расчёт главы 3 показывает, что для низкомаржинального резидента безопасная доля ниже – около 40 %.</w:t>
      </w:r>
    </w:p>
    <w:p>
      <w:pPr>
        <w:keepNext/>
        <w:jc w:val="left"/>
      </w:pPr>
      <w:r>
        <w:rPr>
          <w:b/>
          <w:i w:val="0"/>
        </w:rPr>
        <w:t>6. Обязательства предприятия и предложения</w:t>
      </w:r>
    </w:p>
    <w:p>
      <w:r>
        <w:rPr>
          <w:b w:val="0"/>
          <w:i w:val="0"/>
        </w:rPr>
        <w:t>Участие в платформе требует от «Азота» нескольких обязательств. Их соотношение с получаемыми выгодами приведено в таблице 3.</w:t>
      </w:r>
    </w:p>
    <w:p>
      <w:pPr>
        <w:keepNext/>
        <w:ind w:firstLine="0"/>
        <w:jc w:val="right"/>
      </w:pPr>
      <w:r>
        <w:rPr>
          <w:b w:val="0"/>
          <w:i w:val="0"/>
        </w:rPr>
        <w:t>Таблица 3</w:t>
      </w:r>
    </w:p>
    <w:p>
      <w:pPr>
        <w:keepNext/>
        <w:ind w:firstLine="0"/>
        <w:jc w:val="center"/>
      </w:pPr>
      <w:r>
        <w:rPr>
          <w:b/>
          <w:i w:val="0"/>
        </w:rPr>
        <w:t>Обязательства АО «Невинномысский Азот» и получаемые выгоды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3175"/>
        <w:gridCol w:w="3231"/>
      </w:tblGrid>
      <w:tr>
        <w:trPr>
          <w:tblHeader/>
        </w:trPr>
        <w:tc>
          <w:tcPr>
            <w:tcW w:type="dxa" w:w="294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i w:val="0"/>
                <w:sz w:val="22"/>
              </w:rPr>
              <w:t>Обязательство</w:t>
            </w:r>
          </w:p>
        </w:tc>
        <w:tc>
          <w:tcPr>
            <w:tcW w:type="dxa" w:w="317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i w:val="0"/>
                <w:sz w:val="22"/>
              </w:rPr>
              <w:t>Зачем оно нужно</w:t>
            </w:r>
          </w:p>
        </w:tc>
        <w:tc>
          <w:tcPr>
            <w:tcW w:type="dxa" w:w="323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i w:val="0"/>
                <w:sz w:val="22"/>
              </w:rPr>
              <w:t>Что предприятие получает взамен</w:t>
            </w:r>
          </w:p>
        </w:tc>
      </w:tr>
      <w:tr>
        <w:tc>
          <w:tcPr>
            <w:tcW w:type="dxa" w:w="294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2"/>
              </w:rPr>
              <w:t>Раскрывать оператору помесячные отгрузки CO</w:t>
            </w:r>
            <w:r>
              <w:rPr>
                <w:b w:val="0"/>
                <w:i w:val="0"/>
                <w:sz w:val="22"/>
                <w:vertAlign w:val="subscript"/>
              </w:rPr>
              <w:t>2</w:t>
            </w:r>
            <w:r>
              <w:rPr>
                <w:b w:val="0"/>
                <w:i w:val="0"/>
                <w:sz w:val="22"/>
              </w:rPr>
              <w:t xml:space="preserve"> всем покупателям</w:t>
            </w:r>
          </w:p>
        </w:tc>
        <w:tc>
          <w:tcPr>
            <w:tcW w:type="dxa" w:w="317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2"/>
              </w:rPr>
              <w:t>эффект засчитывается только на прирост сверх 32 тыс. т, иначе переключение прежних покупателей выдаётся за новый эффект</w:t>
            </w:r>
          </w:p>
        </w:tc>
        <w:tc>
          <w:tcPr>
            <w:tcW w:type="dxa" w:w="323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2"/>
              </w:rPr>
              <w:t>доверительное хранение данных: партнёры видят только результат расчёта совместимости, а не объёмы</w:t>
            </w:r>
          </w:p>
        </w:tc>
      </w:tr>
      <w:tr>
        <w:tc>
          <w:tcPr>
            <w:tcW w:type="dxa" w:w="294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2"/>
              </w:rPr>
              <w:t>Обеспечивать поставку по долгосрочному договору</w:t>
            </w:r>
          </w:p>
        </w:tc>
        <w:tc>
          <w:tcPr>
            <w:tcW w:type="dxa" w:w="317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2"/>
              </w:rPr>
              <w:t>тепличный резидент вкладывает средства в специфический актив</w:t>
            </w:r>
          </w:p>
        </w:tc>
        <w:tc>
          <w:tcPr>
            <w:tcW w:type="dxa" w:w="323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2"/>
              </w:rPr>
              <w:t>компенсацию досрочного расторжения и стабильный сбыт на горизонте 10 лет</w:t>
            </w:r>
          </w:p>
        </w:tc>
      </w:tr>
      <w:tr>
        <w:tc>
          <w:tcPr>
            <w:tcW w:type="dxa" w:w="294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2"/>
              </w:rPr>
              <w:t>Согласовывать график плановых ремонтов с потребителями</w:t>
            </w:r>
          </w:p>
        </w:tc>
        <w:tc>
          <w:tcPr>
            <w:tcW w:type="dxa" w:w="317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2"/>
              </w:rPr>
              <w:t>остановка в пик потребности теплиц критична для резидента</w:t>
            </w:r>
          </w:p>
        </w:tc>
        <w:tc>
          <w:tcPr>
            <w:tcW w:type="dxa" w:w="323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2"/>
              </w:rPr>
              <w:t>рост риск-скорректированной доли по формуле (3) при сокращении простоев</w:t>
            </w:r>
          </w:p>
        </w:tc>
      </w:tr>
      <w:tr>
        <w:tc>
          <w:tcPr>
            <w:tcW w:type="dxa" w:w="294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2"/>
              </w:rPr>
              <w:t>Отражать климатический эффект отдельно от денежного</w:t>
            </w:r>
          </w:p>
        </w:tc>
        <w:tc>
          <w:tcPr>
            <w:tcW w:type="dxa" w:w="317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2"/>
              </w:rPr>
              <w:t>вклад симбиоза в снижение выбросов мал (0,2–0,4 %)</w:t>
            </w:r>
          </w:p>
        </w:tc>
        <w:tc>
          <w:tcPr>
            <w:tcW w:type="dxa" w:w="323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b w:val="0"/>
                <w:i w:val="0"/>
                <w:sz w:val="22"/>
              </w:rPr>
              <w:t>защиту от завышенных ожиданий органов власти и инвесторов</w:t>
            </w:r>
          </w:p>
        </w:tc>
      </w:tr>
    </w:tbl>
    <w:p>
      <w:pPr>
        <w:ind w:firstLine="0"/>
        <w:jc w:val="left"/>
      </w:pPr>
      <w:r>
        <w:rPr>
          <w:b w:val="0"/>
          <w:i w:val="0"/>
          <w:sz w:val="24"/>
        </w:rPr>
        <w:t>Источник: составлено по результатам расчётов глав 2–3.</w:t>
      </w:r>
    </w:p>
    <w:p>
      <w:r>
        <w:rPr>
          <w:b w:val="0"/>
          <w:i w:val="0"/>
        </w:rPr>
        <w:t>Таблица 3 показывает, что ни одно обязательство не требует от предприятия капитальных вложений или изменения технологии. Самое чувствительное из них – раскрытие отгрузок, и именно для него механизм предусматривает доверительного управляющего данными, который хранит сведения о потоках и раскрывает партнёрам только итог расчёта. В имитационной модели доверительное управление повышает равновесную связность сети так же, как компенсация затрат подключения (с 0,169 до 0,208), при затратах около 3 млн руб. в год.</w:t>
      </w:r>
    </w:p>
    <w:p>
      <w:r>
        <w:rPr>
          <w:b w:val="0"/>
          <w:i w:val="0"/>
        </w:rPr>
        <w:t>Администрации АО «Невинномысский Азот» предлагается:</w:t>
      </w:r>
    </w:p>
    <w:p>
      <w:r>
        <w:rPr>
          <w:b w:val="0"/>
          <w:i w:val="0"/>
        </w:rPr>
        <w:t>– подтвердить готовность поставлять технологический CO</w:t>
      </w:r>
      <w:r>
        <w:rPr>
          <w:b w:val="0"/>
          <w:i w:val="0"/>
          <w:vertAlign w:val="subscript"/>
        </w:rPr>
        <w:t>2</w:t>
      </w:r>
      <w:r>
        <w:rPr>
          <w:b w:val="0"/>
          <w:i w:val="0"/>
        </w:rPr>
        <w:t xml:space="preserve"> резидентам ТОСЭР сверх нынешних 32 тыс. т в год и назначить ответственного за взаимодействие с оператором платформы;</w:t>
      </w:r>
    </w:p>
    <w:p>
      <w:r>
        <w:rPr>
          <w:b w:val="0"/>
          <w:i w:val="0"/>
        </w:rPr>
        <w:t>– передать оператору и независимому аудитору (СКФУ) данные, необходимые для замены аналоговых оценок: отчёт о выбросах парниковых газов, сведения о степени очистки N</w:t>
      </w:r>
      <w:r>
        <w:rPr>
          <w:b w:val="0"/>
          <w:i w:val="0"/>
          <w:vertAlign w:val="subscript"/>
        </w:rPr>
        <w:t>2</w:t>
      </w:r>
      <w:r>
        <w:rPr>
          <w:b w:val="0"/>
          <w:i w:val="0"/>
        </w:rPr>
        <w:t>O, баланс CO</w:t>
      </w:r>
      <w:r>
        <w:rPr>
          <w:b w:val="0"/>
          <w:i w:val="0"/>
          <w:vertAlign w:val="subscript"/>
        </w:rPr>
        <w:t>2</w:t>
      </w:r>
      <w:r>
        <w:rPr>
          <w:b w:val="0"/>
          <w:i w:val="0"/>
        </w:rPr>
        <w:t xml:space="preserve"> по установкам аммиака, помесячные отгрузки и даты остановок агрегатов за 2017–2026 гг.;</w:t>
      </w:r>
    </w:p>
    <w:p>
      <w:r>
        <w:rPr>
          <w:b w:val="0"/>
          <w:i w:val="0"/>
        </w:rPr>
        <w:t>– при обсуждении регламента оператора предложить распределение сервисного платежа по риск-скорректированным долям Шепли вместо пропорции валового выигрыша;</w:t>
      </w:r>
    </w:p>
    <w:p>
      <w:r>
        <w:rPr>
          <w:b w:val="0"/>
          <w:i w:val="0"/>
        </w:rPr>
        <w:t>– договариваться о цене CO</w:t>
      </w:r>
      <w:r>
        <w:rPr>
          <w:b w:val="0"/>
          <w:i w:val="0"/>
          <w:vertAlign w:val="subscript"/>
        </w:rPr>
        <w:t>2</w:t>
      </w:r>
      <w:r>
        <w:rPr>
          <w:b w:val="0"/>
          <w:i w:val="0"/>
        </w:rPr>
        <w:t xml:space="preserve"> в средней части коридора (ω = 0,4–0,6), чтобы не сокращать число резидентов-покупателей;</w:t>
      </w:r>
    </w:p>
    <w:p>
      <w:r>
        <w:rPr>
          <w:b w:val="0"/>
          <w:i w:val="0"/>
        </w:rPr>
        <w:t>– рассматривать каталитическую очистку N</w:t>
      </w:r>
      <w:r>
        <w:rPr>
          <w:b w:val="0"/>
          <w:i w:val="0"/>
          <w:vertAlign w:val="subscript"/>
        </w:rPr>
        <w:t>2</w:t>
      </w:r>
      <w:r>
        <w:rPr>
          <w:b w:val="0"/>
          <w:i w:val="0"/>
        </w:rPr>
        <w:t>O как самостоятельное решение углеродной стратегии предприятия, не связанное с платформой.</w:t>
      </w:r>
    </w:p>
    <w:p>
      <w:pPr>
        <w:keepNext/>
        <w:jc w:val="left"/>
      </w:pPr>
      <w:r>
        <w:rPr>
          <w:b/>
          <w:i w:val="0"/>
        </w:rPr>
        <w:t>7. Проверяемость выводов</w:t>
      </w:r>
    </w:p>
    <w:p>
      <w:r>
        <w:rPr>
          <w:b w:val="0"/>
          <w:i w:val="0"/>
        </w:rPr>
        <w:t>Выводы доклада сформулированы так, чтобы их можно было опровергнуть фактическими данными. Если после запуска платформы совокупные продажи CO</w:t>
      </w:r>
      <w:r>
        <w:rPr>
          <w:b w:val="0"/>
          <w:i w:val="0"/>
          <w:vertAlign w:val="subscript"/>
        </w:rPr>
        <w:t>2</w:t>
      </w:r>
      <w:r>
        <w:rPr>
          <w:b w:val="0"/>
          <w:i w:val="0"/>
        </w:rPr>
        <w:t xml:space="preserve"> не превысят 32 тыс. т в год, а новые договоры с резидентами лишь заменят прежних покупателей, денежный выигрыш «Азота» окажется близок к нулю: модель засчитывает эффект только на прирост продаж. Если фактическая доля времени без поставок окажется выше 0,094, риск-скорректированная доля по формуле (3) уменьшится сильнее, чем принято в расчёте. Если отчётность предприятия покажет, что очистка N</w:t>
      </w:r>
      <w:r>
        <w:rPr>
          <w:b w:val="0"/>
          <w:i w:val="0"/>
          <w:vertAlign w:val="subscript"/>
        </w:rPr>
        <w:t>2</w:t>
      </w:r>
      <w:r>
        <w:rPr>
          <w:b w:val="0"/>
          <w:i w:val="0"/>
        </w:rPr>
        <w:t>O уже действует, экологическая часть доклада изменится, а денежная – нет.</w:t>
      </w:r>
    </w:p>
    <w:p>
      <w:r>
        <w:rPr>
          <w:b w:val="0"/>
          <w:i w:val="0"/>
        </w:rPr>
        <w:t>Воспроизвести расчёт может любой специалист предприятия: модель открыта [2], все параметры указаны в подписях к рисункам и таблицам, а замыкание баланса бенефициаров проверяется на экране для каждого года. Строгость обеспечена тем, что выигрыш «Азота» не превышает его доли в эффекте, который платформа действительно создаёт, – цена обмена и дивиденд перераспределяют этот эффект, но не увеличивают его.</w:t>
      </w:r>
    </w:p>
    <w:p>
      <w:pPr>
        <w:keepNext/>
        <w:jc w:val="left"/>
      </w:pPr>
      <w:r>
        <w:rPr>
          <w:b/>
          <w:i w:val="0"/>
        </w:rPr>
        <w:t>Заключение</w:t>
      </w:r>
    </w:p>
    <w:p>
      <w:r>
        <w:rPr>
          <w:b w:val="0"/>
          <w:i w:val="0"/>
        </w:rPr>
        <w:t>Для АО «Невинномысский Азот» экоплатформа – способ превратить в выручку технологический CO</w:t>
      </w:r>
      <w:r>
        <w:rPr>
          <w:b w:val="0"/>
          <w:i w:val="0"/>
          <w:vertAlign w:val="subscript"/>
        </w:rPr>
        <w:t>2</w:t>
      </w:r>
      <w:r>
        <w:rPr>
          <w:b w:val="0"/>
          <w:i w:val="0"/>
        </w:rPr>
        <w:t>, который сегодня почти полностью выбрасывается. В базовом сценарии предприятие получает 7,8 млн руб. чистой прибыли в 2030 г., 77,1 млн руб. за 2027–2036 гг. и 60 млн руб. приведённой стоимости за 2026–2040 гг. без собственных капитальных вложений. Ещё около 6 млн руб. в год прибыли до налогообложения предприятие может добиться, если сервисный платёж будет распределяться по вкладу в эффект с поправкой на риск остановки. Взамен от «Азота» требуются раскрытие отгрузок под защитой доверительного управляющего, долгосрочный договор поставки и согласованный график ремонтов. Решить углеродную задачу предприятия платформа не может, и смешивать её с программой очистки N</w:t>
      </w:r>
      <w:r>
        <w:rPr>
          <w:b w:val="0"/>
          <w:i w:val="0"/>
          <w:vertAlign w:val="subscript"/>
        </w:rPr>
        <w:t>2</w:t>
      </w:r>
      <w:r>
        <w:rPr>
          <w:b w:val="0"/>
          <w:i w:val="0"/>
        </w:rPr>
        <w:t>O не следует: за выбросы отвечает очистка, за новые рынки сбыта – платформа.</w:t>
      </w:r>
    </w:p>
    <w:p>
      <w:pPr>
        <w:keepNext/>
        <w:jc w:val="left"/>
      </w:pPr>
      <w:r>
        <w:rPr>
          <w:b/>
          <w:i w:val="0"/>
        </w:rPr>
        <w:t>Список источников</w:t>
      </w:r>
    </w:p>
    <w:p>
      <w:r>
        <w:rPr>
          <w:b w:val="0"/>
          <w:i w:val="0"/>
        </w:rPr>
        <w:t>1. Распоряжение Правительства РФ от 29.10.2021 № 3052-р «Об утверждении стратегии социально-экономического развития Российской Федерации с низким уровнем выбросов парниковых газов до 2050 года».</w:t>
      </w:r>
    </w:p>
    <w:p>
      <w:r>
        <w:rPr>
          <w:b w:val="0"/>
          <w:i w:val="0"/>
        </w:rPr>
        <w:t>2. Имитационная модель экоплатформы промышленного комплекса г. Невинномысска [Электронный ресурс]. – URL: https://ecoplatforma-nevinka.vercel.app/ (дата обращения: 25.10.2026).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sz w:val="24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jc w:val="both"/>
        <w:spacing w:before="0" w:after="0" w:line="240" w:lineRule="auto"/>
      </w:pPr>
      <w:r>
        <w:rPr>
          <w:rFonts w:ascii="Times New Roman" w:hAnsi="Times New Roman" w:cs="Times New Roman"/>
          <w:sz w:val="20"/>
          <w:vertAlign w:val="superscript"/>
        </w:rPr>
        <w:footnoteRef/>
      </w:r>
      <w:r>
        <w:rPr>
          <w:rFonts w:ascii="Times New Roman" w:hAnsi="Times New Roman" w:cs="Times New Roman"/>
          <w:sz w:val="20"/>
        </w:rPr>
        <w:t xml:space="preserve"> Shapley L.S. A value for n-person games // Contributions to the Theory of Games, Vol. II / ed. by H.W. Kuhn, A.W. Tucker. Princeton: Princeton University Press, 1953. P. 307–317.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before="0" w:after="0"/>
      <w:ind w:firstLine="709"/>
      <w:jc w:val="both"/>
    </w:pPr>
    <w:rPr>
      <w:rFonts w:ascii="Times New Roman" w:hAnsi="Times New Roman" w:cs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vec5.sv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Fn1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revision>1</cp:revision>
  <dcterms:created xsi:type="dcterms:W3CDTF">2026-10-25T09:00:00Z</dcterms:created>
  <dcterms:modified xsi:type="dcterms:W3CDTF">2026-10-25T09:00:00Z</dcterms:modified>
  <cp:category/>
</cp:coreProperties>
</file>