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Heading1"/>
      </w:pPr>
      <w:r>
        <w:t xml:space="preserve">Техническое задание на пересборку имитационной модели экоплатформы г. Невинномысска (версия 5.0)</w:t>
      </w:r>
    </w:p>
    <w:p>
      <w:pPr/>
      <w:r>
        <w:t xml:space="preserve">Oct 24, 2026</w:t>
      </w:r>
      <w:r>
        <w:t xml:space="preserve"> · </w:t>
      </w:r>
      <w:r>
        <w:t xml:space="preserve">@Гоша (goxaman2)</w:t>
      </w:r>
    </w:p>
    <w:p>
      <w:pPr>
        <w:pStyle w:val="Heading2"/>
      </w:pPr>
      <w:r>
        <w:t xml:space="preserve">1. Назначение, статус и адресаты</w:t>
      </w:r>
    </w:p>
    <w:p>
      <w:pPr/>
      <w:r>
        <w:t xml:space="preserve">Версия 5.0 пересобирает действующий симулятор (коммит a445fff) из пульта, похожего на работающую систему, в имитационную модель к диссертации К.Г. Гладкова по специальности 5.2.3. Расчётное ядро сохраняется, меняются навигация, подача и состав экранов; добавляется один новый расчётный модуль (раздел 7).</w:t>
      </w:r>
    </w:p>
    <w:p>
      <w:pPr/>
      <w:r>
        <w:rPr>
          <w:b/>
        </w:rPr>
        <w:t xml:space="preserve">Статус объекта.</w:t>
      </w:r>
      <w:r>
        <w:t xml:space="preserve"> Экоплатформа г. Невинномысска не создана. Модель не отображает её работу, а проверяет на откалиброванных данных положения, выносимые на защиту, и формулирует условные прогнозы, которые можно опровергнуть после запуска. Эта формулировка выводится на первом экране и в подвале каждой страницы.</w:t>
      </w:r>
    </w:p>
    <w:p>
      <w:pPr/>
      <w:r>
        <w:rPr>
          <w:b/>
        </w:rPr>
        <w:t xml:space="preserve">Наименование.</w:t>
      </w:r>
      <w:r>
        <w:t xml:space="preserve"> «Имитационная модель экоплатформы г. Невинномысска». Слова «эмулятор», «система», «подключено», «онлайн» в интерфейсе не используются: эмулятор воспроизводит поведение существующей системы, а системы нет.</w:t>
      </w:r>
    </w:p>
    <w:p>
      <w:pPr/>
      <w:r>
        <w:rPr>
          <w:b/>
        </w:rPr>
        <w:t xml:space="preserve">Адресаты.</w:t>
      </w:r>
      <w:r>
        <w:t xml:space="preserve"> У одной модели два режима просмотра с общим ядром и данными: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978"/>
        <w:gridCol w:w="2744"/>
        <w:gridCol w:w="4638"/>
      </w:tblGrid>
      <w:tr>
        <w:trPr>
          <w:tblHeader/>
        </w:trPr>
        <w:tc>
          <w:tcPr>
            <w:tcW w:w="1978" w:type="dxa"/>
            <w:shd w:val="clear" w:color="auto" w:fill="F2F2F2"/>
          </w:tcPr>
          <w:p>
            <w:pPr/>
            <w:r>
              <w:t xml:space="preserve">Режим</w:t>
            </w:r>
          </w:p>
        </w:tc>
        <w:tc>
          <w:tcPr>
            <w:tcW w:w="2744" w:type="dxa"/>
            <w:shd w:val="clear" w:color="auto" w:fill="F2F2F2"/>
          </w:tcPr>
          <w:p>
            <w:pPr/>
            <w:r>
              <w:t xml:space="preserve">Вопрос адресата</w:t>
            </w:r>
          </w:p>
        </w:tc>
        <w:tc>
          <w:tcPr>
            <w:tcW w:w="4638" w:type="dxa"/>
            <w:shd w:val="clear" w:color="auto" w:fill="F2F2F2"/>
          </w:tcPr>
          <w:p>
            <w:pPr/>
            <w:r>
              <w:t xml:space="preserve">Что видит на первом экране</w:t>
            </w:r>
          </w:p>
        </w:tc>
      </w:tr>
      <w:tr>
        <w:tc>
          <w:tcPr>
            <w:tcW w:w="1978" w:type="dxa"/>
          </w:tcPr>
          <w:p>
            <w:pPr/>
            <w:r>
              <w:t xml:space="preserve">Учёный совет</w:t>
            </w:r>
          </w:p>
        </w:tc>
        <w:tc>
          <w:tcPr>
            <w:tcW w:w="2744" w:type="dxa"/>
          </w:tcPr>
          <w:p>
            <w:pPr/>
            <w:r>
              <w:t xml:space="preserve">Научно ли это и что нового</w:t>
            </w:r>
          </w:p>
        </w:tc>
        <w:tc>
          <w:tcPr>
            <w:tcW w:w="4638" w:type="dxa"/>
          </w:tcPr>
          <w:p>
            <w:pPr/>
            <w:r>
              <w:t xml:space="preserve">Генезис, тезисы Н1–Н6, проблемы, условия опровержения</w:t>
            </w:r>
          </w:p>
        </w:tc>
      </w:tr>
      <w:tr>
        <w:tc>
          <w:tcPr>
            <w:tcW w:w="1978" w:type="dxa"/>
          </w:tcPr>
          <w:p>
            <w:pPr/>
            <w:r>
              <w:t xml:space="preserve">Правительство территории</w:t>
            </w:r>
          </w:p>
        </w:tc>
        <w:tc>
          <w:tcPr>
            <w:tcW w:w="2744" w:type="dxa"/>
          </w:tcPr>
          <w:p>
            <w:pPr/>
            <w:r>
              <w:t xml:space="preserve">Что решать, сколько стоит, когда, с каким риском</w:t>
            </w:r>
          </w:p>
        </w:tc>
        <w:tc>
          <w:tcPr>
            <w:tcW w:w="4638" w:type="dxa"/>
          </w:tcPr>
          <w:p>
            <w:pPr/>
            <w:r>
              <w:t xml:space="preserve">Объём поддержки, баланс бюджетов, дорожная карта, контрольные показатели</w:t>
            </w:r>
          </w:p>
        </w:tc>
      </w:tr>
    </w:tbl>
    <w:p>
      <w:pPr/>
      <w:r>
        <w:t xml:space="preserve">Второй режим обосновывает управленческое решение на модели и служит материалом для справок о внедрении от администрации города и органов власти края. Ограничения модели (калибровка по аналогам, условность прогноза) показываются в нём так же явно, как в первом.</w:t>
      </w:r>
    </w:p>
    <w:p>
      <w:pPr>
        <w:pStyle w:val="Heading2"/>
      </w:pPr>
      <w:r>
        <w:t xml:space="preserve">2. Критерии научности, которым отвечает модель</w:t>
      </w:r>
    </w:p>
    <w:p>
      <w:pPr/>
      <w:r>
        <w:t xml:space="preserve">Модель несуществующего объекта доказывает свою ценность тремя способами и двумя свойствами расчёта. Каждому критерию соответствует конкретный экран и проверяемый признак приёмки.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340"/>
        <w:gridCol w:w="2177"/>
        <w:gridCol w:w="2286"/>
        <w:gridCol w:w="2557"/>
      </w:tblGrid>
      <w:tr>
        <w:trPr>
          <w:tblHeader/>
        </w:trPr>
        <w:tc>
          <w:tcPr>
            <w:tcW w:w="2340" w:type="dxa"/>
            <w:shd w:val="clear" w:color="auto" w:fill="F2F2F2"/>
          </w:tcPr>
          <w:p>
            <w:pPr/>
            <w:r>
              <w:t xml:space="preserve">Критерий</w:t>
            </w:r>
          </w:p>
        </w:tc>
        <w:tc>
          <w:tcPr>
            <w:tcW w:w="2177" w:type="dxa"/>
            <w:shd w:val="clear" w:color="auto" w:fill="F2F2F2"/>
          </w:tcPr>
          <w:p>
            <w:pPr/>
            <w:r>
              <w:t xml:space="preserve">Что означает для модели</w:t>
            </w:r>
          </w:p>
        </w:tc>
        <w:tc>
          <w:tcPr>
            <w:tcW w:w="2286" w:type="dxa"/>
            <w:shd w:val="clear" w:color="auto" w:fill="F2F2F2"/>
          </w:tcPr>
          <w:p>
            <w:pPr/>
            <w:r>
              <w:t xml:space="preserve">Экран</w:t>
            </w:r>
          </w:p>
        </w:tc>
        <w:tc>
          <w:tcPr>
            <w:tcW w:w="2557" w:type="dxa"/>
            <w:shd w:val="clear" w:color="auto" w:fill="F2F2F2"/>
          </w:tcPr>
          <w:p>
            <w:pPr/>
            <w:r>
              <w:t xml:space="preserve">Признак выполнения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Объяснительность (ретропрогноз)</w:t>
            </w:r>
          </w:p>
        </w:tc>
        <w:tc>
          <w:tcPr>
            <w:tcW w:w="2177" w:type="dxa"/>
          </w:tcPr>
          <w:p>
            <w:pPr/>
            <w:r>
              <w:t xml:space="preserve">Воспроизводит уже наблюдаемое: ряды выбросов 2017–2026 гг., одну действующую связь, C_инд ≈ 0,03</w:t>
            </w:r>
          </w:p>
        </w:tc>
        <w:tc>
          <w:tcPr>
            <w:tcW w:w="2286" w:type="dxa"/>
          </w:tcPr>
          <w:p>
            <w:pPr/>
            <w:r>
              <w:t xml:space="preserve">«Ретропрогноз»</w:t>
            </w:r>
          </w:p>
        </w:tc>
        <w:tc>
          <w:tcPr>
            <w:tcW w:w="2557" w:type="dxa"/>
          </w:tcPr>
          <w:p>
            <w:pPr/>
            <w:r>
              <w:t xml:space="preserve">Наблюдаемое состояние получается при барьере не ниже 1,75 млн руб. в год (вывод 4 главы 3)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Прогностичность</w:t>
            </w:r>
          </w:p>
        </w:tc>
        <w:tc>
          <w:tcPr>
            <w:tcW w:w="2177" w:type="dxa"/>
          </w:tcPr>
          <w:p>
            <w:pPr/>
            <w:r>
              <w:t xml:space="preserve">Условный прогноз «если механизм θ, то C**, ΔE, баланс бюджетов» с интервалом 5–95 %</w:t>
            </w:r>
          </w:p>
        </w:tc>
        <w:tc>
          <w:tcPr>
            <w:tcW w:w="2286" w:type="dxa"/>
          </w:tcPr>
          <w:p>
            <w:pPr/>
            <w:r>
              <w:t xml:space="preserve">«Реестр прогнозов»</w:t>
            </w:r>
          </w:p>
        </w:tc>
        <w:tc>
          <w:tcPr>
            <w:tcW w:w="2557" w:type="dxa"/>
          </w:tcPr>
          <w:p>
            <w:pPr/>
            <w:r>
              <w:t xml:space="preserve">Каждый прогноз имеет условие, интервал, способ проверки и дату фиксации (коммит)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Фальсифицируемость (Поппер)</w:t>
            </w:r>
          </w:p>
        </w:tc>
        <w:tc>
          <w:tcPr>
            <w:tcW w:w="2177" w:type="dxa"/>
          </w:tcPr>
          <w:p>
            <w:pPr/>
            <w:r>
              <w:t xml:space="preserve">Для каждого тезиса названо наблюдение, которое его отвергает</w:t>
            </w:r>
          </w:p>
        </w:tc>
        <w:tc>
          <w:tcPr>
            <w:tcW w:w="2286" w:type="dxa"/>
          </w:tcPr>
          <w:p>
            <w:pPr/>
            <w:r>
              <w:t xml:space="preserve">Страницы Н1–Н6</w:t>
            </w:r>
          </w:p>
        </w:tc>
        <w:tc>
          <w:tcPr>
            <w:tcW w:w="2557" w:type="dxa"/>
          </w:tcPr>
          <w:p>
            <w:pPr/>
            <w:r>
              <w:t xml:space="preserve">Условия совпадают с табл. 3.8, 3.14, 3.22 главы 3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Воспроизводимость</w:t>
            </w:r>
          </w:p>
        </w:tc>
        <w:tc>
          <w:tcPr>
            <w:tcW w:w="2177" w:type="dxa"/>
          </w:tcPr>
          <w:p>
            <w:pPr/>
            <w:r>
              <w:t xml:space="preserve">Любой может повторить расчёт</w:t>
            </w:r>
          </w:p>
        </w:tc>
        <w:tc>
          <w:tcPr>
            <w:tcW w:w="2286" w:type="dxa"/>
          </w:tcPr>
          <w:p>
            <w:pPr/>
            <w:r>
              <w:t xml:space="preserve">«Паспорт модели»</w:t>
            </w:r>
          </w:p>
        </w:tc>
        <w:tc>
          <w:tcPr>
            <w:tcW w:w="2557" w:type="dxa"/>
          </w:tcPr>
          <w:p>
            <w:pPr/>
            <w:r>
              <w:t xml:space="preserve">Самопроверка воспроизводит все контрольные числа глав 2–3; экспорт параметров и зерна генератора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Строгость</w:t>
            </w:r>
          </w:p>
        </w:tc>
        <w:tc>
          <w:tcPr>
            <w:tcW w:w="2177" w:type="dxa"/>
          </w:tcPr>
          <w:p>
            <w:pPr/>
            <w:r>
              <w:t xml:space="preserve">Известно, на чём держится каждое число и что его сдвинет</w:t>
            </w:r>
          </w:p>
        </w:tc>
        <w:tc>
          <w:tcPr>
            <w:tcW w:w="2286" w:type="dxa"/>
          </w:tcPr>
          <w:p>
            <w:pPr/>
            <w:r>
              <w:t xml:space="preserve">Все экраны</w:t>
            </w:r>
          </w:p>
        </w:tc>
        <w:tc>
          <w:tcPr>
            <w:tcW w:w="2557" w:type="dxa"/>
          </w:tcPr>
          <w:p>
            <w:pPr/>
            <w:r>
              <w:t xml:space="preserve">Класс данных A/B/C у каждого числа; диаграмма чувствительности на каждой странице тезиса</w:t>
            </w:r>
          </w:p>
        </w:tc>
      </w:tr>
    </w:tbl>
    <w:p>
      <w:pPr/>
      <w:r>
        <w:t xml:space="preserve">Ограничение прогностической ценности показывается на экране прямо: наблюдений вне выборки для самой платформы нет, поэтому прогнозы условны и фиксируются до запуска, чтобы их можно было сравнить с фактом.</w:t>
      </w:r>
    </w:p>
    <w:p>
      <w:pPr>
        <w:pStyle w:val="Heading2"/>
      </w:pPr>
      <w:r>
        <w:t xml:space="preserve">3. Архитектура экрана</w:t>
      </w:r>
    </w:p>
    <w:p>
      <w:pPr/>
      <w:r>
        <w:t xml:space="preserve">Экран делится на три колонки: генезис слева, страница тезиса в центре, проблемы справа. Выбор ступени слева подсвечивает связанные тезис и проблемы, выбор проблемы — тезис и пробел теории.</w:t>
      </w:r>
    </w:p>
    <w:p>
      <w:pPr/>
      <w:r>
        <w:drawing>
          <wp:inline distT="0" distB="0" distL="0" distR="0">
            <wp:extent cx="5486400" cy="3486150"/>
            <wp:docPr id="1" name="image1" descr="схема экрана версии 5.0 · три колонки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схема экрана версии 5.0 · три колонки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86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/>
      <w:r>
        <w:t xml:space="preserve">схема экрана версии 5.0 · три колонки</w:t>
      </w:r>
    </w:p>
    <w:p>
      <w:pPr/>
      <w:r>
        <w:t xml:space="preserve">Основные требования к поведению: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Боковые меню</w:t>
      </w:r>
      <w:r>
        <w:t xml:space="preserve"> сворачиваются до полосы 56 px с номерами ступеней; на экране 1366 px раскрыто не более одного меню. Панель справки открывается поверх правого меню.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Режим фокуса</w:t>
      </w:r>
      <w:r>
        <w:t xml:space="preserve">: двойной щелчок по свободному полю центра (не по кнопкам, ползункам, графикам, таблицам и тексту) скрывает оба меню, следующий двойной щелчок возвращает их. Дубли: клавиша F и кнопка «Фокус» в шапке. У краёв остаются язычки «Генезис» и «Проблемы» шириной 12 px; переход длится 0,25 с; выделение текста при двойном щелчке подавляется.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Режим доклада</w:t>
      </w:r>
      <w:r>
        <w:t xml:space="preserve"> внутри фокуса: шапка сжимается до строки «← Н3 · Н4 →», шрифт +10 %, клавиши ← → переключают тезисы.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Режим «Мост»</w:t>
      </w:r>
      <w:r>
        <w:t xml:space="preserve">: одна схема из девяти ступеней, шести тезисов и девяти проблем с линиями связей (SVG). Видна одна основная связь на проблему, второстепенные — при наведении. Схема выгружается как рисунок для автореферата.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Режим «Новизна»</w:t>
      </w:r>
      <w:r>
        <w:t xml:space="preserve"> версии 4.x сохраняется в Лаборатории: метки Н1–Н6 и А1–А2 со ссылками на страницы тезисов.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Подвал</w:t>
      </w:r>
      <w:r>
        <w:t xml:space="preserve"> каждого экрана: «Имитационная модель · платформа не создана · версия, коммит · классы данных A/B/C».</w:t>
      </w:r>
    </w:p>
    <w:p>
      <w:pPr>
        <w:pStyle w:val="Heading2"/>
      </w:pPr>
      <w:r>
        <w:t xml:space="preserve">4. Левое меню: генезис</w:t>
      </w:r>
    </w:p>
    <w:p>
      <w:pPr/>
      <w:r>
        <w:t xml:space="preserve">Левое меню состоит из двух частей, разделённых чертой: генезис понятия (Г1–Г6) и генезис объекта (О1–О4). Ступени понятия взяты из § 1.1 (рис. 1.1, табл. 1.1) и § 1.3.3 (табл. 1.5); новых авторов и дат симулятор не вводит. Каждая ступень обязана заканчиваться открытым вопросом; ступень без вопроса из меню исключается.</w:t>
      </w:r>
    </w:p>
    <w:p>
      <w:pPr/>
      <w:r>
        <w:rPr>
          <w:b/>
        </w:rPr>
        <w:t xml:space="preserve">4.1. Генезис понятия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720"/>
        <w:gridCol w:w="2608"/>
        <w:gridCol w:w="1872"/>
        <w:gridCol w:w="2288"/>
        <w:gridCol w:w="1872"/>
      </w:tblGrid>
      <w:tr>
        <w:trPr>
          <w:tblHeader/>
        </w:trPr>
        <w:tc>
          <w:tcPr>
            <w:tcW w:w="720" w:type="dxa"/>
            <w:shd w:val="clear" w:color="auto" w:fill="F2F2F2"/>
          </w:tcPr>
          <w:p>
            <w:pPr/>
            <w:r>
              <w:t xml:space="preserve">№</w:t>
            </w:r>
          </w:p>
        </w:tc>
        <w:tc>
          <w:tcPr>
            <w:tcW w:w="2608" w:type="dxa"/>
            <w:shd w:val="clear" w:color="auto" w:fill="F2F2F2"/>
          </w:tcPr>
          <w:p>
            <w:pPr/>
            <w:r>
              <w:t xml:space="preserve">Ступень (источник в главе 1)</w:t>
            </w:r>
          </w:p>
        </w:tc>
        <w:tc>
          <w:tcPr>
            <w:tcW w:w="1872" w:type="dxa"/>
            <w:shd w:val="clear" w:color="auto" w:fill="F2F2F2"/>
          </w:tcPr>
          <w:p>
            <w:pPr/>
            <w:r>
              <w:t xml:space="preserve">Что дала</w:t>
            </w:r>
          </w:p>
        </w:tc>
        <w:tc>
          <w:tcPr>
            <w:tcW w:w="2288" w:type="dxa"/>
            <w:shd w:val="clear" w:color="auto" w:fill="F2F2F2"/>
          </w:tcPr>
          <w:p>
            <w:pPr/>
            <w:r>
              <w:t xml:space="preserve">Что осталось открытым</w:t>
            </w:r>
          </w:p>
        </w:tc>
        <w:tc>
          <w:tcPr>
            <w:tcW w:w="1872" w:type="dxa"/>
            <w:shd w:val="clear" w:color="auto" w:fill="F2F2F2"/>
          </w:tcPr>
          <w:p>
            <w:pPr/>
            <w:r>
              <w:t xml:space="preserve">Куда ведёт в модели</w:t>
            </w:r>
          </w:p>
        </w:tc>
      </w:tr>
      <w:tr>
        <w:tc>
          <w:tcPr>
            <w:tcW w:w="720" w:type="dxa"/>
          </w:tcPr>
          <w:p>
            <w:pPr/>
            <w:r>
              <w:t xml:space="preserve">Г1</w:t>
            </w:r>
          </w:p>
        </w:tc>
        <w:tc>
          <w:tcPr>
            <w:tcW w:w="2608" w:type="dxa"/>
          </w:tcPr>
          <w:p>
            <w:pPr/>
            <w:r>
              <w:t xml:space="preserve">Внешняя экономия соседства, кластер (Маршалл, Портер; § 1.1.1)</w:t>
            </w:r>
          </w:p>
        </w:tc>
        <w:tc>
          <w:tcPr>
            <w:tcW w:w="1872" w:type="dxa"/>
          </w:tcPr>
          <w:p>
            <w:pPr/>
            <w:r>
              <w:t xml:space="preserve">Территорию как источник выигрыша</w:t>
            </w:r>
          </w:p>
        </w:tc>
        <w:tc>
          <w:tcPr>
            <w:tcW w:w="2288" w:type="dxa"/>
          </w:tcPr>
          <w:p>
            <w:pPr/>
            <w:r>
              <w:t xml:space="preserve">Как соседи обмениваются веществом и энергией</w:t>
            </w:r>
          </w:p>
        </w:tc>
        <w:tc>
          <w:tcPr>
            <w:tcW w:w="1872" w:type="dxa"/>
          </w:tcPr>
          <w:p>
            <w:pPr/>
            <w:r>
              <w:t xml:space="preserve">Участники и границы системы (§ 2.1.1)</w:t>
            </w:r>
          </w:p>
        </w:tc>
      </w:tr>
      <w:tr>
        <w:tc>
          <w:tcPr>
            <w:tcW w:w="720" w:type="dxa"/>
          </w:tcPr>
          <w:p>
            <w:pPr/>
            <w:r>
              <w:t xml:space="preserve">Г2</w:t>
            </w:r>
          </w:p>
        </w:tc>
        <w:tc>
          <w:tcPr>
            <w:tcW w:w="2608" w:type="dxa"/>
          </w:tcPr>
          <w:p>
            <w:pPr/>
            <w:r>
              <w:t xml:space="preserve">Промышленная экология, Калундборг (Фрош, Галлопулос, Эренфельд; § 1.1.1)</w:t>
            </w:r>
          </w:p>
        </w:tc>
        <w:tc>
          <w:tcPr>
            <w:tcW w:w="1872" w:type="dxa"/>
          </w:tcPr>
          <w:p>
            <w:pPr/>
            <w:r>
              <w:t xml:space="preserve">Потоки как объект анализа</w:t>
            </w:r>
          </w:p>
        </w:tc>
        <w:tc>
          <w:tcPr>
            <w:tcW w:w="2288" w:type="dxa"/>
          </w:tcPr>
          <w:p>
            <w:pPr/>
            <w:r>
              <w:t xml:space="preserve">Кому достаётся выгода; сеть складывается десятилетиями сама</w:t>
            </w:r>
          </w:p>
        </w:tc>
        <w:tc>
          <w:tcPr>
            <w:tcW w:w="1872" w:type="dxa"/>
          </w:tcPr>
          <w:p>
            <w:pPr/>
            <w:r>
              <w:t xml:space="preserve">Потоки табл. 2.6, параметр k (органическая среда)</w:t>
            </w:r>
          </w:p>
        </w:tc>
      </w:tr>
      <w:tr>
        <w:tc>
          <w:tcPr>
            <w:tcW w:w="720" w:type="dxa"/>
          </w:tcPr>
          <w:p>
            <w:pPr/>
            <w:r>
              <w:t xml:space="preserve">Г3</w:t>
            </w:r>
          </w:p>
        </w:tc>
        <w:tc>
          <w:tcPr>
            <w:tcW w:w="2608" w:type="dxa"/>
          </w:tcPr>
          <w:p>
            <w:pPr/>
            <w:r>
              <w:t xml:space="preserve">Промышленный симбиоз, критерий «3–2» (Чертоу; § 1.1.1)</w:t>
            </w:r>
          </w:p>
        </w:tc>
        <w:tc>
          <w:tcPr>
            <w:tcW w:w="1872" w:type="dxa"/>
          </w:tcPr>
          <w:p>
            <w:pPr/>
            <w:r>
              <w:t xml:space="preserve">Проверяемую нижнюю границу сети</w:t>
            </w:r>
          </w:p>
        </w:tc>
        <w:tc>
          <w:tcPr>
            <w:tcW w:w="2288" w:type="dxa"/>
          </w:tcPr>
          <w:p>
            <w:pPr/>
            <w:r>
              <w:t xml:space="preserve">Эффект измеряется по паре, а не по сети</w:t>
            </w:r>
          </w:p>
        </w:tc>
        <w:tc>
          <w:tcPr>
            <w:tcW w:w="1872" w:type="dxa"/>
          </w:tcPr>
          <w:p>
            <w:pPr/>
            <w:r>
              <w:t xml:space="preserve">C_инд, φ(C), разложение (1.4)</w:t>
            </w:r>
          </w:p>
        </w:tc>
      </w:tr>
      <w:tr>
        <w:tc>
          <w:tcPr>
            <w:tcW w:w="720" w:type="dxa"/>
          </w:tcPr>
          <w:p>
            <w:pPr/>
            <w:r>
              <w:t xml:space="preserve">Г4</w:t>
            </w:r>
          </w:p>
        </w:tc>
        <w:tc>
          <w:tcPr>
            <w:tcW w:w="2608" w:type="dxa"/>
          </w:tcPr>
          <w:p>
            <w:pPr/>
            <w:r>
              <w:t xml:space="preserve">Экосистемный подход (Мур, Якобидес, Клейнер; § 1.1.2)</w:t>
            </w:r>
          </w:p>
        </w:tc>
        <w:tc>
          <w:tcPr>
            <w:tcW w:w="1872" w:type="dxa"/>
          </w:tcPr>
          <w:p>
            <w:pPr/>
            <w:r>
              <w:t xml:space="preserve">Комплементарность и территориальную рамку</w:t>
            </w:r>
          </w:p>
        </w:tc>
        <w:tc>
          <w:tcPr>
            <w:tcW w:w="2288" w:type="dxa"/>
          </w:tcPr>
          <w:p>
            <w:pPr/>
            <w:r>
              <w:t xml:space="preserve">Нет измерителя эффекта и раздела с публичным сектором</w:t>
            </w:r>
          </w:p>
        </w:tc>
        <w:tc>
          <w:tcPr>
            <w:tcW w:w="1872" w:type="dxa"/>
          </w:tcPr>
          <w:p>
            <w:pPr/>
            <w:r>
              <w:t xml:space="preserve">ΔE (2.7), дивиденд SD (2.11)</w:t>
            </w:r>
          </w:p>
        </w:tc>
      </w:tr>
      <w:tr>
        <w:tc>
          <w:tcPr>
            <w:tcW w:w="720" w:type="dxa"/>
          </w:tcPr>
          <w:p>
            <w:pPr/>
            <w:r>
              <w:t xml:space="preserve">Г5</w:t>
            </w:r>
          </w:p>
        </w:tc>
        <w:tc>
          <w:tcPr>
            <w:tcW w:w="2608" w:type="dxa"/>
          </w:tcPr>
          <w:p>
            <w:pPr/>
            <w:r>
              <w:t xml:space="preserve">Координируемые модели: TEDA, программа эко-городов Японии (Кавасаки), Куинана (§ 1.3.3)</w:t>
            </w:r>
          </w:p>
        </w:tc>
        <w:tc>
          <w:tcPr>
            <w:tcW w:w="1872" w:type="dxa"/>
          </w:tcPr>
          <w:p>
            <w:pPr/>
            <w:r>
              <w:t xml:space="preserve">Координатор ускоряет рост связности; город — участник обменов</w:t>
            </w:r>
          </w:p>
        </w:tc>
        <w:tc>
          <w:tcPr>
            <w:tcW w:w="2288" w:type="dxa"/>
          </w:tcPr>
          <w:p>
            <w:pPr/>
            <w:r>
              <w:t xml:space="preserve">Нет правила раздела эффекта и модели стимулов участников</w:t>
            </w:r>
          </w:p>
        </w:tc>
        <w:tc>
          <w:tcPr>
            <w:tcW w:w="1872" w:type="dxa"/>
          </w:tcPr>
          <w:p>
            <w:pPr/>
            <w:r>
              <w:t xml:space="preserve">k = 7, схемы А/Б/В, механизм σ (Н5)</w:t>
            </w:r>
          </w:p>
        </w:tc>
      </w:tr>
      <w:tr>
        <w:tc>
          <w:tcPr>
            <w:tcW w:w="720" w:type="dxa"/>
          </w:tcPr>
          <w:p>
            <w:pPr/>
            <w:r>
              <w:t xml:space="preserve">Г6</w:t>
            </w:r>
          </w:p>
        </w:tc>
        <w:tc>
          <w:tcPr>
            <w:tcW w:w="2608" w:type="dxa"/>
          </w:tcPr>
          <w:p>
            <w:pPr/>
            <w:r>
              <w:t xml:space="preserve">Платформенная координация (Роше, Тироль; Глухов и др.; Кром и др.; § 1.3.1)</w:t>
            </w:r>
          </w:p>
        </w:tc>
        <w:tc>
          <w:tcPr>
            <w:tcW w:w="1872" w:type="dxa"/>
          </w:tcPr>
          <w:p>
            <w:pPr/>
            <w:r>
              <w:t xml:space="preserve">Сетевой эффект, подбор пар</w:t>
            </w:r>
          </w:p>
        </w:tc>
        <w:tc>
          <w:tcPr>
            <w:tcW w:w="2288" w:type="dxa"/>
          </w:tcPr>
          <w:p>
            <w:pPr/>
            <w:r>
              <w:t xml:space="preserve">Платформа находит пару, но не делит выгоду; нет якоря, нормы ТОСЭР и бюджетного условия</w:t>
            </w:r>
          </w:p>
        </w:tc>
        <w:tc>
          <w:tcPr>
            <w:tcW w:w="1872" w:type="dxa"/>
          </w:tcPr>
          <w:p>
            <w:pPr/>
            <w:r>
              <w:t xml:space="preserve">Экоплатформа → Н1–Н6</w:t>
            </w:r>
          </w:p>
        </w:tc>
      </w:tr>
    </w:tbl>
    <w:p>
      <w:pPr/>
      <w:r>
        <w:t xml:space="preserve">Итоговая точка генезиса понятия — определение экоплатформы из § 1.1.3 с тремя проверяемыми признаками: измерение, согласование, распределение. На экране ступени Г6 оно выводится дословно.</w:t>
      </w:r>
    </w:p>
    <w:p>
      <w:pPr/>
      <w:r>
        <w:rPr>
          <w:b/>
        </w:rPr>
        <w:t xml:space="preserve">4.2. Генезис объекта (Невинномысск)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720"/>
        <w:gridCol w:w="1160"/>
        <w:gridCol w:w="2909"/>
        <w:gridCol w:w="2699"/>
        <w:gridCol w:w="1872"/>
      </w:tblGrid>
      <w:tr>
        <w:trPr>
          <w:tblHeader/>
        </w:trPr>
        <w:tc>
          <w:tcPr>
            <w:tcW w:w="720" w:type="dxa"/>
            <w:shd w:val="clear" w:color="auto" w:fill="F2F2F2"/>
          </w:tcPr>
          <w:p>
            <w:pPr/>
            <w:r>
              <w:t xml:space="preserve">№</w:t>
            </w:r>
          </w:p>
        </w:tc>
        <w:tc>
          <w:tcPr>
            <w:tcW w:w="1160" w:type="dxa"/>
            <w:shd w:val="clear" w:color="auto" w:fill="F2F2F2"/>
          </w:tcPr>
          <w:p>
            <w:pPr/>
            <w:r>
              <w:t xml:space="preserve">Время</w:t>
            </w:r>
          </w:p>
        </w:tc>
        <w:tc>
          <w:tcPr>
            <w:tcW w:w="2909" w:type="dxa"/>
            <w:shd w:val="clear" w:color="auto" w:fill="F2F2F2"/>
          </w:tcPr>
          <w:p>
            <w:pPr/>
            <w:r>
              <w:t xml:space="preserve">Состояние</w:t>
            </w:r>
          </w:p>
        </w:tc>
        <w:tc>
          <w:tcPr>
            <w:tcW w:w="2699" w:type="dxa"/>
            <w:shd w:val="clear" w:color="auto" w:fill="F2F2F2"/>
          </w:tcPr>
          <w:p>
            <w:pPr/>
            <w:r>
              <w:t xml:space="preserve">Что доказывает модель</w:t>
            </w:r>
          </w:p>
        </w:tc>
        <w:tc>
          <w:tcPr>
            <w:tcW w:w="1872" w:type="dxa"/>
            <w:shd w:val="clear" w:color="auto" w:fill="F2F2F2"/>
          </w:tcPr>
          <w:p>
            <w:pPr/>
            <w:r>
              <w:t xml:space="preserve">Экран</w:t>
            </w:r>
          </w:p>
        </w:tc>
      </w:tr>
      <w:tr>
        <w:tc>
          <w:tcPr>
            <w:tcW w:w="720" w:type="dxa"/>
          </w:tcPr>
          <w:p>
            <w:pPr/>
            <w:r>
              <w:t xml:space="preserve">О1</w:t>
            </w:r>
          </w:p>
        </w:tc>
        <w:tc>
          <w:tcPr>
            <w:tcW w:w="1160" w:type="dxa"/>
          </w:tcPr>
          <w:p>
            <w:pPr/>
            <w:r>
              <w:t xml:space="preserve">2017–2026</w:t>
            </w:r>
          </w:p>
        </w:tc>
        <w:tc>
          <w:tcPr>
            <w:tcW w:w="2909" w:type="dxa"/>
          </w:tcPr>
          <w:p>
            <w:pPr/>
            <w:r>
              <w:t xml:space="preserve">Ряды выбросов (§ 3.1), одна действующая связь (пищевой CO₂, 32 тыс. т с 2018 г.)</w:t>
            </w:r>
          </w:p>
        </w:tc>
        <w:tc>
          <w:tcPr>
            <w:tcW w:w="2699" w:type="dxa"/>
          </w:tcPr>
          <w:p>
            <w:pPr/>
            <w:r>
              <w:t xml:space="preserve">Объяснение: наблюдаемое состояние воспроизводится при барьере ≥ 1,75 млн руб.</w:t>
            </w:r>
          </w:p>
        </w:tc>
        <w:tc>
          <w:tcPr>
            <w:tcW w:w="1872" w:type="dxa"/>
          </w:tcPr>
          <w:p>
            <w:pPr/>
            <w:r>
              <w:t xml:space="preserve">«Ретропрогноз»</w:t>
            </w:r>
          </w:p>
        </w:tc>
      </w:tr>
      <w:tr>
        <w:tc>
          <w:tcPr>
            <w:tcW w:w="720" w:type="dxa"/>
          </w:tcPr>
          <w:p>
            <w:pPr/>
            <w:r>
              <w:t xml:space="preserve">О2</w:t>
            </w:r>
          </w:p>
        </w:tc>
        <w:tc>
          <w:tcPr>
            <w:tcW w:w="1160" w:type="dxa"/>
          </w:tcPr>
          <w:p>
            <w:pPr/>
            <w:r>
              <w:t xml:space="preserve">2026</w:t>
            </w:r>
          </w:p>
        </w:tc>
        <w:tc>
          <w:tcPr>
            <w:tcW w:w="2909" w:type="dxa"/>
          </w:tcPr>
          <w:p>
            <w:pPr/>
            <w:r>
              <w:t xml:space="preserve">Платформы нет; 52 резидента ТОСЭР, C_инд ≈ 0,03</w:t>
            </w:r>
          </w:p>
        </w:tc>
        <w:tc>
          <w:tcPr>
            <w:tcW w:w="2699" w:type="dxa"/>
          </w:tcPr>
          <w:p>
            <w:pPr/>
            <w:r>
              <w:t xml:space="preserve">Диагноз: C** &lt; C*, разрыв Δ_C; платформа ниже C_min убыточна</w:t>
            </w:r>
          </w:p>
        </w:tc>
        <w:tc>
          <w:tcPr>
            <w:tcW w:w="1872" w:type="dxa"/>
          </w:tcPr>
          <w:p>
            <w:pPr/>
            <w:r>
              <w:t xml:space="preserve">Н1, Н4</w:t>
            </w:r>
          </w:p>
        </w:tc>
      </w:tr>
      <w:tr>
        <w:tc>
          <w:tcPr>
            <w:tcW w:w="720" w:type="dxa"/>
          </w:tcPr>
          <w:p>
            <w:pPr/>
            <w:r>
              <w:t xml:space="preserve">О3</w:t>
            </w:r>
          </w:p>
        </w:tc>
        <w:tc>
          <w:tcPr>
            <w:tcW w:w="1160" w:type="dxa"/>
          </w:tcPr>
          <w:p>
            <w:pPr/>
            <w:r>
              <w:t xml:space="preserve">2027–2036</w:t>
            </w:r>
          </w:p>
        </w:tc>
        <w:tc>
          <w:tcPr>
            <w:tcW w:w="2909" w:type="dxa"/>
          </w:tcPr>
          <w:p>
            <w:pPr/>
            <w:r>
              <w:t xml:space="preserve">Режимы Р0 / Р1 / Р2 / Р2σ; дорожная карта из трёх этапов (§ 3.5.4)</w:t>
            </w:r>
          </w:p>
        </w:tc>
        <w:tc>
          <w:tcPr>
            <w:tcW w:w="2699" w:type="dxa"/>
          </w:tcPr>
          <w:p>
            <w:pPr/>
            <w:r>
              <w:t xml:space="preserve">Условный прогноз с интервалами</w:t>
            </w:r>
          </w:p>
        </w:tc>
        <w:tc>
          <w:tcPr>
            <w:tcW w:w="1872" w:type="dxa"/>
          </w:tcPr>
          <w:p>
            <w:pPr/>
            <w:r>
              <w:t xml:space="preserve">«Реестр прогнозов», Н2, Н5, Н6</w:t>
            </w:r>
          </w:p>
        </w:tc>
      </w:tr>
      <w:tr>
        <w:tc>
          <w:tcPr>
            <w:tcW w:w="720" w:type="dxa"/>
          </w:tcPr>
          <w:p>
            <w:pPr/>
            <w:r>
              <w:t xml:space="preserve">О4</w:t>
            </w:r>
          </w:p>
        </w:tc>
        <w:tc>
          <w:tcPr>
            <w:tcW w:w="1160" w:type="dxa"/>
          </w:tcPr>
          <w:p>
            <w:pPr/>
            <w:r>
              <w:t xml:space="preserve">После запуска</w:t>
            </w:r>
          </w:p>
        </w:tc>
        <w:tc>
          <w:tcPr>
            <w:tcW w:w="2909" w:type="dxa"/>
          </w:tcPr>
          <w:p>
            <w:pPr/>
            <w:r>
              <w:t xml:space="preserve">Оценка по табл. 3.22: синтетический контроль, разность разностей</w:t>
            </w:r>
          </w:p>
        </w:tc>
        <w:tc>
          <w:tcPr>
            <w:tcW w:w="2699" w:type="dxa"/>
          </w:tcPr>
          <w:p>
            <w:pPr/>
            <w:r>
              <w:t xml:space="preserve">Опровержение: какие наблюдения отвергнут тезисы</w:t>
            </w:r>
          </w:p>
        </w:tc>
        <w:tc>
          <w:tcPr>
            <w:tcW w:w="1872" w:type="dxa"/>
          </w:tcPr>
          <w:p>
            <w:pPr/>
            <w:r>
              <w:t xml:space="preserve">Условия на страницах Н1–Н6</w:t>
            </w:r>
          </w:p>
        </w:tc>
      </w:tr>
    </w:tbl>
    <w:p>
      <w:pPr/>
      <w:r>
        <w:t xml:space="preserve">Ступени О1–О4 совпадают с тремя способами доказательства из раздела 2: прошлое объясняется, будущее прогнозируется, наблюдение после запуска проверяет.</w:t>
      </w:r>
    </w:p>
    <w:p>
      <w:pPr>
        <w:pStyle w:val="Heading2"/>
      </w:pPr>
      <w:r>
        <w:t xml:space="preserve">5. Правое меню: проблемы территории</w:t>
      </w:r>
    </w:p>
    <w:p>
      <w:pPr/>
      <w:r>
        <w:t xml:space="preserve">Правое меню содержит девять проблем, каждая опирается на число и источник из глав 2–3. Пять препятствий взяты из табл. 2.2, остальные — из выводов главы 3. Отметка «не решает» обязательна и показывает границу применимости модели.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720"/>
        <w:gridCol w:w="1739"/>
        <w:gridCol w:w="1958"/>
        <w:gridCol w:w="1292"/>
        <w:gridCol w:w="1560"/>
        <w:gridCol w:w="2091"/>
      </w:tblGrid>
      <w:tr>
        <w:trPr>
          <w:tblHeader/>
        </w:trPr>
        <w:tc>
          <w:tcPr>
            <w:tcW w:w="720" w:type="dxa"/>
            <w:shd w:val="clear" w:color="auto" w:fill="F2F2F2"/>
          </w:tcPr>
          <w:p>
            <w:pPr/>
            <w:r>
              <w:t xml:space="preserve">№</w:t>
            </w:r>
          </w:p>
        </w:tc>
        <w:tc>
          <w:tcPr>
            <w:tcW w:w="1739" w:type="dxa"/>
            <w:shd w:val="clear" w:color="auto" w:fill="F2F2F2"/>
          </w:tcPr>
          <w:p>
            <w:pPr/>
            <w:r>
              <w:t xml:space="preserve">Проблема</w:t>
            </w:r>
          </w:p>
        </w:tc>
        <w:tc>
          <w:tcPr>
            <w:tcW w:w="1958" w:type="dxa"/>
            <w:shd w:val="clear" w:color="auto" w:fill="F2F2F2"/>
          </w:tcPr>
          <w:p>
            <w:pPr/>
            <w:r>
              <w:t xml:space="preserve">Факт и источник</w:t>
            </w:r>
          </w:p>
        </w:tc>
        <w:tc>
          <w:tcPr>
            <w:tcW w:w="1292" w:type="dxa"/>
            <w:shd w:val="clear" w:color="auto" w:fill="F2F2F2"/>
          </w:tcPr>
          <w:p>
            <w:pPr/>
            <w:r>
              <w:t xml:space="preserve">Ступень генезиса</w:t>
            </w:r>
          </w:p>
        </w:tc>
        <w:tc>
          <w:tcPr>
            <w:tcW w:w="1560" w:type="dxa"/>
            <w:shd w:val="clear" w:color="auto" w:fill="F2F2F2"/>
          </w:tcPr>
          <w:p>
            <w:pPr/>
            <w:r>
              <w:t xml:space="preserve">Тезис</w:t>
            </w:r>
          </w:p>
        </w:tc>
        <w:tc>
          <w:tcPr>
            <w:tcW w:w="2091" w:type="dxa"/>
            <w:shd w:val="clear" w:color="auto" w:fill="F2F2F2"/>
          </w:tcPr>
          <w:p>
            <w:pPr/>
            <w:r>
              <w:t xml:space="preserve">Решает ли платформа</w:t>
            </w:r>
          </w:p>
        </w:tc>
      </w:tr>
      <w:tr>
        <w:tc>
          <w:tcPr>
            <w:tcW w:w="720" w:type="dxa"/>
          </w:tcPr>
          <w:p>
            <w:pPr/>
            <w:r>
              <w:t xml:space="preserve">П1</w:t>
            </w:r>
          </w:p>
        </w:tc>
        <w:tc>
          <w:tcPr>
            <w:tcW w:w="1739" w:type="dxa"/>
          </w:tcPr>
          <w:p>
            <w:pPr/>
            <w:r>
              <w:t xml:space="preserve">ТОСЭР без симбиоза (распределительное препятствие)</w:t>
            </w:r>
          </w:p>
        </w:tc>
        <w:tc>
          <w:tcPr>
            <w:tcW w:w="1958" w:type="dxa"/>
          </w:tcPr>
          <w:p>
            <w:pPr/>
            <w:r>
              <w:t xml:space="preserve">52 резидента, одна действующая связь (§ 2.1.1)</w:t>
            </w:r>
          </w:p>
        </w:tc>
        <w:tc>
          <w:tcPr>
            <w:tcW w:w="1292" w:type="dxa"/>
          </w:tcPr>
          <w:p>
            <w:pPr/>
            <w:r>
              <w:t xml:space="preserve">Г5</w:t>
            </w:r>
          </w:p>
        </w:tc>
        <w:tc>
          <w:tcPr>
            <w:tcW w:w="1560" w:type="dxa"/>
          </w:tcPr>
          <w:p>
            <w:pPr/>
            <w:r>
              <w:t xml:space="preserve">Н1, Н5</w:t>
            </w:r>
          </w:p>
        </w:tc>
        <w:tc>
          <w:tcPr>
            <w:tcW w:w="2091" w:type="dxa"/>
          </w:tcPr>
          <w:p>
            <w:pPr/>
            <w:r>
              <w:t xml:space="preserve">Да, при компенсации σ = 0,3 (+4 участника, ≈ 2,6 млн руб./год)</w:t>
            </w:r>
          </w:p>
        </w:tc>
      </w:tr>
      <w:tr>
        <w:tc>
          <w:tcPr>
            <w:tcW w:w="720" w:type="dxa"/>
          </w:tcPr>
          <w:p>
            <w:pPr/>
            <w:r>
              <w:t xml:space="preserve">П2</w:t>
            </w:r>
          </w:p>
        </w:tc>
        <w:tc>
          <w:tcPr>
            <w:tcW w:w="1739" w:type="dxa"/>
          </w:tcPr>
          <w:p>
            <w:pPr/>
            <w:r>
              <w:t xml:space="preserve">Информационное препятствие: потоки не раскрыты</w:t>
            </w:r>
          </w:p>
        </w:tc>
        <w:tc>
          <w:tcPr>
            <w:tcW w:w="1958" w:type="dxa"/>
          </w:tcPr>
          <w:p>
            <w:pPr/>
            <w:r>
              <w:t xml:space="preserve">Барьер ≥ 1,75 млн руб. в год на резидента (вывод 4 гл. 3)</w:t>
            </w:r>
          </w:p>
        </w:tc>
        <w:tc>
          <w:tcPr>
            <w:tcW w:w="1292" w:type="dxa"/>
          </w:tcPr>
          <w:p>
            <w:pPr/>
            <w:r>
              <w:t xml:space="preserve">Г6</w:t>
            </w:r>
          </w:p>
        </w:tc>
        <w:tc>
          <w:tcPr>
            <w:tcW w:w="1560" w:type="dxa"/>
          </w:tcPr>
          <w:p>
            <w:pPr/>
            <w:r>
              <w:t xml:space="preserve">Вывод 4</w:t>
            </w:r>
          </w:p>
        </w:tc>
        <w:tc>
          <w:tcPr>
            <w:tcW w:w="2091" w:type="dxa"/>
          </w:tcPr>
          <w:p>
            <w:pPr/>
            <w:r>
              <w:t xml:space="preserve">Частично: платформа лучше двусторонних сделок при барьере ≥ 0,9–1,05 млн руб.</w:t>
            </w:r>
          </w:p>
        </w:tc>
      </w:tr>
      <w:tr>
        <w:tc>
          <w:tcPr>
            <w:tcW w:w="720" w:type="dxa"/>
          </w:tcPr>
          <w:p>
            <w:pPr/>
            <w:r>
              <w:t xml:space="preserve">П3</w:t>
            </w:r>
          </w:p>
        </w:tc>
        <w:tc>
          <w:tcPr>
            <w:tcW w:w="1739" w:type="dxa"/>
          </w:tcPr>
          <w:p>
            <w:pPr/>
            <w:r>
              <w:t xml:space="preserve">Стратегическое препятствие: конкуренты не раскрывают данные</w:t>
            </w:r>
          </w:p>
        </w:tc>
        <w:tc>
          <w:tcPr>
            <w:tcW w:w="1958" w:type="dxa"/>
          </w:tcPr>
          <w:p>
            <w:pPr/>
            <w:r>
              <w:t xml:space="preserve">Тип C резидентов (табл. 2.12)</w:t>
            </w:r>
          </w:p>
        </w:tc>
        <w:tc>
          <w:tcPr>
            <w:tcW w:w="1292" w:type="dxa"/>
          </w:tcPr>
          <w:p>
            <w:pPr/>
            <w:r>
              <w:t xml:space="preserve">Г6</w:t>
            </w:r>
          </w:p>
        </w:tc>
        <w:tc>
          <w:tcPr>
            <w:tcW w:w="1560" w:type="dxa"/>
          </w:tcPr>
          <w:p>
            <w:pPr/>
            <w:r>
              <w:t xml:space="preserve">Вывод 8 (доверительное управление данными)</w:t>
            </w:r>
          </w:p>
        </w:tc>
        <w:tc>
          <w:tcPr>
            <w:tcW w:w="2091" w:type="dxa"/>
          </w:tcPr>
          <w:p>
            <w:pPr/>
            <w:r>
              <w:t xml:space="preserve">Частично: только с доверительным управлением данными</w:t>
            </w:r>
          </w:p>
        </w:tc>
      </w:tr>
      <w:tr>
        <w:tc>
          <w:tcPr>
            <w:tcW w:w="720" w:type="dxa"/>
          </w:tcPr>
          <w:p>
            <w:pPr/>
            <w:r>
              <w:t xml:space="preserve">П4</w:t>
            </w:r>
          </w:p>
        </w:tc>
        <w:tc>
          <w:tcPr>
            <w:tcW w:w="1739" w:type="dxa"/>
          </w:tcPr>
          <w:p>
            <w:pPr/>
            <w:r>
              <w:t xml:space="preserve">Зависимость моногорода от якоря</w:t>
            </w:r>
          </w:p>
        </w:tc>
        <w:tc>
          <w:tcPr>
            <w:tcW w:w="1958" w:type="dxa"/>
          </w:tcPr>
          <w:p>
            <w:pPr/>
            <w:r>
              <w:t xml:space="preserve">π_A = 0,05 (0,028–0,094), норма 50 % (§ 3.2.4)</w:t>
            </w:r>
          </w:p>
        </w:tc>
        <w:tc>
          <w:tcPr>
            <w:tcW w:w="1292" w:type="dxa"/>
          </w:tcPr>
          <w:p>
            <w:pPr/>
            <w:r>
              <w:t xml:space="preserve">Г6</w:t>
            </w:r>
          </w:p>
        </w:tc>
        <w:tc>
          <w:tcPr>
            <w:tcW w:w="1560" w:type="dxa"/>
          </w:tcPr>
          <w:p>
            <w:pPr/>
            <w:r>
              <w:t xml:space="preserve">Н3</w:t>
            </w:r>
          </w:p>
        </w:tc>
        <w:tc>
          <w:tcPr>
            <w:tcW w:w="2091" w:type="dxa"/>
          </w:tcPr>
          <w:p>
            <w:pPr/>
            <w:r>
              <w:t xml:space="preserve">Да: доля Шепли с поправкой и критерий λ*_j</w:t>
            </w:r>
          </w:p>
        </w:tc>
      </w:tr>
      <w:tr>
        <w:tc>
          <w:tcPr>
            <w:tcW w:w="720" w:type="dxa"/>
          </w:tcPr>
          <w:p>
            <w:pPr/>
            <w:r>
              <w:t xml:space="preserve">П5</w:t>
            </w:r>
          </w:p>
        </w:tc>
        <w:tc>
          <w:tcPr>
            <w:tcW w:w="1739" w:type="dxa"/>
          </w:tcPr>
          <w:p>
            <w:pPr/>
            <w:r>
              <w:t xml:space="preserve">Когда платформа окупится</w:t>
            </w:r>
          </w:p>
        </w:tc>
        <w:tc>
          <w:tcPr>
            <w:tcW w:w="1958" w:type="dxa"/>
          </w:tcPr>
          <w:p>
            <w:pPr/>
            <w:r>
              <w:t xml:space="preserve">Затраты 69,6 млн руб./год; C_min = 0,089 → 0,062 (§ 3.3.2)</w:t>
            </w:r>
          </w:p>
        </w:tc>
        <w:tc>
          <w:tcPr>
            <w:tcW w:w="1292" w:type="dxa"/>
          </w:tcPr>
          <w:p>
            <w:pPr/>
            <w:r>
              <w:t xml:space="preserve">Г3</w:t>
            </w:r>
          </w:p>
        </w:tc>
        <w:tc>
          <w:tcPr>
            <w:tcW w:w="1560" w:type="dxa"/>
          </w:tcPr>
          <w:p>
            <w:pPr/>
            <w:r>
              <w:t xml:space="preserve">Н4</w:t>
            </w:r>
          </w:p>
        </w:tc>
        <w:tc>
          <w:tcPr>
            <w:tcW w:w="2091" w:type="dxa"/>
          </w:tcPr>
          <w:p>
            <w:pPr/>
            <w:r>
              <w:t xml:space="preserve">Да: порог выведен из модели</w:t>
            </w:r>
          </w:p>
        </w:tc>
      </w:tr>
      <w:tr>
        <w:tc>
          <w:tcPr>
            <w:tcW w:w="720" w:type="dxa"/>
          </w:tcPr>
          <w:p>
            <w:pPr/>
            <w:r>
              <w:t xml:space="preserve">П6</w:t>
            </w:r>
          </w:p>
        </w:tc>
        <w:tc>
          <w:tcPr>
            <w:tcW w:w="1739" w:type="dxa"/>
          </w:tcPr>
          <w:p>
            <w:pPr/>
            <w:r>
              <w:t xml:space="preserve">Сколько тратить бюджету на поддержку</w:t>
            </w:r>
          </w:p>
        </w:tc>
        <w:tc>
          <w:tcPr>
            <w:tcW w:w="1958" w:type="dxa"/>
          </w:tcPr>
          <w:p>
            <w:pPr/>
            <w:r>
              <w:t xml:space="preserve">Разрыв C* − C** без денежной меры (§ 3.2.3)</w:t>
            </w:r>
          </w:p>
        </w:tc>
        <w:tc>
          <w:tcPr>
            <w:tcW w:w="1292" w:type="dxa"/>
          </w:tcPr>
          <w:p>
            <w:pPr/>
            <w:r>
              <w:t xml:space="preserve">Г5</w:t>
            </w:r>
          </w:p>
        </w:tc>
        <w:tc>
          <w:tcPr>
            <w:tcW w:w="1560" w:type="dxa"/>
          </w:tcPr>
          <w:p>
            <w:pPr/>
            <w:r>
              <w:t xml:space="preserve">Н2</w:t>
            </w:r>
          </w:p>
        </w:tc>
        <w:tc>
          <w:tcPr>
            <w:tcW w:w="2091" w:type="dxa"/>
          </w:tcPr>
          <w:p>
            <w:pPr/>
            <w:r>
              <w:t xml:space="preserve">Да: Z_min и целевая связность Ĉ</w:t>
            </w:r>
          </w:p>
        </w:tc>
      </w:tr>
      <w:tr>
        <w:tc>
          <w:tcPr>
            <w:tcW w:w="720" w:type="dxa"/>
          </w:tcPr>
          <w:p>
            <w:pPr/>
            <w:r>
              <w:t xml:space="preserve">П7</w:t>
            </w:r>
          </w:p>
        </w:tc>
        <w:tc>
          <w:tcPr>
            <w:tcW w:w="1739" w:type="dxa"/>
          </w:tcPr>
          <w:p>
            <w:pPr/>
            <w:r>
              <w:t xml:space="preserve">Накопленный экологический ущерб без источника</w:t>
            </w:r>
          </w:p>
        </w:tc>
        <w:tc>
          <w:tcPr>
            <w:tcW w:w="1958" w:type="dxa"/>
          </w:tcPr>
          <w:p>
            <w:pPr/>
            <w:r>
              <w:t xml:space="preserve">C_ликв = 15,5–20,5 млн руб./год (§ 2.5.4)</w:t>
            </w:r>
          </w:p>
        </w:tc>
        <w:tc>
          <w:tcPr>
            <w:tcW w:w="1292" w:type="dxa"/>
          </w:tcPr>
          <w:p>
            <w:pPr/>
            <w:r>
              <w:t xml:space="preserve">Г4</w:t>
            </w:r>
          </w:p>
        </w:tc>
        <w:tc>
          <w:tcPr>
            <w:tcW w:w="1560" w:type="dxa"/>
          </w:tcPr>
          <w:p>
            <w:pPr/>
            <w:r>
              <w:t xml:space="preserve">Н6</w:t>
            </w:r>
          </w:p>
        </w:tc>
        <w:tc>
          <w:tcPr>
            <w:tcW w:w="2091" w:type="dxa"/>
          </w:tcPr>
          <w:p>
            <w:pPr/>
            <w:r>
              <w:t xml:space="preserve">Частично: дивиденд даёт 9–14 %, 86–91 % — внешний источник</w:t>
            </w:r>
          </w:p>
        </w:tc>
      </w:tr>
      <w:tr>
        <w:tc>
          <w:tcPr>
            <w:tcW w:w="720" w:type="dxa"/>
          </w:tcPr>
          <w:p>
            <w:pPr/>
            <w:r>
              <w:t xml:space="preserve">П8</w:t>
            </w:r>
          </w:p>
        </w:tc>
        <w:tc>
          <w:tcPr>
            <w:tcW w:w="1739" w:type="dxa"/>
          </w:tcPr>
          <w:p>
            <w:pPr/>
            <w:r>
              <w:t xml:space="preserve">Бюджет города теряет плату за НВОС</w:t>
            </w:r>
          </w:p>
        </w:tc>
        <w:tc>
          <w:tcPr>
            <w:tcW w:w="1958" w:type="dxa"/>
          </w:tcPr>
          <w:p>
            <w:pPr/>
            <w:r>
              <w:t xml:space="preserve">Сокращение поступлений ≈ 40 млн руб./год (§ 2.5.4)</w:t>
            </w:r>
          </w:p>
        </w:tc>
        <w:tc>
          <w:tcPr>
            <w:tcW w:w="1292" w:type="dxa"/>
          </w:tcPr>
          <w:p>
            <w:pPr/>
            <w:r>
              <w:t xml:space="preserve">Г4</w:t>
            </w:r>
          </w:p>
        </w:tc>
        <w:tc>
          <w:tcPr>
            <w:tcW w:w="1560" w:type="dxa"/>
          </w:tcPr>
          <w:p>
            <w:pPr/>
            <w:r>
              <w:t xml:space="preserve">Н6</w:t>
            </w:r>
          </w:p>
        </w:tc>
        <w:tc>
          <w:tcPr>
            <w:tcW w:w="2091" w:type="dxa"/>
          </w:tcPr>
          <w:p>
            <w:pPr/>
            <w:r>
              <w:t xml:space="preserve">Требует компенсации: 28–32 млн руб./год сверх дивиденда (вывод 8)</w:t>
            </w:r>
          </w:p>
        </w:tc>
      </w:tr>
      <w:tr>
        <w:tc>
          <w:tcPr>
            <w:tcW w:w="720" w:type="dxa"/>
          </w:tcPr>
          <w:p>
            <w:pPr/>
            <w:r>
              <w:t xml:space="preserve">П9</w:t>
            </w:r>
          </w:p>
        </w:tc>
        <w:tc>
          <w:tcPr>
            <w:tcW w:w="1739" w:type="dxa"/>
          </w:tcPr>
          <w:p>
            <w:pPr/>
            <w:r>
              <w:t xml:space="preserve">Декарбонизация якоря, CBAM</w:t>
            </w:r>
          </w:p>
        </w:tc>
        <w:tc>
          <w:tcPr>
            <w:tcW w:w="1958" w:type="dxa"/>
          </w:tcPr>
          <w:p>
            <w:pPr/>
            <w:r>
              <w:t xml:space="preserve">CO₂ 1,81 млн т; платформа снижает выбросы на 0,2–0,4 % (вывод 7)</w:t>
            </w:r>
          </w:p>
        </w:tc>
        <w:tc>
          <w:tcPr>
            <w:tcW w:w="1292" w:type="dxa"/>
          </w:tcPr>
          <w:p>
            <w:pPr/>
            <w:r>
              <w:t xml:space="preserve">—</w:t>
            </w:r>
          </w:p>
        </w:tc>
        <w:tc>
          <w:tcPr>
            <w:tcW w:w="1560" w:type="dxa"/>
          </w:tcPr>
          <w:p>
            <w:pPr/>
            <w:r>
              <w:t xml:space="preserve">А2, вывод 7</w:t>
            </w:r>
          </w:p>
        </w:tc>
        <w:tc>
          <w:tcPr>
            <w:tcW w:w="2091" w:type="dxa"/>
          </w:tcPr>
          <w:p>
            <w:pPr/>
            <w:r>
              <w:rPr>
                <w:b/>
              </w:rPr>
              <w:t xml:space="preserve">Нет.</w:t>
            </w:r>
            <w:r>
              <w:t xml:space="preserve"> Решает очистка N₂O (−38 %)</w:t>
            </w:r>
          </w:p>
        </w:tc>
      </w:tr>
    </w:tbl>
    <w:p>
      <w:pPr/>
      <w:r>
        <w:t xml:space="preserve">Регуляторное препятствие из табл. 2.2 (тариф на тепло, режим отходов) в меню не выносится отдельной строкой: его снимает ценовой механизм главы 2, а не положения главы 3. При желании он добавляется как П10 со ссылкой на § 2.4.</w:t>
      </w:r>
    </w:p>
    <w:p>
      <w:pPr/>
      <w:r>
        <w:t xml:space="preserve">Каждая строка правого меню в симуляторе содержит ещё два поля из раздела 8: «Как решала Япония» и «Чем отличается Невинномысск». Поля заполняются только там, где есть проверенный источник; пустое поле не показывается.</w:t>
      </w:r>
    </w:p>
    <w:p>
      <w:pPr>
        <w:pStyle w:val="Heading2"/>
      </w:pPr>
      <w:r>
        <w:t xml:space="preserve">6. Центр: страницы тезисов, прогнозы, самопроверка</w:t>
      </w:r>
    </w:p>
    <w:p>
      <w:pPr/>
      <w:r>
        <w:t xml:space="preserve">Шесть страниц Н1–Н6 строятся по одному шаблону из семи блоков. Формулировки берутся из выводов главы 3 (файл novelty.ts версии 4.x переносится без изменений смысла).</w:t>
      </w:r>
    </w:p>
    <w:p>
      <w:pPr>
        <w:pStyle w:val="ListParagraph"/>
        <w:numPr>
          <w:ilvl w:val="0"/>
          <w:numId w:val="3"/>
        </w:numPr>
      </w:pPr>
      <w:r>
        <w:rPr>
          <w:b/>
        </w:rPr>
        <w:t xml:space="preserve">Утверждение</w:t>
      </w:r>
      <w:r>
        <w:t xml:space="preserve"> — формулировка положения, параграф и номер вывода.</w:t>
      </w:r>
    </w:p>
    <w:p>
      <w:pPr>
        <w:pStyle w:val="ListParagraph"/>
        <w:numPr>
          <w:ilvl w:val="0"/>
          <w:numId w:val="3"/>
        </w:numPr>
      </w:pPr>
      <w:r>
        <w:rPr>
          <w:b/>
        </w:rPr>
        <w:t xml:space="preserve">Известное и вклад</w:t>
      </w:r>
      <w:r>
        <w:t xml:space="preserve"> — что было до автора (ссылка на ступень генезиса) и в чём приращение.</w:t>
      </w:r>
    </w:p>
    <w:p>
      <w:pPr>
        <w:pStyle w:val="ListParagraph"/>
        <w:numPr>
          <w:ilvl w:val="0"/>
          <w:numId w:val="3"/>
        </w:numPr>
      </w:pPr>
      <w:r>
        <w:rPr>
          <w:b/>
        </w:rPr>
        <w:t xml:space="preserve">Механизм</w:t>
      </w:r>
      <w:r>
        <w:t xml:space="preserve"> — две–три формулы с номерами из главы 3, переход в справку по каждому члену.</w:t>
      </w:r>
    </w:p>
    <w:p>
      <w:pPr>
        <w:pStyle w:val="ListParagraph"/>
        <w:numPr>
          <w:ilvl w:val="0"/>
          <w:numId w:val="3"/>
        </w:numPr>
      </w:pPr>
      <w:r>
        <w:rPr>
          <w:b/>
        </w:rPr>
        <w:t xml:space="preserve">Эксперимент</w:t>
      </w:r>
      <w:r>
        <w:t xml:space="preserve"> — только те 2–3 ползунка, от которых зависит вывод, и один график.</w:t>
      </w:r>
    </w:p>
    <w:p>
      <w:pPr>
        <w:pStyle w:val="ListParagraph"/>
        <w:numPr>
          <w:ilvl w:val="0"/>
          <w:numId w:val="3"/>
        </w:numPr>
      </w:pPr>
      <w:r>
        <w:rPr>
          <w:b/>
        </w:rPr>
        <w:t xml:space="preserve">Результат с интервалом</w:t>
      </w:r>
      <w:r>
        <w:t xml:space="preserve"> — значение и интервал 5–95 % по Монте-Карло (в браузере не менее 2000 испытаний; число из главы — 25 000 — показывается рядом).</w:t>
      </w:r>
    </w:p>
    <w:p>
      <w:pPr>
        <w:pStyle w:val="ListParagraph"/>
        <w:numPr>
          <w:ilvl w:val="0"/>
          <w:numId w:val="3"/>
        </w:numPr>
      </w:pPr>
      <w:r>
        <w:rPr>
          <w:b/>
        </w:rPr>
        <w:t xml:space="preserve">Устойчивость</w:t>
      </w:r>
      <w:r>
        <w:t xml:space="preserve"> — диаграмма чувствительности: какие допущения класса C могут перевернуть вывод.</w:t>
      </w:r>
    </w:p>
    <w:p>
      <w:pPr>
        <w:pStyle w:val="ListParagraph"/>
        <w:numPr>
          <w:ilvl w:val="0"/>
          <w:numId w:val="3"/>
        </w:numPr>
      </w:pPr>
      <w:r>
        <w:rPr>
          <w:b/>
        </w:rPr>
        <w:t xml:space="preserve">Опровержение</w:t>
      </w:r>
      <w:r>
        <w:t xml:space="preserve"> — наблюдение после запуска, отвергающее тезис, и способ его измерения (по табл. 3.8, 3.14, 3.22).</w:t>
      </w:r>
    </w:p>
    <w:p>
      <w:pPr/>
      <w:r>
        <w:rPr>
          <w:b/>
        </w:rPr>
        <w:t xml:space="preserve">Реестр прогнозов.</w:t>
      </w:r>
      <w:r>
        <w:t xml:space="preserve"> Таблица на 2027–2036 гг. со столбцами: прогноз, условие (режим и параметры θ), интервал, показатель проверки, источник данных проверки, дата и коммит фиксации. Исходный набор — числа выводов 3–7 главы 3: C_min по годам, C** = 0,17–0,21, ΔE = 40–78 млн руб./год, приведённый эффект 302–337 млн руб., индекс устойчивого развития 0,344 → 0,576. Реестр выгружается в CSV.</w:t>
      </w:r>
    </w:p>
    <w:p>
      <w:pPr/>
      <w:r>
        <w:rPr>
          <w:b/>
        </w:rPr>
        <w:t xml:space="preserve">Ретропрогноз.</w:t>
      </w:r>
      <w:r>
        <w:t xml:space="preserve"> Сопоставление модели с рядами 2017–2026 гг. и с текущим состоянием сети. Основной объект — кривая числа участников C** от барьера x (формула 3.35) с отметкой точки, где модель совпадает с фактом (одна связь). Этот блок закрывает вывод 4, которого в версии 4.x нет.</w:t>
      </w:r>
    </w:p>
    <w:p>
      <w:pPr/>
      <w:r>
        <w:rPr>
          <w:b/>
        </w:rPr>
        <w:t xml:space="preserve">Самопроверка.</w:t>
      </w:r>
      <w:r>
        <w:t xml:space="preserve"> Кнопка на экране «Паспорт модели» пересчитывает контрольные числа и ставит отметку совпадения с допуском ±0,05 единицы последнего знака. Минимальный набор: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5331"/>
        <w:gridCol w:w="2600"/>
        <w:gridCol w:w="1428"/>
      </w:tblGrid>
      <w:tr>
        <w:trPr>
          <w:tblHeader/>
        </w:trPr>
        <w:tc>
          <w:tcPr>
            <w:tcW w:w="5331" w:type="dxa"/>
            <w:shd w:val="clear" w:color="auto" w:fill="F2F2F2"/>
          </w:tcPr>
          <w:p>
            <w:pPr/>
            <w:r>
              <w:t xml:space="preserve">Величина</w:t>
            </w:r>
          </w:p>
        </w:tc>
        <w:tc>
          <w:tcPr>
            <w:tcW w:w="2600" w:type="dxa"/>
            <w:shd w:val="clear" w:color="auto" w:fill="F2F2F2"/>
          </w:tcPr>
          <w:p>
            <w:pPr/>
            <w:r>
              <w:t xml:space="preserve">Значение в тексте</w:t>
            </w:r>
          </w:p>
        </w:tc>
        <w:tc>
          <w:tcPr>
            <w:tcW w:w="1428" w:type="dxa"/>
            <w:shd w:val="clear" w:color="auto" w:fill="F2F2F2"/>
          </w:tcPr>
          <w:p>
            <w:pPr/>
            <w:r>
              <w:t xml:space="preserve">Источник</w:t>
            </w:r>
          </w:p>
        </w:tc>
      </w:tr>
      <w:tr>
        <w:tc>
          <w:tcPr>
            <w:tcW w:w="5331" w:type="dxa"/>
          </w:tcPr>
          <w:p>
            <w:pPr/>
            <w:r>
              <w:t xml:space="preserve">Сумма чистых вкладов потоков</w:t>
            </w:r>
          </w:p>
        </w:tc>
        <w:tc>
          <w:tcPr>
            <w:tcW w:w="2600" w:type="dxa"/>
          </w:tcPr>
          <w:p>
            <w:pPr/>
            <w:r>
              <w:t xml:space="preserve">187,1 млн руб.</w:t>
            </w:r>
          </w:p>
        </w:tc>
        <w:tc>
          <w:tcPr>
            <w:tcW w:w="1428" w:type="dxa"/>
          </w:tcPr>
          <w:p>
            <w:pPr/>
            <w:r>
              <w:t xml:space="preserve">Табл. 2.6</w:t>
            </w:r>
          </w:p>
        </w:tc>
      </w:tr>
      <w:tr>
        <w:tc>
          <w:tcPr>
            <w:tcW w:w="5331" w:type="dxa"/>
          </w:tcPr>
          <w:p>
            <w:pPr/>
            <w:r>
              <w:t xml:space="preserve">ΔE_base</w:t>
            </w:r>
          </w:p>
        </w:tc>
        <w:tc>
          <w:tcPr>
            <w:tcW w:w="2600" w:type="dxa"/>
          </w:tcPr>
          <w:p>
            <w:pPr/>
            <w:r>
              <w:t xml:space="preserve">117,4 млн руб.</w:t>
            </w:r>
          </w:p>
        </w:tc>
        <w:tc>
          <w:tcPr>
            <w:tcW w:w="1428" w:type="dxa"/>
          </w:tcPr>
          <w:p>
            <w:pPr/>
            <w:r>
              <w:t xml:space="preserve">Табл. 2.6</w:t>
            </w:r>
          </w:p>
        </w:tc>
      </w:tr>
      <w:tr>
        <w:tc>
          <w:tcPr>
            <w:tcW w:w="5331" w:type="dxa"/>
          </w:tcPr>
          <w:p>
            <w:pPr/>
            <w:r>
              <w:t xml:space="preserve">SD при α = 0,10</w:t>
            </w:r>
          </w:p>
        </w:tc>
        <w:tc>
          <w:tcPr>
            <w:tcW w:w="2600" w:type="dxa"/>
          </w:tcPr>
          <w:p>
            <w:pPr/>
            <w:r>
              <w:t xml:space="preserve">11,7 млн руб.</w:t>
            </w:r>
          </w:p>
        </w:tc>
        <w:tc>
          <w:tcPr>
            <w:tcW w:w="1428" w:type="dxa"/>
          </w:tcPr>
          <w:p>
            <w:pPr/>
            <w:r>
              <w:t xml:space="preserve">Табл. 2.6</w:t>
            </w:r>
          </w:p>
        </w:tc>
      </w:tr>
      <w:tr>
        <w:tc>
          <w:tcPr>
            <w:tcW w:w="5331" w:type="dxa"/>
          </w:tcPr>
          <w:p>
            <w:pPr/>
            <w:r>
              <w:t xml:space="preserve">ΔE при переключении 50 % CO₂</w:t>
            </w:r>
          </w:p>
        </w:tc>
        <w:tc>
          <w:tcPr>
            <w:tcW w:w="2600" w:type="dxa"/>
          </w:tcPr>
          <w:p>
            <w:pPr/>
            <w:r>
              <w:t xml:space="preserve">81,4 млн руб.</w:t>
            </w:r>
          </w:p>
        </w:tc>
        <w:tc>
          <w:tcPr>
            <w:tcW w:w="1428" w:type="dxa"/>
          </w:tcPr>
          <w:p>
            <w:pPr/>
            <w:r>
              <w:t xml:space="preserve">§ 2.3.2</w:t>
            </w:r>
          </w:p>
        </w:tc>
      </w:tr>
      <w:tr>
        <w:tc>
          <w:tcPr>
            <w:tcW w:w="5331" w:type="dxa"/>
          </w:tcPr>
          <w:p>
            <w:pPr/>
            <w:r>
              <w:t xml:space="preserve">φ(0,10), φ(0,25) при k = 5</w:t>
            </w:r>
          </w:p>
        </w:tc>
        <w:tc>
          <w:tcPr>
            <w:tcW w:w="2600" w:type="dxa"/>
          </w:tcPr>
          <w:p>
            <w:pPr/>
            <w:r>
              <w:t xml:space="preserve">0,39; 0,71</w:t>
            </w:r>
          </w:p>
        </w:tc>
        <w:tc>
          <w:tcPr>
            <w:tcW w:w="1428" w:type="dxa"/>
          </w:tcPr>
          <w:p>
            <w:pPr/>
            <w:r>
              <w:t xml:space="preserve">§ 2.2.3</w:t>
            </w:r>
          </w:p>
        </w:tc>
      </w:tr>
      <w:tr>
        <w:tc>
          <w:tcPr>
            <w:tcW w:w="5331" w:type="dxa"/>
          </w:tcPr>
          <w:p>
            <w:pPr/>
            <w:r>
              <w:t xml:space="preserve">C* без платформы / с платформой</w:t>
            </w:r>
          </w:p>
        </w:tc>
        <w:tc>
          <w:tcPr>
            <w:tcW w:w="2600" w:type="dxa"/>
          </w:tcPr>
          <w:p>
            <w:pPr/>
            <w:r>
              <w:t xml:space="preserve">0,19 / 0,23</w:t>
            </w:r>
          </w:p>
        </w:tc>
        <w:tc>
          <w:tcPr>
            <w:tcW w:w="1428" w:type="dxa"/>
          </w:tcPr>
          <w:p>
            <w:pPr/>
            <w:r>
              <w:t xml:space="preserve">§ 2.3.3</w:t>
            </w:r>
          </w:p>
        </w:tc>
      </w:tr>
      <w:tr>
        <w:tc>
          <w:tcPr>
            <w:tcW w:w="5331" w:type="dxa"/>
          </w:tcPr>
          <w:p>
            <w:pPr/>
            <w:r>
              <w:t xml:space="preserve">Распределение SD по схемам А/Б/В при C = 0,10</w:t>
            </w:r>
          </w:p>
        </w:tc>
        <w:tc>
          <w:tcPr>
            <w:tcW w:w="2600" w:type="dxa"/>
          </w:tcPr>
          <w:p>
            <w:pPr/>
            <w:r>
              <w:t xml:space="preserve">Табл. 2.10</w:t>
            </w:r>
          </w:p>
        </w:tc>
        <w:tc>
          <w:tcPr>
            <w:tcW w:w="1428" w:type="dxa"/>
          </w:tcPr>
          <w:p>
            <w:pPr/>
            <w:r>
              <w:t xml:space="preserve">§ 2.5.2</w:t>
            </w:r>
          </w:p>
        </w:tc>
      </w:tr>
      <w:tr>
        <w:tc>
          <w:tcPr>
            <w:tcW w:w="5331" w:type="dxa"/>
          </w:tcPr>
          <w:p>
            <w:pPr/>
            <w:r>
              <w:t xml:space="preserve">C_min 2027 / 2036</w:t>
            </w:r>
          </w:p>
        </w:tc>
        <w:tc>
          <w:tcPr>
            <w:tcW w:w="2600" w:type="dxa"/>
          </w:tcPr>
          <w:p>
            <w:pPr/>
            <w:r>
              <w:t xml:space="preserve">0,089 / 0,062</w:t>
            </w:r>
          </w:p>
        </w:tc>
        <w:tc>
          <w:tcPr>
            <w:tcW w:w="1428" w:type="dxa"/>
          </w:tcPr>
          <w:p>
            <w:pPr/>
            <w:r>
              <w:t xml:space="preserve">§ 3.3.2</w:t>
            </w:r>
          </w:p>
        </w:tc>
      </w:tr>
      <w:tr>
        <w:tc>
          <w:tcPr>
            <w:tcW w:w="5331" w:type="dxa"/>
          </w:tcPr>
          <w:p>
            <w:pPr/>
            <w:r>
              <w:t xml:space="preserve">Доля «Азота» по Шепли с поправкой на π_A</w:t>
            </w:r>
          </w:p>
        </w:tc>
        <w:tc>
          <w:tcPr>
            <w:tcW w:w="2600" w:type="dxa"/>
          </w:tcPr>
          <w:p>
            <w:pPr/>
            <w:r>
              <w:t xml:space="preserve">27,9 млн руб.</w:t>
            </w:r>
          </w:p>
        </w:tc>
        <w:tc>
          <w:tcPr>
            <w:tcW w:w="1428" w:type="dxa"/>
          </w:tcPr>
          <w:p>
            <w:pPr/>
            <w:r>
              <w:t xml:space="preserve">§ 3.2.4</w:t>
            </w:r>
          </w:p>
        </w:tc>
      </w:tr>
      <w:tr>
        <w:tc>
          <w:tcPr>
            <w:tcW w:w="5331" w:type="dxa"/>
          </w:tcPr>
          <w:p>
            <w:pPr/>
            <w:r>
              <w:t xml:space="preserve">λ*_j для двух примеров резидентов</w:t>
            </w:r>
          </w:p>
        </w:tc>
        <w:tc>
          <w:tcPr>
            <w:tcW w:w="2600" w:type="dxa"/>
          </w:tcPr>
          <w:p>
            <w:pPr/>
            <w:r>
              <w:t xml:space="preserve">0,40; 0,70</w:t>
            </w:r>
          </w:p>
        </w:tc>
        <w:tc>
          <w:tcPr>
            <w:tcW w:w="1428" w:type="dxa"/>
          </w:tcPr>
          <w:p>
            <w:pPr/>
            <w:r>
              <w:t xml:space="preserve">§ 3.2.4</w:t>
            </w:r>
          </w:p>
        </w:tc>
      </w:tr>
    </w:tbl>
    <w:p>
      <w:pPr/>
      <w:r>
        <w:t xml:space="preserve">Если число в главе изменится, самопроверка покажет расхождение до защиты, а не на ней.</w:t>
      </w:r>
    </w:p>
    <w:p>
      <w:pPr>
        <w:pStyle w:val="Heading2"/>
      </w:pPr>
      <w:r>
        <w:t xml:space="preserve">7. Новый модуль: приращение симбиотического эффекта за счёт новых технологий переработки</w:t>
      </w:r>
    </w:p>
    <w:p>
      <w:pPr/>
      <w:r>
        <w:t xml:space="preserve">Модуль отвечает на вопрос, на сколько вырастет эффект сети, если в неё войдёт новая технология переработки отходов, и сколько стоит бюджету её поддержка. Это единственный новый расчётный блок версии 5.0. Он строится на формулах глав 2–3 и не вводит новых источников эффекта, кроме самой технологии.</w:t>
      </w:r>
    </w:p>
    <w:p>
      <w:pPr/>
      <w:r>
        <w:rPr>
          <w:b/>
        </w:rPr>
        <w:t xml:space="preserve">Карточка технологии v.</w:t>
      </w:r>
      <w:r>
        <w:t xml:space="preserve"> Пользователь задаёт: наименование; входной поток и поставщика (из матрицы табл. 1.4); потребителей продукта; валовую экономию E_v и аннуитет вложений A_v по формулам (2.8)–(2.9); число новых допустимых связей n_v и число связей, которые станут действующими при внедрении, a_v ≤ n_v; затраты подключения c_v; долю публичного софинансирования σ_v; класс данных каждого параметра. Готовых технологий с числами симулятор не предлагает: каталог заполняется по итогам обследования участников (§ 3.5), до него все значения имеют класс C и помечены как демонстрационные.</w:t>
      </w:r>
    </w:p>
    <w:p>
      <w:pPr/>
      <w:r>
        <w:t xml:space="preserve">Внедрение технологии меняет две величины сразу: потенциал сети и её связность. Потенциал растёт на чистый вклад технологии:</w:t>
      </w:r>
    </w:p>
    <w:p>
      <w:pPr>
        <w:pStyle w:val="Code"/>
      </w:pPr>
      <w:bookmarkStart w:id="1" w:name="bongo_lang_latex_1"/>
      <w:bookmarkEnd w:id="1"/>
      <w:r>
        <w:t xml:space="preserve">\Sigma' = \Sigma + \sum_{v} x_v \left( E_v - A_v \right) \qquad (\text{Т}.1)</w:t>
      </w:r>
    </w:p>
    <w:p>
      <w:pPr/>
      <w:r>
        <w:t xml:space="preserve">где Σ — сумма чистых вкладов действующих потоков (187,1 млн руб. по табл. 2.6); Σ′ — то же после внедрения; x_v — признак внедрения технологии v (1 или 0); E_v — валовая годовая экономия по (2.9), млн руб.; A_v — аннуитет капитальных вложений по (2.8), млн руб.</w:t>
      </w:r>
    </w:p>
    <w:p>
      <w:pPr/>
      <w:r>
        <w:t xml:space="preserve">Связность пересчитывается по формуле (2.3) с учётом того, что технология добавляет и допустимые, и действующие связи:</w:t>
      </w:r>
    </w:p>
    <w:p>
      <w:pPr>
        <w:pStyle w:val="Code"/>
      </w:pPr>
      <w:bookmarkStart w:id="2" w:name="bongo_lang_latex_2"/>
      <w:bookmarkEnd w:id="2"/>
      <w:r>
        <w:t xml:space="preserve">C' = \frac{N_{\text{действ}} + \sum_{v} x_v a_v}{N_{\text{доп}} + \sum_{v} x_v n_v} \qquad (\text{Т}.2)</w:t>
      </w:r>
    </w:p>
    <w:p>
      <w:pPr/>
      <w:r>
        <w:t xml:space="preserve">где N_действ и N_доп — числа действующих и допустимых связей до внедрения (в модели N_доп = 130); n_v — число новых допустимых связей, которые открывает технология; a_v — число из них, ставших действующими. Из (Т.2) следует проверяемое следствие: технология, открывающая связи без договоров (a_v/n_v &lt; C), снижает индекс связности.</w:t>
      </w:r>
    </w:p>
    <w:p>
      <w:pPr/>
      <w:r>
        <w:t xml:space="preserve">Приращение симбиотического эффекта раскладывается на прямой и сетевой вклады:</w:t>
      </w:r>
    </w:p>
    <w:p>
      <w:pPr>
        <w:pStyle w:val="Code"/>
      </w:pPr>
      <w:bookmarkStart w:id="3" w:name="bongo_lang_latex_3"/>
      <w:bookmarkEnd w:id="3"/>
      <w:r>
        <w:t xml:space="preserve">\Delta SE_v = \underbrace{\varphi(C)\left(E_v - A_v\right)}_{\text{прямой вклад}} + \underbrace{\left[\varphi(C') - \varphi(C)\right] \Sigma'}_{\text{сетевой вклад}} \qquad (\text{Т}.3)</w:t>
      </w:r>
    </w:p>
    <w:p>
      <w:pPr/>
      <w:r>
        <w:t xml:space="preserve">где ΔSE_v — приращение дополнительного эффекта ΔE(t) от внедрения технологии v, млн руб./год; φ(C) = 1 − e^(−kC) — функция (2.5). Затраты платформы Z_пл в разности сокращаются, поскольку они постоянны. Сетевой вклад — именно симбиотическая часть: технология повышает реализуемость всех потоков, а не только даёт собственную экономию. Он может быть отрицательным, если C′ &lt; C.</w:t>
      </w:r>
    </w:p>
    <w:p>
      <w:pPr/>
      <w:r>
        <w:t xml:space="preserve">Технология внедряется лишь тогда, когда носитель вложений находит её выгодной. Условие записывается по аналогии с условием участия резидента (3.15):</w:t>
      </w:r>
    </w:p>
    <w:p>
      <w:pPr>
        <w:pStyle w:val="Code"/>
      </w:pPr>
      <w:bookmarkStart w:id="4" w:name="bongo_lang_latex_4"/>
      <w:bookmarkEnd w:id="4"/>
      <w:r>
        <w:t xml:space="preserve">U_v = g_v + w_v \, \gamma_{\text{рез}} \, SD(C') - (1 - \sigma_v)\, c_v \geq 0 \qquad (\text{Т}.4)</w:t>
      </w:r>
    </w:p>
    <w:p>
      <w:pPr/>
      <w:r>
        <w:t xml:space="preserve">где U_v — чистая выгода носителя вложений, млн руб./год; g_v — его часть прямого выигрыша через цену обмена (коридор 2.14); w_v — его вес в дивиденде группы резидентов (2.20′); γ_рез — доля резидентов в SD; c_v — годовые затраты подключения и аннуитет носителя; σ_v — доля c_v, которую несёт публичный партнёр.</w:t>
      </w:r>
    </w:p>
    <w:p>
      <w:pPr/>
      <w:r>
        <w:t xml:space="preserve">Бюджетная результативность софинансирования измеряется приращением эффекта на рубль поддержки:</w:t>
      </w:r>
    </w:p>
    <w:p>
      <w:pPr>
        <w:pStyle w:val="Code"/>
      </w:pPr>
      <w:bookmarkStart w:id="5" w:name="bongo_lang_latex_5"/>
      <w:bookmarkEnd w:id="5"/>
      <w:r>
        <w:t xml:space="preserve">\rho_v = \frac{\Delta SE_v}{\sigma_v \, c_v} \qquad (\text{Т}.5)</w:t>
      </w:r>
    </w:p>
    <w:p>
      <w:pPr/>
      <w:r>
        <w:t xml:space="preserve">где ρ_v — отдача бюджетного рубля, направленного на технологию v; знаменатель — годовые затраты бюджета. Симулятор ранжирует технологии по ρ_v и сравнивает их с отдачей компенсации затрат подключения резидентов (Н5). Вопрос для правительства территории формулируется прямо: что даёт больше на рубль — софинансирование новой линии переработки или компенсация подключения к уже доступным потокам.</w:t>
      </w:r>
    </w:p>
    <w:p>
      <w:pPr/>
      <w:r>
        <w:t xml:space="preserve">Если технология увеличивает выпуск или вовлекает поток якоря, её вклад корректируется на эффект отдачи по (3.28)–(3.30), а потоки, переключённые от прежних покупателей, в E_v не входят (правило табл. 2.4).</w:t>
      </w:r>
    </w:p>
    <w:p>
      <w:pPr/>
      <w:r>
        <w:rPr>
          <w:b/>
        </w:rPr>
        <w:t xml:space="preserve">Экран модуля.</w:t>
      </w:r>
      <w:r>
        <w:t xml:space="preserve"> Слева каталог карточек с переключателем x_v; в центре столбчатая диаграмма разложения (Т.3) по технологиям с подписями через выноски; справа ранжирование по ρ_v. В режиме «Учёный совет» модуль помечен как перспектива развития модели, а не как положение на защиту: в главе 3 его нет. Статус меняется, только если диссертант внесёт модуль в текст.</w:t>
      </w:r>
    </w:p>
    <w:p>
      <w:pPr>
        <w:pStyle w:val="Heading2"/>
      </w:pPr>
      <w:r>
        <w:t xml:space="preserve">8. Японский опыт: что входит в модель</w:t>
      </w:r>
    </w:p>
    <w:p>
      <w:pPr/>
      <w:r>
        <w:t xml:space="preserve">Японский опыт входит в симулятор как эталон сравнения и как ориентир для параметра σ_v модуля раздела 7, но не как источник новых потоков или чисел эффекта. Из перечня из переписки с другой нейросетью оставлены четыре источника, существование и содержание которых проверены по открытым страницам (список в разделе 10). Все, кроме страницы METI 2023 г., старше пяти лет и в тексте диссертации оформляются подстрочными ссылками.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747"/>
        <w:gridCol w:w="3293"/>
        <w:gridCol w:w="2084"/>
        <w:gridCol w:w="2236"/>
      </w:tblGrid>
      <w:tr>
        <w:trPr>
          <w:tblHeader/>
        </w:trPr>
        <w:tc>
          <w:tcPr>
            <w:tcW w:w="1747" w:type="dxa"/>
            <w:shd w:val="clear" w:color="auto" w:fill="F2F2F2"/>
          </w:tcPr>
          <w:p>
            <w:pPr/>
            <w:r>
              <w:t xml:space="preserve">Источник</w:t>
            </w:r>
          </w:p>
        </w:tc>
        <w:tc>
          <w:tcPr>
            <w:tcW w:w="3293" w:type="dxa"/>
            <w:shd w:val="clear" w:color="auto" w:fill="F2F2F2"/>
          </w:tcPr>
          <w:p>
            <w:pPr/>
            <w:r>
              <w:t xml:space="preserve">Что в нём установлено</w:t>
            </w:r>
          </w:p>
        </w:tc>
        <w:tc>
          <w:tcPr>
            <w:tcW w:w="2084" w:type="dxa"/>
            <w:shd w:val="clear" w:color="auto" w:fill="F2F2F2"/>
          </w:tcPr>
          <w:p>
            <w:pPr/>
            <w:r>
              <w:t xml:space="preserve">Место в модели</w:t>
            </w:r>
          </w:p>
        </w:tc>
        <w:tc>
          <w:tcPr>
            <w:tcW w:w="2236" w:type="dxa"/>
            <w:shd w:val="clear" w:color="auto" w:fill="F2F2F2"/>
          </w:tcPr>
          <w:p>
            <w:pPr/>
            <w:r>
              <w:t xml:space="preserve">Что не переносится на Невинномысск</w:t>
            </w:r>
          </w:p>
        </w:tc>
      </w:tr>
      <w:tr>
        <w:tc>
          <w:tcPr>
            <w:tcW w:w="1747" w:type="dxa"/>
          </w:tcPr>
          <w:p>
            <w:pPr/>
            <w:hyperlink r:id="rId4" w:history="1">
              <w:r>
                <w:rPr>
                  <w:rStyle w:val="Hyperlink"/>
                </w:rPr>
                <w:t xml:space="preserve">Global Environment Centre Foundation, 2005</w:t>
              </w:r>
            </w:hyperlink>
          </w:p>
        </w:tc>
        <w:tc>
          <w:tcPr>
            <w:tcW w:w="3293" w:type="dxa"/>
          </w:tcPr>
          <w:p>
            <w:pPr/>
            <w:r>
              <w:t xml:space="preserve">Программа эко-городов с 1997 г. (METI при участии Министерства окружающей среды): государство софинансирует 1/3 стоимости объектов переработки, 1/2 для особо инновационных; план составляет муниципалитет; к 2005 г. одобрено 23 города</w:t>
            </w:r>
          </w:p>
        </w:tc>
        <w:tc>
          <w:tcPr>
            <w:tcW w:w="2084" w:type="dxa"/>
          </w:tcPr>
          <w:p>
            <w:pPr/>
            <w:r>
              <w:t xml:space="preserve">Диапазон σ_v в модуле раздела 7: пресеты 1/3 и 1/2 с подписью «ориентир Японии, не норма РФ»; ступень Г5 генезиса</w:t>
            </w:r>
          </w:p>
        </w:tc>
        <w:tc>
          <w:tcPr>
            <w:tcW w:w="2236" w:type="dxa"/>
          </w:tcPr>
          <w:p>
            <w:pPr/>
            <w:r>
              <w:t xml:space="preserve">Субсидия идёт на объект, а не на подключение и не на правило раздела эффекта; нет якоря и нормы ТОСЭР</w:t>
            </w:r>
          </w:p>
        </w:tc>
      </w:tr>
      <w:tr>
        <w:tc>
          <w:tcPr>
            <w:tcW w:w="1747" w:type="dxa"/>
          </w:tcPr>
          <w:p>
            <w:pPr/>
            <w:r>
              <w:t xml:space="preserve">Van Berkel R. и др., 2009, Journal of Environmental Management, т. 90, с. 1544–1556 (реквизиты и цифры проверены по </w:t>
            </w:r>
            <w:hyperlink r:id="rId5" w:history="1">
              <w:r>
                <w:rPr>
                  <w:rStyle w:val="Hyperlink"/>
                </w:rPr>
                <w:t xml:space="preserve">докладу UNCRD</w:t>
              </w:r>
            </w:hyperlink>
            <w:r>
              <w:t xml:space="preserve">)</w:t>
            </w:r>
          </w:p>
        </w:tc>
        <w:tc>
          <w:tcPr>
            <w:tcW w:w="3293" w:type="dxa"/>
          </w:tcPr>
          <w:p>
            <w:pPr/>
            <w:r>
              <w:t xml:space="preserve">За 10 лет одобрено 26 планов; доля государственной субсидии в инвестициях 14–50 %, в среднем 36 %</w:t>
            </w:r>
          </w:p>
        </w:tc>
        <w:tc>
          <w:tcPr>
            <w:tcW w:w="2084" w:type="dxa"/>
          </w:tcPr>
          <w:p>
            <w:pPr/>
            <w:r>
              <w:t xml:space="preserve">Та же ступень Г5; фактический средний σ для сравнения с σ = 0,3 главы 3</w:t>
            </w:r>
          </w:p>
        </w:tc>
        <w:tc>
          <w:tcPr>
            <w:tcW w:w="2236" w:type="dxa"/>
          </w:tcPr>
          <w:p>
            <w:pPr/>
            <w:r>
              <w:t xml:space="preserve">Цифры взяты из вторичного доклада; перед включением в текст сверить с оригиналом</w:t>
            </w:r>
          </w:p>
        </w:tc>
      </w:tr>
      <w:tr>
        <w:tc>
          <w:tcPr>
            <w:tcW w:w="1747" w:type="dxa"/>
          </w:tcPr>
          <w:p>
            <w:pPr/>
            <w:hyperlink r:id="rId6" w:history="1">
              <w:r>
                <w:rPr>
                  <w:rStyle w:val="Hyperlink"/>
                </w:rPr>
                <w:t xml:space="preserve">Hashimoto S. и др., 2010</w:t>
              </w:r>
            </w:hyperlink>
            <w:r>
              <w:t xml:space="preserve">, Resources, Conservation &amp; Recycling, т. 54, № 10, с. 704–710</w:t>
            </w:r>
          </w:p>
        </w:tc>
        <w:tc>
          <w:tcPr>
            <w:tcW w:w="3293" w:type="dxa"/>
          </w:tcPr>
          <w:p>
            <w:pPr/>
            <w:r>
              <w:t xml:space="preserve">Сценарии симбиоза цементного завода Кавасаки по опросу 57 предприятий (ответили 35); для использования бытовых отходов промышленностью нужны изменение закона об отходах и раздельный сбор</w:t>
            </w:r>
          </w:p>
        </w:tc>
        <w:tc>
          <w:tcPr>
            <w:tcW w:w="2084" w:type="dxa"/>
          </w:tcPr>
          <w:p>
            <w:pPr/>
            <w:r>
              <w:t xml:space="preserve">Методика карточки технологии (входные данные — обследование участников); регуляторное препятствие (П10)</w:t>
            </w:r>
          </w:p>
        </w:tc>
        <w:tc>
          <w:tcPr>
            <w:tcW w:w="2236" w:type="dxa"/>
          </w:tcPr>
          <w:p>
            <w:pPr/>
            <w:r>
              <w:t xml:space="preserve">Углеродный выигрыш в России денежно не оценивается (табл. 2.4)</w:t>
            </w:r>
          </w:p>
        </w:tc>
      </w:tr>
      <w:tr>
        <w:tc>
          <w:tcPr>
            <w:tcW w:w="1747" w:type="dxa"/>
          </w:tcPr>
          <w:p>
            <w:pPr/>
            <w:hyperlink r:id="rId7" w:history="1">
              <w:r>
                <w:rPr>
                  <w:rStyle w:val="Hyperlink"/>
                </w:rPr>
                <w:t xml:space="preserve">METI, Ouranos Ecosystem, 2023</w:t>
              </w:r>
            </w:hyperlink>
          </w:p>
        </w:tc>
        <w:tc>
          <w:tcPr>
            <w:tcW w:w="3293" w:type="dxa"/>
          </w:tcPr>
          <w:p>
            <w:pPr/>
            <w:r>
              <w:t xml:space="preserve">Государственная инициатива пространств данных: обмен между компаниями при сохранении контроля участника над своими данными</w:t>
            </w:r>
          </w:p>
        </w:tc>
        <w:tc>
          <w:tcPr>
            <w:tcW w:w="2084" w:type="dxa"/>
          </w:tcPr>
          <w:p>
            <w:pPr/>
            <w:r>
              <w:t xml:space="preserve">Правое меню, П3: «Как решает Япония» для доверительного управления данными (§ 2.6.3)</w:t>
            </w:r>
          </w:p>
        </w:tc>
        <w:tc>
          <w:tcPr>
            <w:tcW w:w="2236" w:type="dxa"/>
          </w:tcPr>
          <w:p>
            <w:pPr/>
            <w:r>
              <w:t xml:space="preserve">Национальная инфраструктура, а не механизм одной территории; про симбиоз отходов в ней не сказано</w:t>
            </w:r>
          </w:p>
        </w:tc>
      </w:tr>
    </w:tbl>
    <w:p>
      <w:pPr/>
      <w:r>
        <w:t xml:space="preserve">Из таблицы следует одно приращение, важное для защиты. Япония поддерживала капитальные затраты объектов переработки, а не делила выгоду. Это внешняя опора вывода Н5: софинансирование затрат действеннее дивиденда. При этом в японской программе нет меры отдачи бюджетного рубля в сетевом эффекте, и показатель ρ_v (Т.5) заполняет именно этот пробел.</w:t>
      </w:r>
    </w:p>
    <w:p>
      <w:pPr/>
      <w:r>
        <w:rPr>
          <w:b/>
        </w:rPr>
        <w:t xml:space="preserve">Исключено из переписки:</w:t>
      </w:r>
      <w:r>
        <w:t xml:space="preserve"> фосфогипс, струвит и «фосфорный баланс региона» (в главах 1–3 отсутствуют, данных нет); индекс SRI (дублирует C_инд и индекс § 3.4); графовые нейросети, цифровой двойник в реальном времени, блокчейн (технологии продукта, а не управленческой модели); заявления «впервые…»; платформа YRC (Йокогама), сервисы Dentsu, Hitachi–Sekisui, Teijin–Fujitsu и Белая книга 2026 г. (не проверены и для тезисов не нужны).</w:t>
      </w:r>
    </w:p>
    <w:p>
      <w:pPr>
        <w:pStyle w:val="Heading2"/>
      </w:pPr>
      <w:r>
        <w:t xml:space="preserve">9. Ядро, исключаемое, этапы и приёмка</w:t>
      </w:r>
    </w:p>
    <w:p>
      <w:pPr/>
      <w:r>
        <w:rPr>
          <w:b/>
        </w:rPr>
        <w:t xml:space="preserve">Сохраняется без изменений расчёта:</w:t>
      </w:r>
      <w:r>
        <w:t xml:space="preserve"> функции базовой модели главы 2 из App.tsx (φ, ΔE(t), C_min, SD, потоки табл. 2.6, ряды 2017–2026); bilevel.ts (двухуровневая модель, Z_min, λ*_j, эффект отдачи, Монте-Карло); beneficiaries.ts (баланс бенефициаров, NPV, стратегии); glossary.ts; novelty.ts; панель справки. Нынешние четыре вкладки переходят в раздел «Лаборатория».</w:t>
      </w:r>
    </w:p>
    <w:p>
      <w:pPr/>
      <w:r>
        <w:rPr>
          <w:b/>
        </w:rPr>
        <w:t xml:space="preserve">Убирается:</w:t>
      </w:r>
      <w:r>
        <w:t xml:space="preserve"> «DYNSIM: подключено», «Интегрированный интерфейс Dynsim v4.2.0», статус-строка «Система: норма · Буфер · Задержка», «конфиденциально», «Export Data» в нынешнем виде. Вместо них: версия модели и коммит, классы данных A/B/C, «Экспорт параметров эксперимента» (файл с параметрами и зерном генератора).</w:t>
      </w:r>
    </w:p>
    <w:p>
      <w:pPr/>
      <w:r>
        <w:rPr>
          <w:b/>
        </w:rPr>
        <w:t xml:space="preserve">Этапы сборки</w:t>
      </w:r>
      <w:r>
        <w:t xml:space="preserve"> (каждый заканчивается коммитом, однофайловым HTML и проверкой в браузере):</w:t>
      </w:r>
    </w:p>
    <w:p>
      <w:pPr>
        <w:pStyle w:val="ListParagraph"/>
        <w:numPr>
          <w:ilvl w:val="0"/>
          <w:numId w:val="4"/>
        </w:numPr>
      </w:pPr>
      <w:r>
        <w:t xml:space="preserve">Оболочка: три колонки, сворачиваемые меню, двойной щелчок и клавиша F, переключатель адресата, удаление «пультовых» элементов.</w:t>
      </w:r>
    </w:p>
    <w:p>
      <w:pPr>
        <w:pStyle w:val="ListParagraph"/>
        <w:numPr>
          <w:ilvl w:val="0"/>
          <w:numId w:val="4"/>
        </w:numPr>
      </w:pPr>
      <w:r>
        <w:t xml:space="preserve">Паспорт модели и самопроверка.</w:t>
      </w:r>
    </w:p>
    <w:p>
      <w:pPr>
        <w:pStyle w:val="ListParagraph"/>
        <w:numPr>
          <w:ilvl w:val="0"/>
          <w:numId w:val="4"/>
        </w:numPr>
      </w:pPr>
      <w:r>
        <w:t xml:space="preserve">Левое и правое меню с таблицами разделов 4–5 и режим «Мост».</w:t>
      </w:r>
    </w:p>
    <w:p>
      <w:pPr>
        <w:pStyle w:val="ListParagraph"/>
        <w:numPr>
          <w:ilvl w:val="0"/>
          <w:numId w:val="4"/>
        </w:numPr>
      </w:pPr>
      <w:r>
        <w:t xml:space="preserve">Страницы Н1–Н6 по шаблону раздела 6, интервалы и чувствительность.</w:t>
      </w:r>
    </w:p>
    <w:p>
      <w:pPr>
        <w:pStyle w:val="ListParagraph"/>
        <w:numPr>
          <w:ilvl w:val="0"/>
          <w:numId w:val="4"/>
        </w:numPr>
      </w:pPr>
      <w:r>
        <w:t xml:space="preserve">Реестр прогнозов и ретропрогноз (включая формулу 3.35).</w:t>
      </w:r>
    </w:p>
    <w:p>
      <w:pPr>
        <w:pStyle w:val="ListParagraph"/>
        <w:numPr>
          <w:ilvl w:val="0"/>
          <w:numId w:val="4"/>
        </w:numPr>
      </w:pPr>
      <w:r>
        <w:t xml:space="preserve">Режим «Правительство территории».</w:t>
      </w:r>
    </w:p>
    <w:p>
      <w:pPr>
        <w:pStyle w:val="ListParagraph"/>
        <w:numPr>
          <w:ilvl w:val="0"/>
          <w:numId w:val="4"/>
        </w:numPr>
      </w:pPr>
      <w:r>
        <w:t xml:space="preserve">Модуль технологий переработки (раздел 7) и японские поля правого меню.</w:t>
      </w:r>
    </w:p>
    <w:p>
      <w:pPr/>
      <w:r>
        <w:rPr>
          <w:b/>
        </w:rPr>
        <w:t xml:space="preserve">Критерии приёмки:</w:t>
      </w:r>
    </w:p>
    <w:p>
      <w:pPr>
        <w:pStyle w:val="ListParagraph"/>
        <w:numPr>
          <w:ilvl w:val="0"/>
          <w:numId w:val="5"/>
        </w:numPr>
      </w:pPr>
      <w:r>
        <w:t xml:space="preserve">☐ Самопроверка воспроизводит все контрольные числа раздела 6.</w:t>
      </w:r>
    </w:p>
    <w:p>
      <w:pPr>
        <w:pStyle w:val="ListParagraph"/>
        <w:numPr>
          <w:ilvl w:val="0"/>
          <w:numId w:val="5"/>
        </w:numPr>
      </w:pPr>
      <w:r>
        <w:t xml:space="preserve">☐ Формулировки Н1–Н6 совпадают с выводами главы 3 и авторефератом.</w:t>
      </w:r>
    </w:p>
    <w:p>
      <w:pPr>
        <w:pStyle w:val="ListParagraph"/>
        <w:numPr>
          <w:ilvl w:val="0"/>
          <w:numId w:val="5"/>
        </w:numPr>
      </w:pPr>
      <w:r>
        <w:t xml:space="preserve">☐ Нет ни одного числа без класса данных и ссылки на параграф.</w:t>
      </w:r>
    </w:p>
    <w:p>
      <w:pPr>
        <w:pStyle w:val="ListParagraph"/>
        <w:numPr>
          <w:ilvl w:val="0"/>
          <w:numId w:val="5"/>
        </w:numPr>
      </w:pPr>
      <w:r>
        <w:t xml:space="preserve">☐ На 1366 × 768 и 1920 × 1080 нет горизонтальной прокрутки при масштабе 100–130 %.</w:t>
      </w:r>
    </w:p>
    <w:p>
      <w:pPr>
        <w:pStyle w:val="ListParagraph"/>
        <w:numPr>
          <w:ilvl w:val="0"/>
          <w:numId w:val="5"/>
        </w:numPr>
      </w:pPr>
      <w:r>
        <w:t xml:space="preserve">☐ Двойной щелчок на кнопках, ползунках и графиках не скрывает меню; клавиша F работает на любой странице.</w:t>
      </w:r>
    </w:p>
    <w:p>
      <w:pPr>
        <w:pStyle w:val="ListParagraph"/>
        <w:numPr>
          <w:ilvl w:val="0"/>
          <w:numId w:val="5"/>
        </w:numPr>
      </w:pPr>
      <w:r>
        <w:t xml:space="preserve">☐ Однофайловый HTML работает без интернета.</w:t>
      </w:r>
    </w:p>
    <w:p>
      <w:pPr>
        <w:pStyle w:val="ListParagraph"/>
        <w:numPr>
          <w:ilvl w:val="0"/>
          <w:numId w:val="5"/>
        </w:numPr>
      </w:pPr>
      <w:r>
        <w:t xml:space="preserve">☐ В интерфейсе нет слов «подключено», «система», «онлайн», «эмулятор».</w:t>
      </w:r>
    </w:p>
    <w:p>
      <w:pPr/>
      <w:r>
        <w:rPr>
          <w:b/>
        </w:rPr>
        <w:t xml:space="preserve">Решения на утверждение</w:t>
      </w:r>
      <w:r>
        <w:t xml:space="preserve"> (решают руководитель и диссертант):</w:t>
      </w:r>
    </w:p>
    <w:p>
      <w:pPr>
        <w:pStyle w:val="ListParagraph"/>
        <w:numPr>
          <w:ilvl w:val="0"/>
          <w:numId w:val="6"/>
        </w:numPr>
      </w:pPr>
      <w:r>
        <w:t xml:space="preserve">☐ Таблицы генезиса (раздел 4) и проблем (раздел 5) — состав и формулировки.</w:t>
      </w:r>
    </w:p>
    <w:p>
      <w:pPr>
        <w:pStyle w:val="ListParagraph"/>
        <w:numPr>
          <w:ilvl w:val="0"/>
          <w:numId w:val="6"/>
        </w:numPr>
      </w:pPr>
      <w:r>
        <w:t xml:space="preserve">☐ Резиденты типов A–D: отдельными узлами или одной группой.</w:t>
      </w:r>
    </w:p>
    <w:p>
      <w:pPr>
        <w:pStyle w:val="ListParagraph"/>
        <w:numPr>
          <w:ilvl w:val="0"/>
          <w:numId w:val="6"/>
        </w:numPr>
      </w:pPr>
      <w:r>
        <w:t xml:space="preserve">☐ Модуль технологий (раздел 7): только в симуляторе как перспектива или также пунктом в главе 3.</w:t>
      </w:r>
    </w:p>
    <w:p>
      <w:pPr>
        <w:pStyle w:val="ListParagraph"/>
        <w:numPr>
          <w:ilvl w:val="0"/>
          <w:numId w:val="6"/>
        </w:numPr>
      </w:pPr>
      <w:r>
        <w:t xml:space="preserve">☐ Фосфорная тема исключается полностью.</w:t>
      </w:r>
    </w:p>
    <w:p>
      <w:pPr>
        <w:pStyle w:val="ListParagraph"/>
        <w:numPr>
          <w:ilvl w:val="0"/>
          <w:numId w:val="6"/>
        </w:numPr>
      </w:pPr>
      <w:r>
        <w:t xml:space="preserve">☐ Перед включением в текст цифры Van Berkel и др. (2009) сверены с оригиналом статьи.</w:t>
      </w:r>
    </w:p>
    <w:p>
      <w:pPr>
        <w:pStyle w:val="Heading2"/>
      </w:pPr>
      <w:r>
        <w:t xml:space="preserve">10. Источники</w:t>
      </w:r>
    </w:p>
    <w:p>
      <w:pPr/>
      <w:r>
        <w:t xml:space="preserve">Внутренние: тексты глав 1–3 диссертации в проекте (сборка главы 3 от 15.10.2026); исходный код симулятора, коммит a445fff.</w:t>
      </w:r>
    </w:p>
    <w:p>
      <w:pPr/>
      <w:r>
        <w:t xml:space="preserve">Внешние (открыты и проверены 24.10.2026):</w:t>
      </w:r>
    </w:p>
    <w:p>
      <w:pPr>
        <w:pStyle w:val="ListParagraph"/>
        <w:numPr>
          <w:ilvl w:val="0"/>
          <w:numId w:val="7"/>
        </w:numPr>
      </w:pPr>
      <w:r>
        <w:t xml:space="preserve">Global Environment Centre Foundation. </w:t>
      </w:r>
      <w:hyperlink r:id="rId4" w:history="1">
        <w:r>
          <w:rPr>
            <w:rStyle w:val="Hyperlink"/>
          </w:rPr>
          <w:t xml:space="preserve">Eco-Towns in Japan: Implications and Lessons for Developing Countries and Cities</w:t>
        </w:r>
      </w:hyperlink>
      <w:r>
        <w:t xml:space="preserve">. 2005.</w:t>
      </w:r>
    </w:p>
    <w:p>
      <w:pPr>
        <w:pStyle w:val="ListParagraph"/>
        <w:numPr>
          <w:ilvl w:val="0"/>
          <w:numId w:val="7"/>
        </w:numPr>
      </w:pPr>
      <w:r>
        <w:t xml:space="preserve">Van Berkel R., Fujita T., Hashimoto S., Geng Y. Industrial and urban symbiosis in Japan: Analysis of the Eco-Town program 1997–2006 // Journal of Environmental Management. 2009. Vol. 90. P. 1544–1556. Реквизиты и цифры — по </w:t>
      </w:r>
      <w:hyperlink r:id="rId5" w:history="1">
        <w:r>
          <w:rPr>
            <w:rStyle w:val="Hyperlink"/>
          </w:rPr>
          <w:t xml:space="preserve">фоновому докладу UNCRD к 10-му форуму 3R</w:t>
        </w:r>
      </w:hyperlink>
      <w:r>
        <w:t xml:space="preserve">; оригинал не открыт (подписка).</w:t>
      </w:r>
    </w:p>
    <w:p>
      <w:pPr>
        <w:pStyle w:val="ListParagraph"/>
        <w:numPr>
          <w:ilvl w:val="0"/>
          <w:numId w:val="7"/>
        </w:numPr>
      </w:pPr>
      <w:r>
        <w:t xml:space="preserve">Hashimoto S., Fujita T., Geng Y., Nagasawa E. </w:t>
      </w:r>
      <w:hyperlink r:id="rId6" w:history="1">
        <w:r>
          <w:rPr>
            <w:rStyle w:val="Hyperlink"/>
          </w:rPr>
          <w:t xml:space="preserve">Realizing CO2 emission reduction through industrial symbiosis: A cement production case study for Kawasaki</w:t>
        </w:r>
      </w:hyperlink>
      <w:r>
        <w:t xml:space="preserve"> // Resources, Conservation &amp; Recycling. 2010. Vol. 54, no. 10. P. 704–710. DOI: 10.1016/j.resconrec.2009.11.013.</w:t>
      </w:r>
    </w:p>
    <w:p>
      <w:pPr>
        <w:pStyle w:val="ListParagraph"/>
        <w:numPr>
          <w:ilvl w:val="0"/>
          <w:numId w:val="7"/>
        </w:numPr>
      </w:pPr>
      <w:r>
        <w:t xml:space="preserve">Ministry of Economy, Trade and Industry. </w:t>
      </w:r>
      <w:hyperlink r:id="rId7" w:history="1">
        <w:r>
          <w:rPr>
            <w:rStyle w:val="Hyperlink"/>
          </w:rPr>
          <w:t xml:space="preserve">Ouranos Ecosystem</w:t>
        </w:r>
      </w:hyperlink>
      <w:r>
        <w:t xml:space="preserve">. Название инициативы объявлено 29.04.2023.</w:t>
      </w:r>
    </w:p>
    <w:sectPr>
      <w:pgSz w:w="12240" w:h="15840"/>
      <w:pgMar w:top="1440" w:right="1440" w:bottom="1440" w:left="144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o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o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0"/>
  </w:num>
  <w:num w:numId="3">
    <w:abstractNumId w:val="1"/>
    <w:lvlOverride w:ilvl="0">
      <w:startOverride w:val="1"/>
    </w:lvlOverride>
  </w:num>
  <w:num w:numId="4">
    <w:abstractNumId w:val="1"/>
    <w:lvlOverride w:ilvl="0">
      <w:startOverride w:val="1"/>
    </w:lvlOverride>
  </w:num>
  <w:num w:numId="5">
    <w:abstractNumId w:val="0"/>
  </w:num>
  <w:num w:numId="6">
    <w:abstractNumId w:val="0"/>
  </w:num>
  <w:num w:numId="7">
    <w:abstractNumId w:val="1"/>
    <w:lvlOverride w:ilvl="0">
      <w:startOverride w:val="1"/>
    </w:lvlOverride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spacing w:before="360" w:after="120"/>
      <w:outlineLvl w:val="0"/>
    </w:pPr>
    <w:rPr>
      <w:b/>
      <w:sz w:val="32"/>
    </w:rPr>
  </w:style>
  <w:style w:type="paragraph" w:styleId="Heading2">
    <w:name w:val="heading 2"/>
    <w:basedOn w:val="Normal"/>
    <w:next w:val="Normal"/>
    <w:qFormat/>
    <w:pPr>
      <w:keepNext/>
      <w:spacing w:before="280" w:after="100"/>
      <w:outlineLvl w:val="1"/>
    </w:pPr>
    <w:rPr>
      <w:b/>
      <w:sz w:val="26"/>
    </w:rPr>
  </w:style>
  <w:style w:type="paragraph" w:styleId="Heading3">
    <w:name w:val="heading 3"/>
    <w:basedOn w:val="Normal"/>
    <w:next w:val="Normal"/>
    <w:qFormat/>
    <w:pPr>
      <w:keepNext/>
      <w:spacing w:before="240" w:after="80"/>
      <w:outlineLvl w:val="2"/>
    </w:pPr>
    <w:rPr>
      <w:b/>
      <w:sz w:val="24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b/>
      <w:sz w:val="22"/>
    </w:rPr>
  </w:style>
  <w:style w:type="paragraph" w:styleId="Heading5">
    <w:name w:val="heading 5"/>
    <w:basedOn w:val="Normal"/>
    <w:next w:val="Normal"/>
    <w:qFormat/>
    <w:pPr>
      <w:keepNext/>
      <w:outlineLvl w:val="4"/>
    </w:pPr>
    <w:rPr>
      <w:b/>
      <w:sz w:val="22"/>
    </w:rPr>
  </w:style>
  <w:style w:type="paragraph" w:styleId="Heading6">
    <w:name w:val="heading 6"/>
    <w:basedOn w:val="Normal"/>
    <w:next w:val="Normal"/>
    <w:qFormat/>
    <w:pPr>
      <w:keepNext/>
      <w:outlineLvl w:val="5"/>
    </w:pPr>
    <w:rPr>
      <w:i/>
      <w:sz w:val="22"/>
    </w:rPr>
  </w:style>
  <w:style w:type="paragraph" w:styleId="Title">
    <w:name w:val="Title"/>
    <w:basedOn w:val="Normal"/>
    <w:next w:val="Normal"/>
    <w:qFormat/>
    <w:pPr>
      <w:spacing w:after="80"/>
      <w:contextualSpacing/>
    </w:pPr>
    <w:rPr>
      <w:sz w:val="56"/>
    </w:rPr>
  </w:style>
  <w:style w:type="paragraph" w:styleId="Quote">
    <w:name w:val="Quote"/>
    <w:basedOn w:val="Normal"/>
    <w:qFormat/>
    <w:pPr>
      <w:ind w:left="720" w:right="720"/>
      <w:pBdr>
        <w:left w:val="single" w:sz="12" w:space="8" w:color="A0A0A0"/>
      </w:pBdr>
    </w:pPr>
    <w:rPr>
      <w:i/>
      <w:color w:val="404040"/>
    </w:rPr>
  </w:style>
  <w:style w:type="paragraph" w:styleId="Code">
    <w:name w:val="Code"/>
    <w:basedOn w:val="Normal"/>
    <w:link w:val="CodeChar"/>
    <w:pPr>
      <w:spacing w:after="0" w:line="240" w:lineRule="auto"/>
      <w:contextualSpacing/>
      <w:shd w:val="clear" w:color="auto" w:fill="F5F5F5"/>
    </w:pPr>
    <w:rPr>
      <w:rFonts w:ascii="Consolas" w:hAnsi="Consolas" w:eastAsia="Consolas" w:cs="Consolas"/>
      <w:sz w:val="20"/>
    </w:rPr>
  </w:style>
  <w:style w:type="character" w:styleId="CodeChar">
    <w:name w:val="Code Char"/>
    <w:link w:val="Code"/>
    <w:rPr>
      <w:rFonts w:ascii="Consolas" w:hAnsi="Consolas" w:eastAsia="Consolas" w:cs="Consolas"/>
      <w:sz w:val="20"/>
      <w:shd w:val="clear" w:color="auto" w:fill="F5F5F5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character" w:styleId="Hyperlink">
    <w:name w:val="Hyperlink"/>
    <w:rPr>
      <w:color w:val="0563C1"/>
      <w:u w:val="single"/>
    </w:rPr>
  </w:style>
  <w:style w:type="paragraph" w:styleId="CommentText">
    <w:name w:val="annotation text"/>
    <w:basedOn w:val="Normal"/>
    <w:link w:val="CommentTextChar"/>
    <w:pPr>
      <w:spacing w:line="240" w:lineRule="auto"/>
    </w:pPr>
    <w:rPr>
      <w:sz w:val="20"/>
      <w:szCs w:val="20"/>
    </w:rPr>
  </w:style>
  <w:style w:type="character" w:styleId="CommentReference">
    <w:name w:val="annotation reference"/>
    <w:rPr>
      <w:sz w:val="16"/>
      <w:szCs w:val="16"/>
    </w:rPr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image" Target="media/image1.png"/><Relationship Id="rId4" Type="http://schemas.openxmlformats.org/officeDocument/2006/relationships/hyperlink" Target="https://wedocs.unep.org/bitstream/handle/20.500.11822/8481/Eco_Towns_in_Japan.pdf?sequence=3" TargetMode="External"/><Relationship Id="rId5" Type="http://schemas.openxmlformats.org/officeDocument/2006/relationships/hyperlink" Target="https://sdgs.un.org/sites/default/files/2020-12/UNCRD_10th%203R%20Forum_Webinar%20I-Background%20paper-FINAL.pdf" TargetMode="External"/><Relationship Id="rId6" Type="http://schemas.openxmlformats.org/officeDocument/2006/relationships/hyperlink" Target="https://ideas.repec.org/a/eee/recore/v54y2010i10p704-710.html" TargetMode="External"/><Relationship Id="rId7" Type="http://schemas.openxmlformats.org/officeDocument/2006/relationships/hyperlink" Target="https://www.meti.go.jp/english/policy/mono_info_service/connected_industries/ouranos.html" TargetMode="External"/></Relationships>
</file>

<file path=docProps/app.xml><?xml version="1.0" encoding="utf-8"?>
<Properties xmlns="http://schemas.openxmlformats.org/officeDocument/2006/extended-properties">
  <Application>Claude Docs</Application>
  <AppVersion>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Техническое задание на пересборку имитационной модели экоплатформы г. Невинномыс</dc:title>
  <dc:description>Claude Docs node/fe53455a-4e62@12 docx-w7</dc:description>
  <cp:revision>12</cp:revision>
</cp:coreProperties>
</file>