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ВВЕДЕНИЕ</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Актуальность темы исследования.</w:t>
      </w:r>
      <w:r>
        <w:rPr>
          <w:rFonts w:ascii="Times New Roman" w:cs="Times New Roman" w:eastAsia="Times New Roman" w:hAnsi="Times New Roman"/>
          <w:sz w:val="28"/>
          <w:szCs w:val="28"/>
        </w:rPr>
        <w:t xml:space="preserve"> Невинномысск относится к немногим городам Северного Кавказа, где химическое производство, электроэнергетика и переработка отходов сосредоточены на одной компактной территории. По итогам 2023 г. на город приходилось 28,53 % промышленного производства Ставропольского края. Ядро комплекса образуют АО «Невинномысский Азот» и Невинномысская ГРЭС, с 2017 г. действует ТОСЭР «Невинномысск», в которой к апрелю 2026 г. работали 52 резидента, строится экопромышленный парк мощностью 190 тыс. т переработки отходов в год. Сбросное тепло станции, технологический CO₂ азотного производства и вторичное сырьё парка могли бы стать сырьём для соседних предприятий. Однако из 16 технически возможных направлений обмена между укрупнёнными группами участников по открытым данным действует одно: продажа пищевой углекислоты, начатая «Азотом» в 2018 г.</w:t>
      </w:r>
    </w:p>
    <w:p>
      <w:pPr>
        <w:spacing w:after="0" w:before="0" w:line="360"/>
        <w:ind w:firstLine="709"/>
        <w:jc w:val="both"/>
      </w:pPr>
      <w:r>
        <w:rPr>
          <w:rFonts w:ascii="Times New Roman" w:cs="Times New Roman" w:eastAsia="Times New Roman" w:hAnsi="Times New Roman"/>
          <w:sz w:val="28"/>
          <w:szCs w:val="28"/>
        </w:rPr>
        <w:t xml:space="preserve">Разрыв между возможным и действующим обменом не объясняется нехваткой ресурсов или инфраструктуры. Льготы ТОСЭР адресованы отдельному резиденту и его собственному проекту. Плата за негативное воздействие на окружающую среду побуждает сокращать размещение отходов, но экономию получает тот, кто отходы отдал, а затраты на переработку несёт принимающий. Ни один действующий институт не отвечает на вопрос, как измерить эффект обмена между несколькими предприятиями и кому этот эффект принадлежит. Пока ответа нет, отдельному участнику выгоднее не раскрывать данные о своих потоках и не вкладываться в специфическую инфраструктуру, даже если сеть в целом выиграла бы от обмена.</w:t>
      </w:r>
    </w:p>
    <w:p>
      <w:pPr>
        <w:spacing w:after="0" w:before="0" w:line="360"/>
        <w:ind w:firstLine="709"/>
        <w:jc w:val="both"/>
      </w:pPr>
      <w:r>
        <w:rPr>
          <w:rFonts w:ascii="Times New Roman" w:cs="Times New Roman" w:eastAsia="Times New Roman" w:hAnsi="Times New Roman"/>
          <w:sz w:val="28"/>
          <w:szCs w:val="28"/>
        </w:rPr>
        <w:t xml:space="preserve">Для региональной политики проблема имеет и бюджетную сторону. Государство финансирует строительство экотехнопарков, но не располагает правилом, по которому часть возникшего эффекта вернулась бы территории. Город принимает экологическую нагрузку крупного химического комплекса и по мере перевода отходов в оборот теряет плату за негативное воздействие, хотя с 2022 г. эти средства целевым образом направляются на ликвидацию накопленного вреда. Требуется механизм, который переводит потенциальные связи в договорные и распределяет подтверждённый эффект между предприятиями, оператором и бюджетом. Отсутствие такого механизма в теории и практике промышленной политики определяет актуальность темы исследования.</w:t>
      </w:r>
    </w:p>
    <w:p>
      <w:pPr>
        <w:spacing w:after="0" w:before="0" w:line="360"/>
        <w:ind w:firstLine="709"/>
        <w:jc w:val="both"/>
      </w:pPr>
      <w:r>
        <w:rPr>
          <w:rFonts w:ascii="Times New Roman" w:cs="Times New Roman" w:eastAsia="Times New Roman" w:hAnsi="Times New Roman"/>
          <w:b/>
          <w:bCs/>
          <w:sz w:val="28"/>
          <w:szCs w:val="28"/>
        </w:rPr>
        <w:t xml:space="preserve">Степень научной разработанности проблемы.</w:t>
      </w:r>
      <w:r>
        <w:rPr>
          <w:rFonts w:ascii="Times New Roman" w:cs="Times New Roman" w:eastAsia="Times New Roman" w:hAnsi="Times New Roman"/>
          <w:sz w:val="28"/>
          <w:szCs w:val="28"/>
        </w:rPr>
        <w:t xml:space="preserve"> Представление о выгоде соседства предприятий восходит к работам А. Маршалла о внешней экономии и М. Портера о кластерах. Аналогию промышленности с природной экосистемой предложили Р. Фрош и Н. Галлопулос. Понятие промышленного симбиоза и операциональный критерий «три субъекта — два ресурса» разработала М. Чертоу, опыт Калундборга описали Дж. Эренфельд, Н. Гертлер и Н.Б. Якобсен. Экосистемный подход в теории менеджмента связан с именами Дж. Мура, М. Якобидеса, К. Ченнамо и А. Гавер, в отечественной системной экономической теории — с трудами Г.Б. Клейнера. Основу анализа межфирменных сделок со специфическими активами дали Р. Коуз и О. Уильямсон, теорию двусторонних платформ — Ж.-Ш. Роше и Ж. Тироль, инструменты раздела совокупного выигрыша и анализа устойчивой кооперации — Л. Шепли и Р. Аксельрод.</w:t>
      </w:r>
    </w:p>
    <w:p>
      <w:pPr>
        <w:spacing w:after="0" w:before="0" w:line="360"/>
        <w:ind w:firstLine="709"/>
        <w:jc w:val="both"/>
      </w:pPr>
      <w:r>
        <w:rPr>
          <w:rFonts w:ascii="Times New Roman" w:cs="Times New Roman" w:eastAsia="Times New Roman" w:hAnsi="Times New Roman"/>
          <w:sz w:val="28"/>
          <w:szCs w:val="28"/>
        </w:rPr>
        <w:t xml:space="preserve">Российские исследования промышленных экосистем последних пяти лет развиваются в нескольких направлениях. Платформенную концепцию стратегического управления промышленными экосистемами разработали В.В. Глухов, А.В. Бабкин, Е.В. Шкарупета и В.А. Плотников. Экосистему крупного предприятия и стратегию её расширения изучали Е.В. Попов, В.Л. Симонова и И.П. Челак, антикризисную функцию экосистем показали С.Н. Митяков и Е.С. Митяков, методологию стратегии и устойчивого развития промышленных экосистем предложили Н.В. Шмелева и О.В. Дударева. Территориальную трактовку экосистемы и её структурные признаки рассматривали Л.А. Гамидуллаева, Е.А. Вишнягова, И.А. Соловьева, Н.Ю. Титова и В.Е. Зиглина. Промышленному симбиозу посвящены работы Д.Ю. Мироновой и И.В. Тимахович, А.Л. Белых, И.Ю. Блама и С.Ю. Ковалева, И.И. Фокиной и Ю.Г. Герцик, Е.В. Цениной и В.М. Репниковой; способы оценки промышленно-симбиотических взаимодействий систематизировала Е.Э. Уткина. Влияние режима территорий опережающего развития на занятость в моногородах оценили А.В. Зубарев и Я.П. Мотякина.</w:t>
      </w:r>
    </w:p>
    <w:p>
      <w:pPr>
        <w:spacing w:after="0" w:before="0" w:line="360"/>
        <w:ind w:firstLine="709"/>
        <w:jc w:val="both"/>
      </w:pPr>
      <w:r>
        <w:rPr>
          <w:rFonts w:ascii="Times New Roman" w:cs="Times New Roman" w:eastAsia="Times New Roman" w:hAnsi="Times New Roman"/>
          <w:sz w:val="28"/>
          <w:szCs w:val="28"/>
        </w:rPr>
        <w:t xml:space="preserve">В зарубежной литературе последних лет выделяются эмпирические исследования эко-индустриальных парков (Дж. Липпи, Р. Эвола, Э. Весче), обзоры методов экономической оценки симбиоза (М. Чизи, Р. Наполи), работы о цифровых платформах обмена побочными ресурсами (П. Кром, Л. Пишичелли, К. Френкен, Л. Сгамбаро, Д. Кьярони, А. Урбинати), агентные и игровые модели стимулов участников (Л. Фраккашия, Д. Язан, М. Моллика, А. Настази). Оптимизационные модели парков с распределением выигрыша по вектору Шепли и углеродными ограничениями построили М. Окби, Д. Аль-Моханнади, Р. Диас с соавторами, двухуровневые модели сетей симбиоза — Г.С. Даш с соавторами.</w:t>
      </w:r>
    </w:p>
    <w:p>
      <w:pPr>
        <w:spacing w:after="0" w:before="0" w:line="360"/>
        <w:ind w:firstLine="709"/>
        <w:jc w:val="both"/>
      </w:pPr>
      <w:r>
        <w:rPr>
          <w:rFonts w:ascii="Times New Roman" w:cs="Times New Roman" w:eastAsia="Times New Roman" w:hAnsi="Times New Roman"/>
          <w:sz w:val="28"/>
          <w:szCs w:val="28"/>
        </w:rPr>
        <w:t xml:space="preserve">Перечисленные направления дают ответы на разные вопросы. Инженерные и оптимизационные модели измеряют потоки и находят лучшую конфигурацию обменов, игровые — справедливый раздел выигрыша, институциональные объясняют, почему выгодные сделки не заключаются. Процедуры, в которой эффект сети измеряется относительно состояния без координатора, делится по правилу, известному до начала обмена, и частично возвращается территории, в литературе нет. Слабо изучен и случай моногорода с одним якорным предприятием: режим ТОСЭР ограничивает долю продаж резидента градообразующей организации, а остановка якоря обнуляет значительную часть обменов. Эти пробелы определили цель и задачи исследования.</w:t>
      </w:r>
    </w:p>
    <w:p>
      <w:pPr>
        <w:spacing w:after="0" w:before="0" w:line="360"/>
        <w:ind w:firstLine="709"/>
        <w:jc w:val="both"/>
      </w:pPr>
      <w:r>
        <w:rPr>
          <w:rFonts w:ascii="Times New Roman" w:cs="Times New Roman" w:eastAsia="Times New Roman" w:hAnsi="Times New Roman"/>
          <w:b/>
          <w:bCs/>
          <w:sz w:val="28"/>
          <w:szCs w:val="28"/>
        </w:rPr>
        <w:t xml:space="preserve">Цель исследования</w:t>
      </w:r>
      <w:r>
        <w:rPr>
          <w:rFonts w:ascii="Times New Roman" w:cs="Times New Roman" w:eastAsia="Times New Roman" w:hAnsi="Times New Roman"/>
          <w:sz w:val="28"/>
          <w:szCs w:val="28"/>
        </w:rPr>
        <w:t xml:space="preserve"> состоит в разработке теоретико-методических положений и организационно-экономического механизма формирования экосистемы устойчивого развития промышленного комплекса региона на основе промышленной экоплатформы, которая измеряет межфирменные ресурсные обмены, согласует их условия и распределяет подтверждённый эффект между участниками и бюджетом территории.</w:t>
      </w:r>
    </w:p>
    <w:p>
      <w:pPr>
        <w:spacing w:after="0" w:before="0" w:line="360"/>
        <w:ind w:firstLine="709"/>
        <w:jc w:val="both"/>
      </w:pPr>
      <w:r>
        <w:rPr>
          <w:rFonts w:ascii="Times New Roman" w:cs="Times New Roman" w:eastAsia="Times New Roman" w:hAnsi="Times New Roman"/>
          <w:sz w:val="28"/>
          <w:szCs w:val="28"/>
        </w:rPr>
        <w:t xml:space="preserve">Для достижения цели поставлены следующие задачи:</w:t>
      </w:r>
    </w:p>
    <w:p>
      <w:pPr>
        <w:spacing w:after="0" w:before="0" w:line="360"/>
        <w:ind w:firstLine="709"/>
        <w:jc w:val="both"/>
      </w:pPr>
      <w:r>
        <w:rPr>
          <w:rFonts w:ascii="Times New Roman" w:cs="Times New Roman" w:eastAsia="Times New Roman" w:hAnsi="Times New Roman"/>
          <w:sz w:val="28"/>
          <w:szCs w:val="28"/>
        </w:rPr>
        <w:t xml:space="preserve">– уточнить понятие промышленной экоплатформы и разграничить его с понятиями промышленного кластера, индустриального парка и промышленной экосистемы;</w:t>
      </w:r>
    </w:p>
    <w:p>
      <w:pPr>
        <w:spacing w:after="0" w:before="0" w:line="360"/>
        <w:ind w:firstLine="709"/>
        <w:jc w:val="both"/>
      </w:pPr>
      <w:r>
        <w:rPr>
          <w:rFonts w:ascii="Times New Roman" w:cs="Times New Roman" w:eastAsia="Times New Roman" w:hAnsi="Times New Roman"/>
          <w:sz w:val="28"/>
          <w:szCs w:val="28"/>
        </w:rPr>
        <w:t xml:space="preserve">– обосновать показатели связности промышленной экосистемы, разделяющие технически возможный, экономически обоснованный и фактически действующий обмен;</w:t>
      </w:r>
    </w:p>
    <w:p>
      <w:pPr>
        <w:spacing w:after="0" w:before="0" w:line="360"/>
        <w:ind w:firstLine="709"/>
        <w:jc w:val="both"/>
      </w:pPr>
      <w:r>
        <w:rPr>
          <w:rFonts w:ascii="Times New Roman" w:cs="Times New Roman" w:eastAsia="Times New Roman" w:hAnsi="Times New Roman"/>
          <w:sz w:val="28"/>
          <w:szCs w:val="28"/>
        </w:rPr>
        <w:t xml:space="preserve">– выявить экономические противоречия и институциональные барьеры промышленного симбиоза в российских условиях и сформулировать проверяемые гипотезы исследования;</w:t>
      </w:r>
    </w:p>
    <w:p>
      <w:pPr>
        <w:spacing w:after="0" w:before="0" w:line="360"/>
        <w:ind w:firstLine="709"/>
        <w:jc w:val="both"/>
      </w:pPr>
      <w:r>
        <w:rPr>
          <w:rFonts w:ascii="Times New Roman" w:cs="Times New Roman" w:eastAsia="Times New Roman" w:hAnsi="Times New Roman"/>
          <w:sz w:val="28"/>
          <w:szCs w:val="28"/>
        </w:rPr>
        <w:t xml:space="preserve">– разработать методику оценки дополнительного экономического эффекта экоплатформы относительно контрфактического состояния и правило начисления симбиотического дивиденда;</w:t>
      </w:r>
    </w:p>
    <w:p>
      <w:pPr>
        <w:spacing w:after="0" w:before="0" w:line="360"/>
        <w:ind w:firstLine="709"/>
        <w:jc w:val="both"/>
      </w:pPr>
      <w:r>
        <w:rPr>
          <w:rFonts w:ascii="Times New Roman" w:cs="Times New Roman" w:eastAsia="Times New Roman" w:hAnsi="Times New Roman"/>
          <w:sz w:val="28"/>
          <w:szCs w:val="28"/>
        </w:rPr>
        <w:t xml:space="preserve">– обосновать коридор договорной цены симбиотического ресурса, схемы распределения дивиденда и условия устойчивости кооперации участников;</w:t>
      </w:r>
    </w:p>
    <w:p>
      <w:pPr>
        <w:spacing w:after="0" w:before="0" w:line="360"/>
        <w:ind w:firstLine="709"/>
        <w:jc w:val="both"/>
      </w:pPr>
      <w:r>
        <w:rPr>
          <w:rFonts w:ascii="Times New Roman" w:cs="Times New Roman" w:eastAsia="Times New Roman" w:hAnsi="Times New Roman"/>
          <w:sz w:val="28"/>
          <w:szCs w:val="28"/>
        </w:rPr>
        <w:t xml:space="preserve">– откалибровать параметры якорного предприятия по открытой отчётности заводов-аналогов и построить двухуровневую модель равновесной связности экосистемы;</w:t>
      </w:r>
    </w:p>
    <w:p>
      <w:pPr>
        <w:spacing w:after="0" w:before="0" w:line="360"/>
        <w:ind w:firstLine="709"/>
        <w:jc w:val="both"/>
      </w:pPr>
      <w:r>
        <w:rPr>
          <w:rFonts w:ascii="Times New Roman" w:cs="Times New Roman" w:eastAsia="Times New Roman" w:hAnsi="Times New Roman"/>
          <w:sz w:val="28"/>
          <w:szCs w:val="28"/>
        </w:rPr>
        <w:t xml:space="preserve">– выполнить имитационную оценку режимов экоплатформы и сценариев развития экосистемы на 2027–2036 гг., разработать организационно-экономический механизм её формирования и дорожную карту.</w:t>
      </w:r>
    </w:p>
    <w:p>
      <w:pPr>
        <w:spacing w:after="0" w:before="0" w:line="360"/>
        <w:ind w:firstLine="709"/>
        <w:jc w:val="both"/>
      </w:pPr>
      <w:r>
        <w:rPr>
          <w:rFonts w:ascii="Times New Roman" w:cs="Times New Roman" w:eastAsia="Times New Roman" w:hAnsi="Times New Roman"/>
          <w:b/>
          <w:bCs/>
          <w:sz w:val="28"/>
          <w:szCs w:val="28"/>
        </w:rPr>
        <w:t xml:space="preserve">Объектом исследования</w:t>
      </w:r>
      <w:r>
        <w:rPr>
          <w:rFonts w:ascii="Times New Roman" w:cs="Times New Roman" w:eastAsia="Times New Roman" w:hAnsi="Times New Roman"/>
          <w:sz w:val="28"/>
          <w:szCs w:val="28"/>
        </w:rPr>
        <w:t xml:space="preserve"> выступает промышленный комплекс г. Невинномысска Ставропольского края, включающий АО «Невинномысский Азот», Невинномысскую ГРЭС, экопромышленный парк и резидентов ТОСЭР «Невинномысск».</w:t>
      </w:r>
    </w:p>
    <w:p>
      <w:pPr>
        <w:spacing w:after="0" w:before="0" w:line="360"/>
        <w:ind w:firstLine="709"/>
        <w:jc w:val="both"/>
      </w:pPr>
      <w:r>
        <w:rPr>
          <w:rFonts w:ascii="Times New Roman" w:cs="Times New Roman" w:eastAsia="Times New Roman" w:hAnsi="Times New Roman"/>
          <w:b/>
          <w:bCs/>
          <w:sz w:val="28"/>
          <w:szCs w:val="28"/>
        </w:rPr>
        <w:t xml:space="preserve">Предметом исследования</w:t>
      </w:r>
      <w:r>
        <w:rPr>
          <w:rFonts w:ascii="Times New Roman" w:cs="Times New Roman" w:eastAsia="Times New Roman" w:hAnsi="Times New Roman"/>
          <w:sz w:val="28"/>
          <w:szCs w:val="28"/>
        </w:rPr>
        <w:t xml:space="preserve"> являются организационно-экономические отношения участников промышленной экосистемы, возникающие при обмене побочными ресурсами, оценке и распределении совокупного эффекта этого обмена.</w:t>
      </w:r>
    </w:p>
    <w:p>
      <w:pPr>
        <w:spacing w:after="0" w:before="0" w:line="360"/>
        <w:ind w:firstLine="709"/>
        <w:jc w:val="both"/>
      </w:pPr>
      <w:r>
        <w:rPr>
          <w:rFonts w:ascii="Times New Roman" w:cs="Times New Roman" w:eastAsia="Times New Roman" w:hAnsi="Times New Roman"/>
          <w:b/>
          <w:bCs/>
          <w:sz w:val="28"/>
          <w:szCs w:val="28"/>
        </w:rPr>
        <w:t xml:space="preserve">Теоретической основой исследования</w:t>
      </w:r>
      <w:r>
        <w:rPr>
          <w:rFonts w:ascii="Times New Roman" w:cs="Times New Roman" w:eastAsia="Times New Roman" w:hAnsi="Times New Roman"/>
          <w:sz w:val="28"/>
          <w:szCs w:val="28"/>
        </w:rPr>
        <w:t xml:space="preserve"> послужили положения теории трансакционных издержек и неполных контрактов, теории двусторонних рынков, кооперативной и некооперативной теории игр, концепции промышленного симбиоза и промышленной экологии, системной экономической теории, теории региональной и отраслевой экономики, а также труды отечественных и зарубежных учёных в области промышленной политики, государственно-частного партнёрства и экономики природопользования.</w:t>
      </w:r>
    </w:p>
    <w:p>
      <w:pPr>
        <w:spacing w:after="0" w:before="0" w:line="360"/>
        <w:ind w:firstLine="709"/>
        <w:jc w:val="both"/>
      </w:pPr>
      <w:r>
        <w:rPr>
          <w:rFonts w:ascii="Times New Roman" w:cs="Times New Roman" w:eastAsia="Times New Roman" w:hAnsi="Times New Roman"/>
          <w:b/>
          <w:bCs/>
          <w:sz w:val="28"/>
          <w:szCs w:val="28"/>
        </w:rPr>
        <w:t xml:space="preserve">Методологическая основа исследования</w:t>
      </w:r>
      <w:r>
        <w:rPr>
          <w:rFonts w:ascii="Times New Roman" w:cs="Times New Roman" w:eastAsia="Times New Roman" w:hAnsi="Times New Roman"/>
          <w:sz w:val="28"/>
          <w:szCs w:val="28"/>
        </w:rPr>
        <w:t xml:space="preserve"> включает системный и институциональный подходы, сетевой анализ, методы оценки инвестиционных проектов, анализ чувствительности и метод Монте-Карло, вектор Шепли и модели повторяющихся игр, двухуровневое моделирование, регрессионный анализ панельных данных с фиксированными эффектами и бутстреп-оценку интервалов, имитационное моделирование на программной модели экоплатформы, сценарный анализ и построение композитного индекса устойчивого развития.</w:t>
      </w:r>
    </w:p>
    <w:p>
      <w:pPr>
        <w:spacing w:after="0" w:before="0" w:line="360"/>
        <w:ind w:firstLine="709"/>
        <w:jc w:val="both"/>
      </w:pPr>
      <w:r>
        <w:rPr>
          <w:rFonts w:ascii="Times New Roman" w:cs="Times New Roman" w:eastAsia="Times New Roman" w:hAnsi="Times New Roman"/>
          <w:b/>
          <w:bCs/>
          <w:sz w:val="28"/>
          <w:szCs w:val="28"/>
        </w:rPr>
        <w:t xml:space="preserve">Информационно-эмпирическую базу исследования</w:t>
      </w:r>
      <w:r>
        <w:rPr>
          <w:rFonts w:ascii="Times New Roman" w:cs="Times New Roman" w:eastAsia="Times New Roman" w:hAnsi="Times New Roman"/>
          <w:sz w:val="28"/>
          <w:szCs w:val="28"/>
        </w:rPr>
        <w:t xml:space="preserve"> составили федеральные законы и постановления Правительства Российской Федерации о территориях опережающего развития, государственно-частном партнёрстве, плате за негативное воздействие на окружающую среду, обращении с отходами и теплоснабжении; материалы администрации г. Невинномысска о социально-экономическом развитии города; данные программы отчётности о парниковых газах Агентства по охране окружающей среды США за 2010–2023 гг. по 19 азотным комплексам-аналогам; годовой отчёт CF Industries; отчёт агентства PBL и TNO о заводе Yara Sluiskil; база Climate TRACE; аналитический отчёт Öko-Institut о выбросах закиси азота; публикации периодической печати о ТОСЭР «Невинномысск» и экопромышленном парке; результаты собственных расчётов. Производственная отчётность предприятий Невинномысска в открытом доступе отсутствует, поэтому закрытые параметры якорного предприятия калибровались по аналогам, и каждому параметру присвоен класс качества данных.</w:t>
      </w:r>
    </w:p>
    <w:p>
      <w:pPr>
        <w:spacing w:after="0" w:before="0" w:line="360"/>
        <w:ind w:firstLine="709"/>
        <w:jc w:val="both"/>
      </w:pPr>
      <w:r>
        <w:rPr>
          <w:rFonts w:ascii="Times New Roman" w:cs="Times New Roman" w:eastAsia="Times New Roman" w:hAnsi="Times New Roman"/>
          <w:b/>
          <w:bCs/>
          <w:sz w:val="28"/>
          <w:szCs w:val="28"/>
        </w:rPr>
        <w:t xml:space="preserve">Рабочая гипотеза исследования</w:t>
      </w:r>
      <w:r>
        <w:rPr>
          <w:rFonts w:ascii="Times New Roman" w:cs="Times New Roman" w:eastAsia="Times New Roman" w:hAnsi="Times New Roman"/>
          <w:sz w:val="28"/>
          <w:szCs w:val="28"/>
        </w:rPr>
        <w:t xml:space="preserve"> состоит в том, что дефицит промышленного симбиоза в моногороде с благоприятным составом участников вызван отсутствием институтов измерения и распределения межфирменного эффекта. Экоплатформа, которая снижает издержки координации и задаёт правило раздела эффекта до начала обмена, повышает долю заключаемых окупаемых обменов и смещает экономически оптимальную связность сети вправо. Симбиотический дивиденд при этом служит стимулом участия, а не источником возврата вложенного капитала.</w:t>
      </w:r>
    </w:p>
    <w:p>
      <w:pPr>
        <w:spacing w:after="0" w:before="0" w:line="360"/>
        <w:ind w:firstLine="709"/>
        <w:jc w:val="both"/>
      </w:pPr>
      <w:r>
        <w:rPr>
          <w:rFonts w:ascii="Times New Roman" w:cs="Times New Roman" w:eastAsia="Times New Roman" w:hAnsi="Times New Roman"/>
          <w:b/>
          <w:bCs/>
          <w:sz w:val="28"/>
          <w:szCs w:val="28"/>
        </w:rPr>
        <w:t xml:space="preserve">Научная новизна исследования</w:t>
      </w:r>
      <w:r>
        <w:rPr>
          <w:rFonts w:ascii="Times New Roman" w:cs="Times New Roman" w:eastAsia="Times New Roman" w:hAnsi="Times New Roman"/>
          <w:sz w:val="28"/>
          <w:szCs w:val="28"/>
        </w:rPr>
        <w:t xml:space="preserve"> состоит в разработке теоретико-методических положений и организационно-экономического механизма формирования экосистемы промышленного комплекса моногорода на основе экоплатформы, которая измеряет межфирменные ресурсные обмены, согласует их условия и распределяет подтверждённый эффект между участниками и бюджетом территории. Наиболее существенные результаты, полученные лично соискателем, состоят в следующем:</w:t>
      </w:r>
    </w:p>
    <w:p>
      <w:pPr>
        <w:spacing w:after="0" w:before="0" w:line="360"/>
        <w:ind w:firstLine="709"/>
        <w:jc w:val="both"/>
      </w:pPr>
      <w:r>
        <w:rPr>
          <w:rFonts w:ascii="Times New Roman" w:cs="Times New Roman" w:eastAsia="Times New Roman" w:hAnsi="Times New Roman"/>
          <w:sz w:val="28"/>
          <w:szCs w:val="28"/>
        </w:rPr>
        <w:t xml:space="preserve">– уточнено понятие промышленной экоплатформы как организационно-экономического механизма промышленной экосистемы с тремя проверяемыми признаками: измерением ресурсных обменов, согласованием их условий и распределением верифицированного эффекта с участием бюджета территории. В отличие от трактовок кластера, индустриального парка и цифровой биржи отходов различительным признаком принято правило присвоения эффекта, а не состав участников. Предложено разложение индекса синергетической плотности на коэффициенты экономической и организационной реализуемости, которое отделяет нехватку окупаемых обменов от неспособности заключить окупаемые (гл. 1, § 1.1.3, 1.2.2);</w:t>
      </w:r>
    </w:p>
    <w:p>
      <w:pPr>
        <w:spacing w:after="0" w:before="0" w:line="360"/>
        <w:ind w:firstLine="709"/>
        <w:jc w:val="both"/>
      </w:pPr>
      <w:r>
        <w:rPr>
          <w:rFonts w:ascii="Times New Roman" w:cs="Times New Roman" w:eastAsia="Times New Roman" w:hAnsi="Times New Roman"/>
          <w:sz w:val="28"/>
          <w:szCs w:val="28"/>
        </w:rPr>
        <w:t xml:space="preserve">– разработана методика оценки дополнительного экономического эффекта экоплатформы относительно контрфактического состояния «без платформы», которая исключает внутренние трансферты между участниками и вычитает затраты на создание и поддержание связей, благодаря чему у сети появляется экономически оптимальная связность. На этой основе введён симбиотический дивиденд, начисляемый только на подтверждённый положительный эффект и распределяемый по схемам с долями, зависящими от достигнутой связности; справедливость долей проверяется вектором Шепли, условием участия служит коридор договорной цены (гл. 2, § 2.3–2.5);</w:t>
      </w:r>
    </w:p>
    <w:p>
      <w:pPr>
        <w:spacing w:after="0" w:before="0" w:line="360"/>
        <w:ind w:firstLine="709"/>
        <w:jc w:val="both"/>
      </w:pPr>
      <w:r>
        <w:rPr>
          <w:rFonts w:ascii="Times New Roman" w:cs="Times New Roman" w:eastAsia="Times New Roman" w:hAnsi="Times New Roman"/>
          <w:sz w:val="28"/>
          <w:szCs w:val="28"/>
        </w:rPr>
        <w:t xml:space="preserve">– построена двухуровневая модель равновесной связности экосистемы с якорным предприятием. На нижнем уровне решение резидента об участии учитывает норму режима ТОСЭР о предельной доле продаж градообразующей организации, на верхнем выбор механизма поддержки ограничен бюджетным условием ликвидации накопленного ущерба. Разрыв между оптимальной и равновесной связностью получил денежную меру — цену его закрытия, распределение эффекта скорректировано на риск остановки якоря. Закрытые параметры якоря откалиброваны по открытой отчётности 19 азотных комплексов-аналогов (гл. 3, § 3.1, 3.2);</w:t>
      </w:r>
    </w:p>
    <w:p>
      <w:pPr>
        <w:spacing w:after="0" w:before="0" w:line="360"/>
        <w:ind w:firstLine="709"/>
        <w:jc w:val="both"/>
      </w:pPr>
      <w:r>
        <w:rPr>
          <w:rFonts w:ascii="Times New Roman" w:cs="Times New Roman" w:eastAsia="Times New Roman" w:hAnsi="Times New Roman"/>
          <w:sz w:val="28"/>
          <w:szCs w:val="28"/>
        </w:rPr>
        <w:t xml:space="preserve">– установлена экономическая граница между переходным и экосистемным состояниями как порог связности, при котором подтверждённый эффект покрывает постоянные затраты платформы. Обратным расчётом оценён информационный барьер, при котором модель воспроизводит наблюдаемую связность моногорода, и порог барьера, выше которого платформа превосходит двусторонние сделки. Показано, что компенсация затрат подключения влияет на участие малых резидентов сильнее дивиденда при любой из четырёх рассмотренных моделей поведения (гл. 3, § 3.2.3, 3.3.2–3.3.4);</w:t>
      </w:r>
    </w:p>
    <w:p>
      <w:pPr>
        <w:spacing w:after="0" w:before="0" w:line="360"/>
        <w:ind w:firstLine="709"/>
        <w:jc w:val="both"/>
      </w:pPr>
      <w:r>
        <w:rPr>
          <w:rFonts w:ascii="Times New Roman" w:cs="Times New Roman" w:eastAsia="Times New Roman" w:hAnsi="Times New Roman"/>
          <w:sz w:val="28"/>
          <w:szCs w:val="28"/>
        </w:rPr>
        <w:t xml:space="preserve">– обоснован организационно-экономический механизм формирования экосистемы с разделением функций измерения и получения эффекта, доверительным управлением данными и тремя финансовыми контурами. Баланс бенефициаров показал, что платформа сужает целевой источник финансирования ликвидации накопленного вреда — плату за негативное воздействие, поэтому механизм дополнен её замещением. Предложены дорожная карта на 2027–2036 гг. с пороговыми условиями перехода между этапами и план оценки после запуска платформы, в котором для каждого допущения названо опровергающее наблюдение (гл. 3, § 3.3.5, 3.5).</w:t>
      </w:r>
    </w:p>
    <w:p>
      <w:pPr>
        <w:spacing w:after="0" w:before="0" w:line="360"/>
        <w:ind w:firstLine="709"/>
        <w:jc w:val="both"/>
      </w:pPr>
      <w:r>
        <w:rPr>
          <w:rFonts w:ascii="Times New Roman" w:cs="Times New Roman" w:eastAsia="Times New Roman" w:hAnsi="Times New Roman"/>
          <w:b/>
          <w:bCs/>
          <w:sz w:val="28"/>
          <w:szCs w:val="28"/>
        </w:rPr>
        <w:t xml:space="preserve">Положения, выносимые на защиту:</w:t>
      </w:r>
    </w:p>
    <w:p>
      <w:pPr>
        <w:spacing w:after="0" w:before="0" w:line="360"/>
        <w:ind w:firstLine="709"/>
        <w:jc w:val="both"/>
      </w:pPr>
      <w:r>
        <w:rPr>
          <w:rFonts w:ascii="Times New Roman" w:cs="Times New Roman" w:eastAsia="Times New Roman" w:hAnsi="Times New Roman"/>
          <w:sz w:val="28"/>
          <w:szCs w:val="28"/>
        </w:rPr>
        <w:t xml:space="preserve">– дефицит промышленного симбиоза в моногороде с благоприятным составом участников вызван отсутствием институтов измерения и распределения межфирменного эффекта, а не нехваткой ресурсов или инфраструктуры. Индекс синергетической плотности раскладывается на коэффициент экономической реализуемости ηэк и коэффициент организационной реализации ηорг. Действующие институты (режим ТОСЭР, государственно-частное партнёрство, плата за негативное воздействие, финансирование экотехнопарков) увеличивают число потенциальных обменов и отчасти их окупаемость, но ни один не влияет на долю окупаемых обменов, которые действительно заключаются. Эту нишу занимает экоплатформа, обязательными признаками которой являются измерение, согласование и распределение. Опровергающим наблюдением будет отсутствие роста коэффициента ηорг после запуска платформы (п. 2.4 «Закономерности функционирования и развития отраслей промышленности», п. 7.5 «Цифровая трансформация экономической деятельности. Модели и инструменты цифровой трансформации» Паспорта специальности 5.2.3) (гл. 1, § 1.1.3, 1.2.2, 1.5.2);</w:t>
      </w:r>
    </w:p>
    <w:p>
      <w:pPr>
        <w:spacing w:after="0" w:before="0" w:line="360"/>
        <w:ind w:firstLine="709"/>
        <w:jc w:val="both"/>
      </w:pPr>
      <w:r>
        <w:rPr>
          <w:rFonts w:ascii="Times New Roman" w:cs="Times New Roman" w:eastAsia="Times New Roman" w:hAnsi="Times New Roman"/>
          <w:sz w:val="28"/>
          <w:szCs w:val="28"/>
        </w:rPr>
        <w:t xml:space="preserve">– эффект экоплатформы определяется как изменение денежных потоков участников относительно состояния «без платформы» за вычетом затрат на создание и поддержание связей; цена обмена влияет на раздел эффекта, но не на его величину. В демонстрационном сценарии при валовой экономии 239,7 млн руб. в год чистый эффект составляет 117,4 млн руб., затраты платформы и сделок поглощают 29 % валовой экономии. Симбиотический дивиденд начисляется только на подтверждённый положительный эффект и не может служить источником возврата капитала ни оператору, ни публичному партнёру. Вектор Шепли, использованный как контрольный критерий, показал, что наибольший вклад вносят резиденты как группа, тогда как схема распределения имитационной модели отводит им наименьшую долю (п. 2.2 «Вопросы оценки и повышения эффективности хозяйственной деятельности на предприятиях и в отраслях промышленности», п. 2.12 «Государственно-частное партнерство в промышленности» Паспорта специальности 5.2.3) (гл. 2, § 2.3–2.5);</w:t>
      </w:r>
    </w:p>
    <w:p>
      <w:pPr>
        <w:spacing w:after="0" w:before="0" w:line="360"/>
        <w:ind w:firstLine="709"/>
        <w:jc w:val="both"/>
      </w:pPr>
      <w:r>
        <w:rPr>
          <w:rFonts w:ascii="Times New Roman" w:cs="Times New Roman" w:eastAsia="Times New Roman" w:hAnsi="Times New Roman"/>
          <w:sz w:val="28"/>
          <w:szCs w:val="28"/>
        </w:rPr>
        <w:t xml:space="preserve">– равновесная связность экосистемы с якорным предприятием систематически ниже оптимальной, и без внешнего толчка сеть остаётся в нижнем равновесии. Двухуровневая модель, учитывающая норму 50 % режима ТОСЭР и бюджетное условие ликвидации ущерба, даёт для Невинномысска в 2027 г. равновесную связность 0,169 при оптимальной 0,244; цена закрытия разрыва для схемы В составляет 2,26 млн руб. в 2027 г. и снижается до 1,30 млн руб. к 2036 г. Норма ТОСЭР мягка для низкомаржинальных и жёстка для высокомаржинальных резидентов-поставщиков якоря, поэтому обмен, в котором якорь выступает покупателем, следует проектировать сразу со вторым покупателем. Параметры якоря перенесены с азотных комплексов-аналогов: выбросы CO₂ в границе МГЭИК </w:t>
      </w:r>
      <w:r>
        <w:rPr>
          <w:rFonts w:ascii="Times New Roman" w:cs="Times New Roman" w:eastAsia="Times New Roman" w:hAnsi="Times New Roman"/>
          <w:sz w:val="28"/>
          <w:szCs w:val="28"/>
          <w:highlight w:val="yellow"/>
        </w:rPr>
        <w:t xml:space="preserve">1,81 млн т</w:t>
      </w:r>
      <w:r>
        <w:rPr>
          <w:rFonts w:ascii="Times New Roman" w:cs="Times New Roman" w:eastAsia="Times New Roman" w:hAnsi="Times New Roman"/>
          <w:sz w:val="28"/>
          <w:szCs w:val="28"/>
        </w:rPr>
        <w:t xml:space="preserve"> в год, вероятность простоя с модой </w:t>
      </w:r>
      <w:r>
        <w:rPr>
          <w:rFonts w:ascii="Times New Roman" w:cs="Times New Roman" w:eastAsia="Times New Roman" w:hAnsi="Times New Roman"/>
          <w:sz w:val="28"/>
          <w:szCs w:val="28"/>
          <w:highlight w:val="yellow"/>
        </w:rPr>
        <w:t xml:space="preserve">0,05</w:t>
      </w:r>
      <w:r>
        <w:rPr>
          <w:rFonts w:ascii="Times New Roman" w:cs="Times New Roman" w:eastAsia="Times New Roman" w:hAnsi="Times New Roman"/>
          <w:sz w:val="28"/>
          <w:szCs w:val="28"/>
        </w:rPr>
        <w:t xml:space="preserve">. Положение отвергается, если связность без мер поддержки достигнет оптимального уровня (п. 1.14 «Особые экономико-правовые режимы регионального и местного развития», п. 2.11 «Формирование механизмов устойчивого развития экономики промышленных отраслей, комплексов, предприятий» Паспорта специальности 5.2.3) (гл. 3, § 3.1, 3.2);</w:t>
      </w:r>
    </w:p>
    <w:p>
      <w:pPr>
        <w:spacing w:after="0" w:before="0" w:line="360"/>
        <w:ind w:firstLine="709"/>
        <w:jc w:val="both"/>
      </w:pPr>
      <w:r>
        <w:rPr>
          <w:rFonts w:ascii="Times New Roman" w:cs="Times New Roman" w:eastAsia="Times New Roman" w:hAnsi="Times New Roman"/>
          <w:sz w:val="28"/>
          <w:szCs w:val="28"/>
        </w:rPr>
        <w:t xml:space="preserve">– граница между переходным и экосистемным состояниями определяется не сценарными порогами 5 и 15 %, а порогом окупаемости платформы Cmin, который для Невинномысска снижается с 0,089 в 2027 г. до 0,062 в 2036 г. Одна действующая межзаводская связь воспроизводится моделью при информационном барьере не ниже 1,75 млн руб. в год на резидента, а платформа превосходит двусторонние сделки только при барьере не ниже 0,9–1,05 млн руб. Компенсация 30 % затрат подключения добавляет четырёх резидентов при бюджетных затратах около 2,6 млн руб. в год, дивиденд — не более двух; преимущество компенсации сохраняется при всех четырёх моделях поведения, и она оказывается лучшим механизмом в 54–81 % испытаний Монте-Карло. Положение следует признать неверным, если обследование покажет, что резиденты тратят на поиск и согласование договора заметно меньше 1 млн руб. в год, а обмены всё равно не начинаются (п. 2.10 «Промышленная политика», п. 2.2 «Вопросы оценки и повышения эффективности хозяйственной деятельности на предприятиях и в отраслях промышленности» Паспорта специальности 5.2.3) (гл. 3, § 3.2.3, 3.3.2–3.3.4);</w:t>
      </w:r>
    </w:p>
    <w:p>
      <w:pPr>
        <w:spacing w:after="0" w:before="0" w:line="360"/>
        <w:ind w:firstLine="709"/>
        <w:jc w:val="both"/>
      </w:pPr>
      <w:r>
        <w:rPr>
          <w:rFonts w:ascii="Times New Roman" w:cs="Times New Roman" w:eastAsia="Times New Roman" w:hAnsi="Times New Roman"/>
          <w:sz w:val="28"/>
          <w:szCs w:val="28"/>
        </w:rPr>
        <w:t xml:space="preserve">– экоплатформа перераспределяет выигрыш в пользу резидентов ТОСЭР, а основным проигравшим оказывается бюджет города, теряющий плату за негативное воздействие, которая с 2022 г. целевым образом направляется на ликвидацию накопленного вреда. Дивиденд не покрывает потребность в ликвидации ни при одном сочетании параметров: внешний источник должен давать 86–91 % средств. Поэтому механизм формирования экосистемы включает операционный, стимулирующий и экологический финансовые контуры, публичную поддержку 28–32 млн руб. в год сверх дивиденда, из которых краевой трансферт покрывает около трети, и дорожную карту из трёх этапов с пороговыми условиями перехода. Платформа не является инструментом декарбонизации якоря: её вклад в сокращение его выбросов составляет </w:t>
      </w:r>
      <w:r>
        <w:rPr>
          <w:rFonts w:ascii="Times New Roman" w:cs="Times New Roman" w:eastAsia="Times New Roman" w:hAnsi="Times New Roman"/>
          <w:sz w:val="28"/>
          <w:szCs w:val="28"/>
          <w:highlight w:val="yellow"/>
        </w:rPr>
        <w:t xml:space="preserve">0,2–0,4 %</w:t>
      </w:r>
      <w:r>
        <w:rPr>
          <w:rFonts w:ascii="Times New Roman" w:cs="Times New Roman" w:eastAsia="Times New Roman" w:hAnsi="Times New Roman"/>
          <w:sz w:val="28"/>
          <w:szCs w:val="28"/>
        </w:rPr>
        <w:t xml:space="preserve">, тогда как очистка N₂O даёт </w:t>
      </w:r>
      <w:r>
        <w:rPr>
          <w:rFonts w:ascii="Times New Roman" w:cs="Times New Roman" w:eastAsia="Times New Roman" w:hAnsi="Times New Roman"/>
          <w:sz w:val="28"/>
          <w:szCs w:val="28"/>
          <w:highlight w:val="yellow"/>
        </w:rPr>
        <w:t xml:space="preserve">38 %</w:t>
      </w:r>
      <w:r>
        <w:rPr>
          <w:rFonts w:ascii="Times New Roman" w:cs="Times New Roman" w:eastAsia="Times New Roman" w:hAnsi="Times New Roman"/>
          <w:sz w:val="28"/>
          <w:szCs w:val="28"/>
        </w:rPr>
        <w:t xml:space="preserve">. Положение будет опровергнуто, если доля бюджета в дивиденде вместе с целевой платой за негативное воздействие покроет стоимость ликвидации без внешнего источника (п. 2.11 «Формирование механизмов устойчивого развития экономики промышленных отраслей, комплексов, предприятий», п. 9.11 «Экологическая политика. Стимулирование экологизации экономики и повышения эффективности природопользования методами экономической политики» Паспорта специальности 5.2.3) (гл. 3, § 3.3.5, 3.4, 3.5).</w:t>
      </w:r>
    </w:p>
    <w:p>
      <w:pPr>
        <w:spacing w:after="0" w:before="0" w:line="360"/>
        <w:ind w:firstLine="709"/>
        <w:jc w:val="both"/>
      </w:pPr>
      <w:r>
        <w:rPr>
          <w:rFonts w:ascii="Times New Roman" w:cs="Times New Roman" w:eastAsia="Times New Roman" w:hAnsi="Times New Roman"/>
          <w:b/>
          <w:bCs/>
          <w:sz w:val="28"/>
          <w:szCs w:val="28"/>
        </w:rPr>
        <w:t xml:space="preserve">Теоретическая значимость работы</w:t>
      </w:r>
      <w:r>
        <w:rPr>
          <w:rFonts w:ascii="Times New Roman" w:cs="Times New Roman" w:eastAsia="Times New Roman" w:hAnsi="Times New Roman"/>
          <w:sz w:val="28"/>
          <w:szCs w:val="28"/>
        </w:rPr>
        <w:t xml:space="preserve"> заключается в развитии теории промышленных экосистем и промышленного симбиоза применительно к задачам региональной и отраслевой экономики. В научный оборот введены понятия промышленной экоплатформы и симбиотического дивиденда с проверяемыми признаками, обосновано разложение связности экосистемы на экономическую и организационную составляющие, предложено правило оценки эффекта сети относительно контрфактического состояния с вычетом затрат на поддержание связей. Двухуровневая модель равновесной связности связывает поведение резидентов с параметрами особого экономико-правового режима и бюджетными ограничениями территории, что расширяет инструментарий анализа промышленной политики в моногородах.</w:t>
      </w:r>
    </w:p>
    <w:p>
      <w:pPr>
        <w:spacing w:after="0" w:before="0" w:line="360"/>
        <w:ind w:firstLine="709"/>
        <w:jc w:val="both"/>
      </w:pPr>
      <w:r>
        <w:rPr>
          <w:rFonts w:ascii="Times New Roman" w:cs="Times New Roman" w:eastAsia="Times New Roman" w:hAnsi="Times New Roman"/>
          <w:b/>
          <w:bCs/>
          <w:sz w:val="28"/>
          <w:szCs w:val="28"/>
        </w:rPr>
        <w:t xml:space="preserve">Практическая значимость исследования</w:t>
      </w:r>
      <w:r>
        <w:rPr>
          <w:rFonts w:ascii="Times New Roman" w:cs="Times New Roman" w:eastAsia="Times New Roman" w:hAnsi="Times New Roman"/>
          <w:sz w:val="28"/>
          <w:szCs w:val="28"/>
        </w:rPr>
        <w:t xml:space="preserve"> состоит в том, что методика оценки эффекта, алгоритм выбора договорной цены, схемы распределения дивиденда и дорожная карта могут использоваться администрацией г. Невинномысска, органами исполнительной власти Ставропольского края и управляющей компанией ТОСЭР при подготовке соглашения о государственно-частном партнёрстве и программ развития экопромышленного парка, а предприятиями-участниками — при подготовке долгосрочных договоров обмена побочными ресурсами. Программная модель экоплатформы с открытым исходным кодом позволяет пересчитать результаты при поступлении фактических данных участников. Отдельные положения работы могут применяться в учебном процессе при преподавании дисциплин «Региональная экономика», «Экономика промышленности» и «Государственно-частное партнёрство».</w:t>
      </w:r>
    </w:p>
    <w:p>
      <w:pPr>
        <w:spacing w:after="0" w:before="0" w:line="360"/>
        <w:ind w:firstLine="709"/>
        <w:jc w:val="both"/>
      </w:pPr>
      <w:r>
        <w:rPr>
          <w:rFonts w:ascii="Times New Roman" w:cs="Times New Roman" w:eastAsia="Times New Roman" w:hAnsi="Times New Roman"/>
          <w:b/>
          <w:bCs/>
          <w:sz w:val="28"/>
          <w:szCs w:val="28"/>
        </w:rPr>
        <w:t xml:space="preserve">Степень достоверности результатов</w:t>
      </w:r>
      <w:r>
        <w:rPr>
          <w:rFonts w:ascii="Times New Roman" w:cs="Times New Roman" w:eastAsia="Times New Roman" w:hAnsi="Times New Roman"/>
          <w:sz w:val="28"/>
          <w:szCs w:val="28"/>
        </w:rPr>
        <w:t xml:space="preserve"> обеспечена опорой на нормативные правовые акты, официальную отчётность и публикации, выходные данные которых сверены по DOI и сайтам издателей; воспроизводимостью расчётов по приведённым формулам; явным указанием статуса каждого исходного значения (измерено, рассчитано по допущению, взято из внешнего источника); проверкой результатов на чувствительность и вероятностную устойчивость методом Монте-Карло; формулировкой для каждого положения наблюдения, при котором оно должно быть отвергнуто.</w:t>
      </w:r>
    </w:p>
    <w:p>
      <w:pPr>
        <w:spacing w:after="0" w:before="0" w:line="360"/>
        <w:ind w:firstLine="709"/>
        <w:jc w:val="both"/>
      </w:pPr>
      <w:r>
        <w:rPr>
          <w:rFonts w:ascii="Times New Roman" w:cs="Times New Roman" w:eastAsia="Times New Roman" w:hAnsi="Times New Roman"/>
          <w:b/>
          <w:bCs/>
          <w:sz w:val="28"/>
          <w:szCs w:val="28"/>
        </w:rPr>
        <w:t xml:space="preserve">Апробация результатов исследования.</w:t>
      </w:r>
      <w:r>
        <w:rPr>
          <w:rFonts w:ascii="Times New Roman" w:cs="Times New Roman" w:eastAsia="Times New Roman" w:hAnsi="Times New Roman"/>
          <w:sz w:val="28"/>
          <w:szCs w:val="28"/>
        </w:rPr>
        <w:t xml:space="preserve"> Основные положения диссертации докладывались и обсуждались на научно-практических конференциях: </w:t>
      </w:r>
      <w:r>
        <w:rPr>
          <w:rFonts w:ascii="Times New Roman" w:cs="Times New Roman" w:eastAsia="Times New Roman" w:hAnsi="Times New Roman"/>
          <w:sz w:val="28"/>
          <w:szCs w:val="28"/>
          <w:highlight w:val="yellow"/>
        </w:rPr>
        <w:t xml:space="preserve">[перечень конференций с указанием города и года]</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Публикации.</w:t>
      </w:r>
      <w:r>
        <w:rPr>
          <w:rFonts w:ascii="Times New Roman" w:cs="Times New Roman" w:eastAsia="Times New Roman" w:hAnsi="Times New Roman"/>
          <w:sz w:val="28"/>
          <w:szCs w:val="28"/>
        </w:rPr>
        <w:t xml:space="preserve"> По теме диссертации опубликовано </w:t>
      </w:r>
      <w:r>
        <w:rPr>
          <w:rFonts w:ascii="Times New Roman" w:cs="Times New Roman" w:eastAsia="Times New Roman" w:hAnsi="Times New Roman"/>
          <w:sz w:val="28"/>
          <w:szCs w:val="28"/>
          <w:highlight w:val="yellow"/>
        </w:rPr>
        <w:t xml:space="preserve">[число]</w:t>
      </w:r>
      <w:r>
        <w:rPr>
          <w:rFonts w:ascii="Times New Roman" w:cs="Times New Roman" w:eastAsia="Times New Roman" w:hAnsi="Times New Roman"/>
          <w:sz w:val="28"/>
          <w:szCs w:val="28"/>
        </w:rPr>
        <w:t xml:space="preserve"> научных работ общим объёмом </w:t>
      </w:r>
      <w:r>
        <w:rPr>
          <w:rFonts w:ascii="Times New Roman" w:cs="Times New Roman" w:eastAsia="Times New Roman" w:hAnsi="Times New Roman"/>
          <w:sz w:val="28"/>
          <w:szCs w:val="28"/>
          <w:highlight w:val="yellow"/>
        </w:rPr>
        <w:t xml:space="preserve">[ ]</w:t>
      </w:r>
      <w:r>
        <w:rPr>
          <w:rFonts w:ascii="Times New Roman" w:cs="Times New Roman" w:eastAsia="Times New Roman" w:hAnsi="Times New Roman"/>
          <w:sz w:val="28"/>
          <w:szCs w:val="28"/>
        </w:rPr>
        <w:t xml:space="preserve"> п. л. (авторский вклад — </w:t>
      </w:r>
      <w:r>
        <w:rPr>
          <w:rFonts w:ascii="Times New Roman" w:cs="Times New Roman" w:eastAsia="Times New Roman" w:hAnsi="Times New Roman"/>
          <w:sz w:val="28"/>
          <w:szCs w:val="28"/>
          <w:highlight w:val="yellow"/>
        </w:rPr>
        <w:t xml:space="preserve">[ ]</w:t>
      </w:r>
      <w:r>
        <w:rPr>
          <w:rFonts w:ascii="Times New Roman" w:cs="Times New Roman" w:eastAsia="Times New Roman" w:hAnsi="Times New Roman"/>
          <w:sz w:val="28"/>
          <w:szCs w:val="28"/>
        </w:rPr>
        <w:t xml:space="preserve"> п. л.), в том числе </w:t>
      </w:r>
      <w:r>
        <w:rPr>
          <w:rFonts w:ascii="Times New Roman" w:cs="Times New Roman" w:eastAsia="Times New Roman" w:hAnsi="Times New Roman"/>
          <w:sz w:val="28"/>
          <w:szCs w:val="28"/>
          <w:highlight w:val="yellow"/>
        </w:rPr>
        <w:t xml:space="preserve">[число]</w:t>
      </w:r>
      <w:r>
        <w:rPr>
          <w:rFonts w:ascii="Times New Roman" w:cs="Times New Roman" w:eastAsia="Times New Roman" w:hAnsi="Times New Roman"/>
          <w:sz w:val="28"/>
          <w:szCs w:val="28"/>
        </w:rPr>
        <w:t xml:space="preserve"> статьи в изданиях, рекомендованных ВАК при Минобрнауки России.</w:t>
      </w:r>
    </w:p>
    <w:p>
      <w:pPr>
        <w:spacing w:after="0" w:before="0" w:line="360"/>
        <w:ind w:firstLine="709"/>
        <w:jc w:val="both"/>
      </w:pPr>
      <w:r>
        <w:rPr>
          <w:rFonts w:ascii="Times New Roman" w:cs="Times New Roman" w:eastAsia="Times New Roman" w:hAnsi="Times New Roman"/>
          <w:b/>
          <w:bCs/>
          <w:sz w:val="28"/>
          <w:szCs w:val="28"/>
        </w:rPr>
        <w:t xml:space="preserve">Объём и структура работы.</w:t>
      </w:r>
      <w:r>
        <w:rPr>
          <w:rFonts w:ascii="Times New Roman" w:cs="Times New Roman" w:eastAsia="Times New Roman" w:hAnsi="Times New Roman"/>
          <w:sz w:val="28"/>
          <w:szCs w:val="28"/>
        </w:rPr>
        <w:t xml:space="preserve"> Диссертация состоит из введения, трёх глав, заключения, списка литературы из 74 наименований и приложения. Работа изложена на </w:t>
      </w:r>
      <w:r>
        <w:rPr>
          <w:rFonts w:ascii="Times New Roman" w:cs="Times New Roman" w:eastAsia="Times New Roman" w:hAnsi="Times New Roman"/>
          <w:sz w:val="28"/>
          <w:szCs w:val="28"/>
          <w:highlight w:val="yellow"/>
        </w:rPr>
        <w:t xml:space="preserve">[ ]</w:t>
      </w:r>
      <w:r>
        <w:rPr>
          <w:rFonts w:ascii="Times New Roman" w:cs="Times New Roman" w:eastAsia="Times New Roman" w:hAnsi="Times New Roman"/>
          <w:sz w:val="28"/>
          <w:szCs w:val="28"/>
        </w:rPr>
        <w:t xml:space="preserve"> страницах, содержит 47 таблиц и 27 рисунков.</w:t>
      </w:r>
    </w:p>
    <w:p>
      <w:pPr>
        <w:spacing w:after="0" w:before="0" w:line="360"/>
        <w:ind w:firstLine="709"/>
        <w:jc w:val="both"/>
      </w:pPr>
      <w:r>
        <w:rPr>
          <w:rFonts w:ascii="Times New Roman" w:cs="Times New Roman" w:eastAsia="Times New Roman" w:hAnsi="Times New Roman"/>
          <w:b/>
          <w:bCs/>
          <w:sz w:val="28"/>
          <w:szCs w:val="28"/>
        </w:rPr>
        <w:t xml:space="preserve">Во введении</w:t>
      </w:r>
      <w:r>
        <w:rPr>
          <w:rFonts w:ascii="Times New Roman" w:cs="Times New Roman" w:eastAsia="Times New Roman" w:hAnsi="Times New Roman"/>
          <w:sz w:val="28"/>
          <w:szCs w:val="28"/>
        </w:rPr>
        <w:t xml:space="preserve"> обоснована актуальность темы, охарактеризована степень её разработанности, определены цель, задачи, объект и предмет исследования, его теоретическая, методологическая и информационная база, сформулированы научная новизна и положения, выносимые на защиту.</w:t>
      </w:r>
    </w:p>
    <w:p>
      <w:pPr>
        <w:spacing w:after="0" w:before="0" w:line="360"/>
        <w:ind w:firstLine="709"/>
        <w:jc w:val="both"/>
      </w:pPr>
      <w:r>
        <w:rPr>
          <w:rFonts w:ascii="Times New Roman" w:cs="Times New Roman" w:eastAsia="Times New Roman" w:hAnsi="Times New Roman"/>
          <w:b/>
          <w:bCs/>
          <w:sz w:val="28"/>
          <w:szCs w:val="28"/>
        </w:rPr>
        <w:t xml:space="preserve">В первой главе</w:t>
      </w:r>
      <w:r>
        <w:rPr>
          <w:rFonts w:ascii="Times New Roman" w:cs="Times New Roman" w:eastAsia="Times New Roman" w:hAnsi="Times New Roman"/>
          <w:sz w:val="28"/>
          <w:szCs w:val="28"/>
        </w:rPr>
        <w:t xml:space="preserve"> «Теоретико-методические основы формирования и развития промышленных экосистем» прослежена эволюция представлений от агломерационной экономии к промышленному симбиозу и экосистемному подходу, разграничены понятия промышленного кластера, индустриального парка, промышленной экосистемы и промышленной экоплатформы, введены показатели связности экосистемы, разграничены синергетический эффект и симбиотический дивиденд, выявлены противоречия и институциональные барьеры промышленного симбиоза в России, сформулированы гипотезы исследования и концептуальная модель.</w:t>
      </w:r>
    </w:p>
    <w:p>
      <w:pPr>
        <w:spacing w:after="0" w:before="0" w:line="360"/>
        <w:ind w:firstLine="709"/>
        <w:jc w:val="both"/>
      </w:pPr>
      <w:r>
        <w:rPr>
          <w:rFonts w:ascii="Times New Roman" w:cs="Times New Roman" w:eastAsia="Times New Roman" w:hAnsi="Times New Roman"/>
          <w:b/>
          <w:bCs/>
          <w:sz w:val="28"/>
          <w:szCs w:val="28"/>
        </w:rPr>
        <w:t xml:space="preserve">Во второй главе</w:t>
      </w:r>
      <w:r>
        <w:rPr>
          <w:rFonts w:ascii="Times New Roman" w:cs="Times New Roman" w:eastAsia="Times New Roman" w:hAnsi="Times New Roman"/>
          <w:sz w:val="28"/>
          <w:szCs w:val="28"/>
        </w:rPr>
        <w:t xml:space="preserve"> «Методика оценки эффективности промышленной экоплатформы г. Невинномысска» охарактеризован промышленный комплекс города как объект формирования экоплатформы, предложены архитектура экоплатформы и показатели межфирменных ресурсных потоков, разработана методика расчёта дополнительного эффекта и симбиотического дивиденда с демонстрационным расчётом и вероятностной оценкой устойчивости результата, обоснованы коридор договорной цены, схемы распределения дивиденда с проверкой вектором Шепли и условия устойчивости кооперации участников.</w:t>
      </w:r>
    </w:p>
    <w:p>
      <w:pPr>
        <w:spacing w:after="0" w:before="0" w:line="360"/>
        <w:ind w:firstLine="709"/>
        <w:jc w:val="both"/>
      </w:pPr>
      <w:r>
        <w:rPr>
          <w:rFonts w:ascii="Times New Roman" w:cs="Times New Roman" w:eastAsia="Times New Roman" w:hAnsi="Times New Roman"/>
          <w:b/>
          <w:bCs/>
          <w:sz w:val="28"/>
          <w:szCs w:val="28"/>
        </w:rPr>
        <w:t xml:space="preserve">В третьей главе</w:t>
      </w:r>
      <w:r>
        <w:rPr>
          <w:rFonts w:ascii="Times New Roman" w:cs="Times New Roman" w:eastAsia="Times New Roman" w:hAnsi="Times New Roman"/>
          <w:sz w:val="28"/>
          <w:szCs w:val="28"/>
        </w:rPr>
        <w:t xml:space="preserve"> «Моделирование и перспективы развития экосистемы промышленного комплекса на базе якорного предприятия» параметры якорного предприятия откалиброваны по отчётности заводов-аналогов, построена двухуровневая модель равновесной связности, выполнена имитационная оценка трёх режимов экоплатформы и сценариев развития экосистемы на 2027–2036 гг. с трёхкомпонентным индексом устойчивого развития, обоснован организационно-экономический механизм формирования экосистемы, разработаны дорожная карта и план оценки результатов после запуска платформы.</w:t>
      </w:r>
    </w:p>
    <w:p>
      <w:pPr>
        <w:spacing w:after="0" w:before="0" w:line="360"/>
        <w:ind w:firstLine="709"/>
        <w:jc w:val="both"/>
      </w:pPr>
      <w:r>
        <w:rPr>
          <w:rFonts w:ascii="Times New Roman" w:cs="Times New Roman" w:eastAsia="Times New Roman" w:hAnsi="Times New Roman"/>
          <w:b/>
          <w:bCs/>
          <w:sz w:val="28"/>
          <w:szCs w:val="28"/>
        </w:rPr>
        <w:t xml:space="preserve">В заключении</w:t>
      </w:r>
      <w:r>
        <w:rPr>
          <w:rFonts w:ascii="Times New Roman" w:cs="Times New Roman" w:eastAsia="Times New Roman" w:hAnsi="Times New Roman"/>
          <w:sz w:val="28"/>
          <w:szCs w:val="28"/>
        </w:rPr>
        <w:t xml:space="preserve"> изложены основные научные и практические результаты исследования.</w:t>
      </w:r>
    </w:p>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Гладков К.Г.</dc:creator>
  <cp:lastModifiedBy>Гладков К.Г.</cp:lastModifiedBy>
  <cp:revision>1</cp:revision>
  <dcterms:created xsi:type="dcterms:W3CDTF">2026-10-27T04:27:21.879Z</dcterms:created>
  <dcterms:modified xsi:type="dcterms:W3CDTF">2026-10-27T04:27:21.886Z</dcterms:modified>
</cp:coreProperties>
</file>

<file path=docProps/custom.xml><?xml version="1.0" encoding="utf-8"?>
<Properties xmlns="http://schemas.openxmlformats.org/officeDocument/2006/custom-properties" xmlns:vt="http://schemas.openxmlformats.org/officeDocument/2006/docPropsVTypes"/>
</file>