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360" w:lineRule="auto"/>
        <w:ind w:firstLine="0"/>
        <w:jc w:val="center"/>
      </w:pPr>
      <w:r>
        <w:rPr>
          <w:rFonts w:ascii="Times New Roman" w:cs="Times New Roman" w:eastAsia="Times New Roman" w:hAnsi="Times New Roman"/>
          <w:b/>
          <w:bCs/>
          <w:i w:val="false"/>
          <w:iCs w:val="false"/>
          <w:sz w:val="28"/>
          <w:szCs w:val="28"/>
        </w:rPr>
        <w:t xml:space="preserve">ГЛАВА 2. ОРГАНИЗАЦИОННО-ЭКОНОМИЧЕСКИЙ МЕХАНИЗМ ФОРМИРОВАНИЯ И ОЦЕНКИ ЭФФЕКТИВНОСТИ ПРОМЫШЛЕННОЙ ЭКОПЛАТФОРМЫ Г. НЕВИННОМЫССКА</w:t>
      </w:r>
    </w:p>
    <w:p>
      <w:pPr>
        <w:spacing w:after="0" w:before="0" w:line="360" w:lineRule="auto"/>
      </w:pP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глава закончилась выводом, который задаёт программу всей второй. Дефицит промышленного симбиоза в Невинномысске объясняется не нехваткой ресурсов и не отсутствием инфраструктуры, а тем, что на территории нет институтов измерения и распределения межфирменного эффекта. Режим ТОСЭР, плата за негативное воздействие и государственное финансирование экопромышленного парка увеличивают число потенциальных обменов, но не меняют долю тех из них, которые доходят до договора. Если этот вывод верен, механизм экоплатформы должен воздействовать именно на организационную составляющую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разложения (1.4), а его эффективность должна оцениваться по приросту действующих, а не возможных связей.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Отсюда вытекают требования к методике, которые выдерживаются во всех параграфах главы. Первое: эффект оценивается относительно явно заданного контрфактического состояния «без платформы», а не относительно нуля. Второе: платежи между участниками не считаются выгодой системы, поскольку выручка поставщика равна затратам покупателя. Третье: каждое числовое значение помечается статусом — измерено, рассчитано по допущению или взято из внешнего источника. Четвёртое: любой параметр, от которого зависит знак результата, проверяется на чувствительность. Без этих требований оценка экоплатформы превращается в сложение технологических потенциалов, а такая сумма всегда положительна и ничего не доказывает.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Числовые расчёты главы выполнены для демонстрационного сценария. Все исходные величины перечислены в таблицах, их источник указан, а расчёт воспроизводим по приведённым формулам без обращения к программному коду. Производственные данные предприятий Невинномысска в открытом доступе отсутствуют, поэтому сценарий служит проверкой работоспособности методики и определяет, какие данные необходимо получить при обследовании участников; подтверждённой оценкой экономики города он не является.</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2.1. Промышленный комплекс Невинномысска как объект формирования экоплатформы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2.1.1. Участники, ресурсные потоки и границы экономической 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Невинномысск принадлежит к немногим городам Северного Кавказа, где химическое, энергетическое и перерабатывающее производство сосредоточены на компактной территории. В 2023 г. на город приходилось 28,53 % промышленного производства Ставропольского края </w:t>
      </w:r>
      <w:r>
        <w:rPr>
          <w:rFonts w:ascii="Times New Roman" w:cs="Times New Roman" w:eastAsia="Times New Roman" w:hAnsi="Times New Roman"/>
          <w:b w:val="false"/>
          <w:bCs w:val="false"/>
          <w:i w:val="false"/>
          <w:iCs w:val="false"/>
          <w:sz w:val="28"/>
          <w:szCs w:val="28"/>
        </w:rPr>
        <w:t xml:space="preserve">[1]</w:t>
      </w:r>
      <w:r>
        <w:rPr>
          <w:rFonts w:ascii="Times New Roman" w:cs="Times New Roman" w:eastAsia="Times New Roman" w:hAnsi="Times New Roman"/>
          <w:b w:val="false"/>
          <w:bCs w:val="false"/>
          <w:i w:val="false"/>
          <w:iCs w:val="false"/>
          <w:sz w:val="28"/>
          <w:szCs w:val="28"/>
        </w:rPr>
        <w:t xml:space="preserve">. Ядро комплекса образуют Невинномысская ГРЭС и АО «Невинномысский Азот». К ним добавляются строящийся экопромышленный парк проектной мощностью 190 тыс. т переработки отходов в год стоимостью около 930 млн руб. </w:t>
      </w:r>
      <w:r>
        <w:rPr>
          <w:rFonts w:ascii="Times New Roman" w:cs="Times New Roman" w:eastAsia="Times New Roman" w:hAnsi="Times New Roman"/>
          <w:b w:val="false"/>
          <w:bCs w:val="false"/>
          <w:i w:val="false"/>
          <w:iCs w:val="false"/>
          <w:sz w:val="28"/>
          <w:szCs w:val="28"/>
        </w:rPr>
        <w:t xml:space="preserve">[2]</w:t>
      </w:r>
      <w:r>
        <w:rPr>
          <w:rFonts w:ascii="Times New Roman" w:cs="Times New Roman" w:eastAsia="Times New Roman" w:hAnsi="Times New Roman"/>
          <w:b w:val="false"/>
          <w:bCs w:val="false"/>
          <w:i w:val="false"/>
          <w:iCs w:val="false"/>
          <w:sz w:val="28"/>
          <w:szCs w:val="28"/>
        </w:rPr>
        <w:t xml:space="preserve"> и резиденты ТОСЭР «Невинномысск», созданной в 2017 г. </w:t>
      </w:r>
      <w:r>
        <w:rPr>
          <w:rFonts w:ascii="Times New Roman" w:cs="Times New Roman" w:eastAsia="Times New Roman" w:hAnsi="Times New Roman"/>
          <w:b w:val="false"/>
          <w:bCs w:val="false"/>
          <w:i w:val="false"/>
          <w:iCs w:val="false"/>
          <w:sz w:val="28"/>
          <w:szCs w:val="28"/>
        </w:rPr>
        <w:t xml:space="preserve">[3]</w:t>
      </w:r>
      <w:r>
        <w:rPr>
          <w:rFonts w:ascii="Times New Roman" w:cs="Times New Roman" w:eastAsia="Times New Roman" w:hAnsi="Times New Roman"/>
          <w:b w:val="false"/>
          <w:bCs w:val="false"/>
          <w:i w:val="false"/>
          <w:iCs w:val="false"/>
          <w:sz w:val="28"/>
          <w:szCs w:val="28"/>
        </w:rPr>
        <w:t xml:space="preserve">; в апреле 2026 г. их число составляло 52 </w:t>
      </w:r>
      <w:r>
        <w:rPr>
          <w:rFonts w:ascii="Times New Roman" w:cs="Times New Roman" w:eastAsia="Times New Roman" w:hAnsi="Times New Roman"/>
          <w:b w:val="false"/>
          <w:bCs w:val="false"/>
          <w:i w:val="false"/>
          <w:iCs w:val="false"/>
          <w:sz w:val="28"/>
          <w:szCs w:val="28"/>
        </w:rPr>
        <w:t xml:space="preserve">[4]</w:t>
      </w:r>
      <w:r>
        <w:rPr>
          <w:rFonts w:ascii="Times New Roman" w:cs="Times New Roman" w:eastAsia="Times New Roman" w:hAnsi="Times New Roman"/>
          <w:b w:val="false"/>
          <w:bCs w:val="false"/>
          <w:i w:val="false"/>
          <w:iCs w:val="false"/>
          <w:sz w:val="28"/>
          <w:szCs w:val="28"/>
        </w:rPr>
        <w:t xml:space="preserve">. Предприятия ГК «Арнест» и концерна «Энергомера» включены в перечень как потенциальные потребители ресурсов и участники информационного обмена.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экономической оценки этот перечень нужно превратить в систему с явными границами. Единицей наблюдения в работе принято самостоятельное предприятие, единицей обмена — направленный ресурсный поток определённого качества от одного предприятия к другому, единицей результата — изменение денежных потоков участников относительно контрфактического состояния. Такая тройка единиц соответствует подходу М. Чертоу и Д. Ломбарди, которые оценивали выгоды совместно расположенных предприятий по разнице издержек «в симбиозе» и «вне симбиоза» для каждого участника отдельно</w:t>
      </w:r>
      <w:r>
        <w:rPr>
          <w:rStyle w:val="FootnoteReference"/>
        </w:rPr>
        <w:footnoteReference w:id="1"/>
      </w:r>
      <w:r>
        <w:rPr>
          <w:rFonts w:ascii="Times New Roman" w:cs="Times New Roman" w:eastAsia="Times New Roman" w:hAnsi="Times New Roman"/>
          <w:b w:val="false"/>
          <w:bCs w:val="false"/>
          <w:i w:val="false"/>
          <w:iCs w:val="false"/>
          <w:sz w:val="28"/>
          <w:szCs w:val="28"/>
        </w:rPr>
        <w:t xml:space="preserve">. Обзор 61 работы за 2019–2023 гг., выполненный М. Чизи и Р. Наполи, показал, что затраты и выгоды симбиоза в большинстве исследований не идентифицируются и не измеряются, хотя экономическая сторона и признаётся решающей </w:t>
      </w:r>
      <w:r>
        <w:rPr>
          <w:rFonts w:ascii="Times New Roman" w:cs="Times New Roman" w:eastAsia="Times New Roman" w:hAnsi="Times New Roman"/>
          <w:b w:val="false"/>
          <w:bCs w:val="false"/>
          <w:i w:val="false"/>
          <w:iCs w:val="false"/>
          <w:sz w:val="28"/>
          <w:szCs w:val="28"/>
        </w:rPr>
        <w:t xml:space="preserve">[5]</w:t>
      </w:r>
      <w:r>
        <w:rPr>
          <w:rFonts w:ascii="Times New Roman" w:cs="Times New Roman" w:eastAsia="Times New Roman" w:hAnsi="Times New Roman"/>
          <w:b w:val="false"/>
          <w:bCs w:val="false"/>
          <w:i w:val="false"/>
          <w:iCs w:val="false"/>
          <w:sz w:val="28"/>
          <w:szCs w:val="28"/>
        </w:rPr>
        <w:t xml:space="preserve">. Задание границ до расчёта — первое условие, без которого этот пробел не закрыть.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границы системы включены предприятия-участники и оператор платформы. Бюджеты бюджетной системы и население остаются внешними контрагентами. Это решение имеет прямые последствия для учёта: снижение платы за негативное воздействие на окружающую среду (НВОС) засчитывается как предотвращённые затраты участников, хотя для бюджета то же самое означает уменьшение поступлений. Противоречия здесь нет, поскольку плата за НВОС задумана как компенсационный платёж, сокращение которого при уменьшении размещения отходов и есть цель регулирования </w:t>
      </w:r>
      <w:r>
        <w:rPr>
          <w:rFonts w:ascii="Times New Roman" w:cs="Times New Roman" w:eastAsia="Times New Roman" w:hAnsi="Times New Roman"/>
          <w:b w:val="false"/>
          <w:bCs w:val="false"/>
          <w:i w:val="false"/>
          <w:iCs w:val="false"/>
          <w:sz w:val="28"/>
          <w:szCs w:val="28"/>
        </w:rPr>
        <w:t xml:space="preserve">[6, 7]</w:t>
      </w:r>
      <w:r>
        <w:rPr>
          <w:rFonts w:ascii="Times New Roman" w:cs="Times New Roman" w:eastAsia="Times New Roman" w:hAnsi="Times New Roman"/>
          <w:b w:val="false"/>
          <w:bCs w:val="false"/>
          <w:i w:val="false"/>
          <w:iCs w:val="false"/>
          <w:sz w:val="28"/>
          <w:szCs w:val="28"/>
        </w:rPr>
        <w:t xml:space="preserve">. Однако при оценке выгоды публичного партнёра (§ 2.5) этот трансферт придётся учесть с обратным знаком.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Разделение уровней описания связи — второй элемент постановки. Потенциальной связью считается пара «поставщик — потребитель», для которой ресурс одного технологически пригоден для другого. Подготовленная связь, кроме того, имеет подтверждённые технические условия и положительный расчётный эффект. Действующая связь подтверждена договором, показаниями приборов учёта и платёжными документами. Трём уровням соответствуют три вопроса — возможно ли, выгодно ли, происходит ли, — и смешение их ведёт к тому, что технологический потенциал выдаётся за состоявшийся результат. Индекс связности, вычисленный по потенциальным связям, неизбежно завышен; рассчитанный по действующим — может оказаться близким к нулю, но только он описывает фактическое состояние.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Классы связей, которые рассматриваются в модели экоплатформы, сведены в таблицу 2.1. Для каждого класса указаны условие технической осуществимости и документ, которым подтверждается переход связи на следующий уровень.</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Классы потенциальных ресурсных связей промышленного комплекса Невинномысска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82"/>
        <w:gridCol w:w="2003"/>
        <w:gridCol w:w="2193"/>
        <w:gridCol w:w="1857"/>
        <w:gridCol w:w="1920"/>
      </w:tblGrid>
      <w:tr>
        <w:trPr>
          <w:cantSplit/>
          <w:tblHeader/>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Поставщик → потребитель</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Ресурс</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Условие осуществимости</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Подтверждение действующей связи</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Уровень на 2026 г.</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 → резиденты ТОСЭР</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Низкопотенциальное тепло, пар</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Температура, расстояние, график загрузки, сезонность спроса</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Технические условия, договор, показания теплосчётчика</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Потенциальная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«Азот» → потребители CO₂</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Диоксид углерода</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Очистка до пищевого или технического сорта, сжижение, транспорт</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Паспорт потока, контракт, акты приёмки</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Действующая: пищевой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32 тыс. т/год с 2018 г.; к резидентам ТОСЭР — потенциальная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ЭПП → резиденты</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 (ПЭТ, стеклобой, металл)</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Сортировка, стабильность качества и объёма</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Акты приёмки, спецификации, счета</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Подготавливаемая (парк строится)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Участники → полигон / ЭПП</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IV–V классов</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Возможность переработки вместо размещения</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 платы за НВОС, данные учёта отходов</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Потенциальная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 участники</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Данные, подбор контрагентов</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Согласие на доступ, защита коммерческой тайны</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Регламент, журнал аудита</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Отсутствует</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по </w:t>
      </w:r>
      <w:r>
        <w:rPr>
          <w:rFonts w:ascii="Times New Roman" w:cs="Times New Roman" w:eastAsia="Times New Roman" w:hAnsi="Times New Roman"/>
          <w:b w:val="false"/>
          <w:bCs w:val="false"/>
          <w:i w:val="false"/>
          <w:iCs w:val="false"/>
          <w:sz w:val="24"/>
          <w:szCs w:val="24"/>
        </w:rPr>
        <w:t xml:space="preserve">[1, 2, 4, 7]</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 таблице 2.1 из пяти связей действующей по открытым данным подтверждается одна. С декабря 2018 г. «Азот» выпускает пищевую жидкую углекислоту мощностью 32 тыс. т в год; основные покупатели — производители газированных напитков, часть объёма идёт на сухой лёд и подкормку теплиц</w:t>
      </w:r>
      <w:r>
        <w:rPr>
          <w:rStyle w:val="FootnoteReference"/>
        </w:rPr>
        <w:footnoteReference w:id="2"/>
      </w:r>
      <w:r>
        <w:rPr>
          <w:rFonts w:ascii="Times New Roman" w:cs="Times New Roman" w:eastAsia="Times New Roman" w:hAnsi="Times New Roman"/>
          <w:b w:val="false"/>
          <w:bCs w:val="false"/>
          <w:i w:val="false"/>
          <w:iCs w:val="false"/>
          <w:sz w:val="28"/>
          <w:szCs w:val="28"/>
        </w:rPr>
        <w:t xml:space="preserve">. Для модели это означает ненулевую базовую связность: связь «Азот — покупатели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входит в состояние «без платформы», и эффект платформы может давать только её расширение на резидентов ТОСЭР. Остальные связи действующими по открытым данным не являются. Это не доказывает, что межфирменных поставок в Невинномысске больше нет: исторически сложившиеся поставки пара и воды между крупными предприятиями существуют на многих химических площадках и оформляются обычными договорами. Такие поставки не раскрываются в отчётности, и экоплатформа должна начинать с их инвентаризации, а не с допущения об их наличии или отсутствии.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Контрфактическое состояние задаётся по правилу «с платформой — без платформы» при одинаковых внешних ценах, объёмах выпуска основной продукции и горизонте оценки. Если за период оценки изменился тариф на тепловую энергию или ставка платы за НВОС, вызванное этим изменение затрат участников не относится к эффекту платформы и выделяется отдельно. Правило выглядит очевидным, но его нарушение — наиболее распространённая ошибка в оценках эко-индустриальных парков: экономия, возникшая из-за роста цен на первичные ресурсы, приписывается симбиозу, хотя она возникла бы и без него. Международная рамка эко-индустриальных парков требует сопоставления с базовой линией, установленной до начала программы </w:t>
      </w:r>
      <w:r>
        <w:rPr>
          <w:rFonts w:ascii="Times New Roman" w:cs="Times New Roman" w:eastAsia="Times New Roman" w:hAnsi="Times New Roman"/>
          <w:b w:val="false"/>
          <w:bCs w:val="false"/>
          <w:i w:val="false"/>
          <w:iCs w:val="false"/>
          <w:sz w:val="28"/>
          <w:szCs w:val="28"/>
        </w:rPr>
        <w:t xml:space="preserve">[8]</w:t>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2.1.2. Институциональные причины низкой связности промышленного комплекса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Почему экономически выгодные обмены не заключаются? Ответ, полученный в первой главе, был сформулирован в терминах трёх противоречий. Здесь его нужно перевести на язык конкретных препятствий, каждое из которых экоплатформа должна устранять собственным инструментом, иначе её функции окажутся декларацией.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Первое препятствие — информационное. Предприятие знает свои побочные потоки, но не знает, кому они нужны и на каких условиях. Потенциальный потребитель, в свою очередь, не имеет сведений о качестве и стабильности ресурса. Поиск контрагента обходится дорого, и по Р. Коузу издержки поиска и согласования объясняют, почему выгодные сделки остаются незаключёнными</w:t>
      </w:r>
      <w:r>
        <w:rPr>
          <w:rStyle w:val="FootnoteReference"/>
        </w:rPr>
        <w:footnoteReference w:id="3"/>
      </w:r>
      <w:r>
        <w:rPr>
          <w:rFonts w:ascii="Times New Roman" w:cs="Times New Roman" w:eastAsia="Times New Roman" w:hAnsi="Times New Roman"/>
          <w:b w:val="false"/>
          <w:bCs w:val="false"/>
          <w:i w:val="false"/>
          <w:iCs w:val="false"/>
          <w:sz w:val="28"/>
          <w:szCs w:val="28"/>
        </w:rPr>
        <w:t xml:space="preserve">. Л. Фраккашия и Д. Язан на агентной модели показали, что платформы обмена информацией повышают экономическую и экологическую результативность сети симбиоза, но лишь при условии, что участники действительно публикуют данные о потоках</w:t>
      </w:r>
      <w:r>
        <w:rPr>
          <w:rStyle w:val="FootnoteReference"/>
        </w:rPr>
        <w:footnoteReference w:id="4"/>
      </w:r>
      <w:r>
        <w:rPr>
          <w:rFonts w:ascii="Times New Roman" w:cs="Times New Roman" w:eastAsia="Times New Roman" w:hAnsi="Times New Roman"/>
          <w:b w:val="false"/>
          <w:bCs w:val="false"/>
          <w:i w:val="false"/>
          <w:iCs w:val="false"/>
          <w:sz w:val="28"/>
          <w:szCs w:val="28"/>
        </w:rPr>
        <w:t xml:space="preserve">. Иначе говоря, платформа без данных не снижает издержки поиска.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Второе препятствие — контрактное. Симбиотический обмен почти всегда требует специфических инвестиций: теплотрассы к конкретному потребителю, узла очистки CO₂ под конкретного покупателя, сортировочной линии под конкретную спецификацию. После вложений сторона, которая их сделала, оказывается в зависимости от партнёра, и тот получает возможность пересмотреть цену. Б. Клейн, Р. Кроуфорд и А. Алчиан описали эту проблему вымогательства как главную причину отказа от сделок со специфическими активами</w:t>
      </w:r>
      <w:r>
        <w:rPr>
          <w:rStyle w:val="FootnoteReference"/>
        </w:rPr>
        <w:footnoteReference w:id="5"/>
      </w:r>
      <w:r>
        <w:rPr>
          <w:rFonts w:ascii="Times New Roman" w:cs="Times New Roman" w:eastAsia="Times New Roman" w:hAnsi="Times New Roman"/>
          <w:b w:val="false"/>
          <w:bCs w:val="false"/>
          <w:i w:val="false"/>
          <w:iCs w:val="false"/>
          <w:sz w:val="28"/>
          <w:szCs w:val="28"/>
        </w:rPr>
        <w:t xml:space="preserve">; О. Уильямсон показал, что решением служат долгосрочные контракты с механизмами разрешения споров или вертикальная интеграция</w:t>
      </w:r>
      <w:r>
        <w:rPr>
          <w:rStyle w:val="FootnoteReference"/>
        </w:rPr>
        <w:footnoteReference w:id="6"/>
      </w:r>
      <w:r>
        <w:rPr>
          <w:rFonts w:ascii="Times New Roman" w:cs="Times New Roman" w:eastAsia="Times New Roman" w:hAnsi="Times New Roman"/>
          <w:b w:val="false"/>
          <w:bCs w:val="false"/>
          <w:i w:val="false"/>
          <w:iCs w:val="false"/>
          <w:sz w:val="28"/>
          <w:szCs w:val="28"/>
        </w:rPr>
        <w:t xml:space="preserve">. Для Невинномысска вертикальная интеграция ГРЭС, «Азота» и резидентов исключена, поэтому остаётся контрактный путь, и экоплатформа должна предлагать стандартные формы таких контрактов.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Третье препятствие — распределительное. Даже при выгодном обмене каждая сторона стремится получить большую часть выигрыша. Без правила раздела переговоры затягиваются, а сильная сторона, как правило крупное предприятие, присваивает почти всю выгоду; слабой стороне участие становится безразличным. Если же совокупный эффект включает экологическую составляющую, которая достаётся территории, а не участникам, частный выигрыш может оказаться меньше затрат подготовки, и сделка не состоится вовсе. Р. Пакен и Дж. Ховард-Гренвиль на материале британской национальной программы промышленного симбиоза показали, что фасилитатор со временем переходит от случайного сведения партнёров к целенаправленному формированию сети обменов, беря на себя согласование условий</w:t>
      </w:r>
      <w:r>
        <w:rPr>
          <w:rStyle w:val="FootnoteReference"/>
        </w:rPr>
        <w:footnoteReference w:id="7"/>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Четвёртое препятствие — регуляторное. Передача тепла сторонним потребителям подпадает под регулирование теплоснабжения </w:t>
      </w:r>
      <w:r>
        <w:rPr>
          <w:rFonts w:ascii="Times New Roman" w:cs="Times New Roman" w:eastAsia="Times New Roman" w:hAnsi="Times New Roman"/>
          <w:b w:val="false"/>
          <w:bCs w:val="false"/>
          <w:i w:val="false"/>
          <w:iCs w:val="false"/>
          <w:sz w:val="28"/>
          <w:szCs w:val="28"/>
        </w:rPr>
        <w:t xml:space="preserve">[9]</w:t>
      </w:r>
      <w:r>
        <w:rPr>
          <w:rFonts w:ascii="Times New Roman" w:cs="Times New Roman" w:eastAsia="Times New Roman" w:hAnsi="Times New Roman"/>
          <w:b w:val="false"/>
          <w:bCs w:val="false"/>
          <w:i w:val="false"/>
          <w:iCs w:val="false"/>
          <w:sz w:val="28"/>
          <w:szCs w:val="28"/>
        </w:rPr>
        <w:t xml:space="preserve">, передача отходов требует соблюдения обязательных требований к обращению с ними </w:t>
      </w:r>
      <w:r>
        <w:rPr>
          <w:rFonts w:ascii="Times New Roman" w:cs="Times New Roman" w:eastAsia="Times New Roman" w:hAnsi="Times New Roman"/>
          <w:b w:val="false"/>
          <w:bCs w:val="false"/>
          <w:i w:val="false"/>
          <w:iCs w:val="false"/>
          <w:sz w:val="28"/>
          <w:szCs w:val="28"/>
        </w:rPr>
        <w:t xml:space="preserve">[10]</w:t>
      </w:r>
      <w:r>
        <w:rPr>
          <w:rFonts w:ascii="Times New Roman" w:cs="Times New Roman" w:eastAsia="Times New Roman" w:hAnsi="Times New Roman"/>
          <w:b w:val="false"/>
          <w:bCs w:val="false"/>
          <w:i w:val="false"/>
          <w:iCs w:val="false"/>
          <w:sz w:val="28"/>
          <w:szCs w:val="28"/>
        </w:rPr>
        <w:t xml:space="preserve">, а сделки между взаимозависимыми лицами контролируются налоговыми органами по правилам раздела V.1 Налогового кодекса </w:t>
      </w:r>
      <w:r>
        <w:rPr>
          <w:rFonts w:ascii="Times New Roman" w:cs="Times New Roman" w:eastAsia="Times New Roman" w:hAnsi="Times New Roman"/>
          <w:b w:val="false"/>
          <w:bCs w:val="false"/>
          <w:i w:val="false"/>
          <w:iCs w:val="false"/>
          <w:sz w:val="28"/>
          <w:szCs w:val="28"/>
        </w:rPr>
        <w:t xml:space="preserve">[11]</w:t>
      </w:r>
      <w:r>
        <w:rPr>
          <w:rFonts w:ascii="Times New Roman" w:cs="Times New Roman" w:eastAsia="Times New Roman" w:hAnsi="Times New Roman"/>
          <w:b w:val="false"/>
          <w:bCs w:val="false"/>
          <w:i w:val="false"/>
          <w:iCs w:val="false"/>
          <w:sz w:val="28"/>
          <w:szCs w:val="28"/>
        </w:rPr>
        <w:t xml:space="preserve">. Каждое из этих требований обоснованно, но вместе они делают подготовку обмена делом юристов, а не технологов, и небольшой резидент ТОСЭР на это, как правило, не идёт.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Соотношение препятствий и инструментов экоплатформы показано в таблице 2.2. Её задача — проверить полноту механизма: если для какого-либо препятствия инструмента нет, механизм неполон, и его эффективность нельзя оценивать как сумму эффектов отдельных инструментов.</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Институциональные препятствия межфирменного обмена и инструменты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09"/>
        <w:gridCol w:w="2427"/>
        <w:gridCol w:w="1910"/>
        <w:gridCol w:w="1116"/>
        <w:gridCol w:w="1793"/>
      </w:tblGrid>
      <w:tr>
        <w:trPr>
          <w:cantSplit/>
          <w:tblHeader/>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Препятствие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Проявление в Невинномысске</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Инструмент экоплатформы</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Параграф главы</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Показатель воздействия</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Потоки не раскрыты, потребители не знают о ресурсе</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Реестр потоков, телеметрия, подбор пар</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2.2</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N</w:t>
            </w:r>
            <w:r>
              <w:rPr>
                <w:rFonts w:ascii="Times New Roman" w:cs="Times New Roman" w:eastAsia="Times New Roman" w:hAnsi="Times New Roman"/>
                <w:b w:val="false"/>
                <w:bCs w:val="false"/>
                <w:i w:val="false"/>
                <w:iCs w:val="false"/>
                <w:sz w:val="24"/>
                <w:szCs w:val="24"/>
                <w:vertAlign w:val="subscript"/>
              </w:rPr>
              <w:t xml:space="preserve">доп</w:t>
            </w:r>
            <w:r>
              <w:rPr>
                <w:rFonts w:ascii="Times New Roman" w:cs="Times New Roman" w:eastAsia="Times New Roman" w:hAnsi="Times New Roman"/>
                <w:b w:val="false"/>
                <w:bCs w:val="false"/>
                <w:i w:val="false"/>
                <w:iCs w:val="false"/>
                <w:sz w:val="24"/>
                <w:szCs w:val="24"/>
              </w:rPr>
              <w:t xml:space="preserve"> и снижение затрат поиска</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Контрактное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Специфические инвестиции без гарантий цены</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Типовой долгосрочный договор, ценовой коридор</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Доля подготовленных связей, перешедших в действующие</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Распределительное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Крупный участник присваивает выгоду, экологический эффект не компенсируется</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Симбиотический дивиденд, правило долей</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2.3, 2.5</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Условие индивидуальной рациональности</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Регуляторное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Тарифное регулирование тепла, режим отходов, налоговый контроль цен</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Методика цены, согласование с регулятором</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Число связей с z</w:t>
            </w:r>
            <w:r>
              <w:rPr>
                <w:rFonts w:ascii="Times New Roman" w:cs="Times New Roman" w:eastAsia="Times New Roman" w:hAnsi="Times New Roman"/>
                <w:b w:val="false"/>
                <w:bCs w:val="false"/>
                <w:i w:val="false"/>
                <w:iCs w:val="false"/>
                <w:sz w:val="24"/>
                <w:szCs w:val="24"/>
                <w:vertAlign w:val="subscript"/>
              </w:rPr>
              <w:t xml:space="preserve">ijk</w:t>
            </w:r>
            <w:r>
              <w:rPr>
                <w:rFonts w:ascii="Times New Roman" w:cs="Times New Roman" w:eastAsia="Times New Roman" w:hAnsi="Times New Roman"/>
                <w:b w:val="false"/>
                <w:bCs w:val="false"/>
                <w:i w:val="false"/>
                <w:iCs w:val="false"/>
                <w:sz w:val="24"/>
                <w:szCs w:val="24"/>
              </w:rPr>
              <w:t xml:space="preserve"> = 1</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Стратегическое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Конкуренция участников на товарных рынках, риск утечки данных</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Доверительное управление данными, ограничение доступа</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2.6</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Порог δ\* и доля участников типа C</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2.2 видно, что каждому препятствию поставлен в соответствие отдельный инструмент и измеримый показатель. Пятая строка добавлена к четырём препятствиям, рассмотренным выше: стратегическое препятствие возникает тогда, когда участники одновременно конкурируют на рынке готовой продукции и опасаются, что сведения о потоках раскроют их технологию. Его разбор отнесён к § 2.6, поскольку он требует игровой постановки.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Важно и то, чего в таблице нет. Ни один инструмент не направлен на увеличение физического объёма ресурсов: экоплатформа не строит ГРЭС и не наращивает выпуск аммиака. Её вклад состоит в переводе уже существующих потенциальных связей в действующие, и именно этот вклад подлежит измерению. Если в результате работы платформы число действующих связей не выросло, экономия, отражённая в отчётности участников, вызвана другими причинами и платформе не приписывается. В этом состоит фальсифицируемость основного тезиса главы: он может быть опровергнут наблюдением, при котором платформа работает, а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не растёт.</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 Архитектура экоплатформы и измерение межфирменных ресурсных потоков</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2.2.1. Четыре контура координации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Экоплатформа определяется в работе как институт координации экономически самостоятельных организаций. Она не владеет их мощностями, не покупает и не перепродаёт ресурсы, а создаёт условия, при которых двусторонний договор между поставщиком и потребителем становится выгоднее отказа от него. Это определение отличает экоплатформу от управляющей компании индустриального парка и от биржевой площадки и одновременно задаёт границы её ответственности: оператор отвечает за точность данных и расчётов, но не за исполнение поставок. В отечественной литературе платформенная трактовка управления промышленными экосистемами развита В.В. Глуховым и соавторами </w:t>
      </w:r>
      <w:r>
        <w:rPr>
          <w:rFonts w:ascii="Times New Roman" w:cs="Times New Roman" w:eastAsia="Times New Roman" w:hAnsi="Times New Roman"/>
          <w:b w:val="false"/>
          <w:bCs w:val="false"/>
          <w:i w:val="false"/>
          <w:iCs w:val="false"/>
          <w:sz w:val="28"/>
          <w:szCs w:val="28"/>
        </w:rPr>
        <w:t xml:space="preserve">[12]</w:t>
      </w:r>
      <w:r>
        <w:rPr>
          <w:rFonts w:ascii="Times New Roman" w:cs="Times New Roman" w:eastAsia="Times New Roman" w:hAnsi="Times New Roman"/>
          <w:b w:val="false"/>
          <w:bCs w:val="false"/>
          <w:i w:val="false"/>
          <w:iCs w:val="false"/>
          <w:sz w:val="28"/>
          <w:szCs w:val="28"/>
        </w:rPr>
        <w:t xml:space="preserve">, а А.Л. Белых систематизировал модели формирования промышленного симбиоза, различающиеся ролью координирующего центра </w:t>
      </w:r>
      <w:r>
        <w:rPr>
          <w:rFonts w:ascii="Times New Roman" w:cs="Times New Roman" w:eastAsia="Times New Roman" w:hAnsi="Times New Roman"/>
          <w:b w:val="false"/>
          <w:bCs w:val="false"/>
          <w:i w:val="false"/>
          <w:iCs w:val="false"/>
          <w:sz w:val="28"/>
          <w:szCs w:val="28"/>
        </w:rPr>
        <w:t xml:space="preserve">[13]</w:t>
      </w:r>
      <w:r>
        <w:rPr>
          <w:rFonts w:ascii="Times New Roman" w:cs="Times New Roman" w:eastAsia="Times New Roman" w:hAnsi="Times New Roman"/>
          <w:b w:val="false"/>
          <w:bCs w:val="false"/>
          <w:i w:val="false"/>
          <w:iCs w:val="false"/>
          <w:sz w:val="28"/>
          <w:szCs w:val="28"/>
        </w:rPr>
        <w:t xml:space="preserve">. Экоплатформа в предлагаемом понимании относится к моделям с координатором, но координатор не наделён правом распоряжаться ресурсами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Архитектура экоплатформы включает четыре контура. Физический контур описывает потоки, которые существуют на площадках участников, и инфраструктуру, которая связывает или могла бы связать площадки. Информационный контур содержит минимально достаточные сведения о количестве, качестве, графике и местоположении ресурса. Расчётный контур сопоставляет альтернативные способы использования ресурса и вычисляет эффект обмена. Институциональный контур закрепляет права на данные, порядок проверки результата, правила ценообразования и распределения, процедуры разрешения споров.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Последовательность работы контуров показана на рисунке 2.1. Существенна обратная связь: результат каждой сделки возвращается в физический контур и уточняет перечень допустимых связей.</w:t>
      </w:r>
    </w:p>
    <w:p>
      <w:pPr>
        <w:keepNext/>
        <w:jc w:val="center"/>
      </w:pPr>
      <w:r>
        <w:drawing>
          <wp:inline distT="0" distB="0" distL="0" distR="0">
            <wp:extent cx="5715000" cy="2905125"/>
            <wp:effectExtent t="0" r="0" b="0" l="0"/>
            <wp:docPr id="1" name="fig2_1.svg" descr="fig2_1.svg" title="fig2_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715000" cy="29051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2.1 – Контуры экоплатформы и последовательность формирования подтверждённого симбиотического обмена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2.1 объясняет, почему цифровой подбор контрагентов сам по себе эффекта не создаёт. Подбор относится к информационному контуру и сокращает затраты поиска, но не отменяет капитальных вложений, требований к качеству и риска остановки поставки. Обмен становится подтверждённым только после прохождения всех четырёх контуров, а связь, оказавшаяся неработоспособной, исключается из расчётной модели и не увеличивает потенциал, на который начисляется эффект. П. Кром, Л. Пишичелли и К. Френкен отметили эту слабость существующих цифровых платформ симбиоза: они хорошо справляются с подбором и плохо доводят обмен до устойчивого контракта </w:t>
      </w:r>
      <w:r>
        <w:rPr>
          <w:rFonts w:ascii="Times New Roman" w:cs="Times New Roman" w:eastAsia="Times New Roman" w:hAnsi="Times New Roman"/>
          <w:b w:val="false"/>
          <w:bCs w:val="false"/>
          <w:i w:val="false"/>
          <w:iCs w:val="false"/>
          <w:sz w:val="28"/>
          <w:szCs w:val="28"/>
        </w:rPr>
        <w:t xml:space="preserve">[14]</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Состав функций каждого контура и данные, которые для него необходимы, приведены в таблице 2.3. Таблица одновременно служит спецификацией требований к информационной системе оператора.</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2.3</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Функции и информационное обеспечение контуров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31"/>
        <w:gridCol w:w="1643"/>
        <w:gridCol w:w="2442"/>
        <w:gridCol w:w="1696"/>
        <w:gridCol w:w="1643"/>
      </w:tblGrid>
      <w:tr>
        <w:trPr>
          <w:cantSplit/>
          <w:tblHeader/>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Контур</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Функция</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Входные данные</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Выход</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Ответственный</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Физический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Инвентаризация потоков и инфраструктуры</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Технологические регламенты, схемы сетей, расстояния</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Перечень потенциальных связей, коэффициенты a</w:t>
            </w:r>
            <w:r>
              <w:rPr>
                <w:rFonts w:ascii="Times New Roman" w:cs="Times New Roman" w:eastAsia="Times New Roman" w:hAnsi="Times New Roman"/>
                <w:b w:val="false"/>
                <w:bCs w:val="false"/>
                <w:i w:val="false"/>
                <w:iCs w:val="false"/>
                <w:sz w:val="24"/>
                <w:szCs w:val="24"/>
                <w:vertAlign w:val="subscript"/>
              </w:rPr>
              <w:t xml:space="preserve">ijk</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 проверка оператором</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Информационный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Сбор и обезличивание данных о потоках</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Показания приборов учёта, паспорта отходов, графики ремонтов</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Доступный объём Q</w:t>
            </w:r>
            <w:r>
              <w:rPr>
                <w:rFonts w:ascii="Times New Roman" w:cs="Times New Roman" w:eastAsia="Times New Roman" w:hAnsi="Times New Roman"/>
                <w:b w:val="false"/>
                <w:bCs w:val="false"/>
                <w:i w:val="false"/>
                <w:iCs w:val="false"/>
                <w:sz w:val="24"/>
                <w:szCs w:val="24"/>
                <w:vertAlign w:val="subscript"/>
              </w:rPr>
              <w:t xml:space="preserve">ijk</w:t>
            </w:r>
            <w:r>
              <w:rPr>
                <w:rFonts w:ascii="Times New Roman" w:cs="Times New Roman" w:eastAsia="Times New Roman" w:hAnsi="Times New Roman"/>
                <w:b w:val="false"/>
                <w:bCs w:val="false"/>
                <w:i w:val="false"/>
                <w:iCs w:val="false"/>
                <w:sz w:val="24"/>
                <w:szCs w:val="24"/>
              </w:rPr>
              <w:t xml:space="preserve">, профиль качества</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Расчётный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Оценка альтернатив, цены и эффекта</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Альтернативные цены, затраты передачи, капитальные затраты</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 NPV, ценовой коридор</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независимый аудитор</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Институциональный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Договор, проверка, распределение</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Типовые договоры, соглашение о распределении, регламент доступа</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Подтверждённый ΔE</w:t>
            </w:r>
            <w:r>
              <w:rPr>
                <w:rFonts w:ascii="Times New Roman" w:cs="Times New Roman" w:eastAsia="Times New Roman" w:hAnsi="Times New Roman"/>
                <w:b w:val="false"/>
                <w:bCs w:val="false"/>
                <w:i w:val="false"/>
                <w:iCs w:val="false"/>
                <w:sz w:val="24"/>
                <w:szCs w:val="24"/>
                <w:vertAlign w:val="subscript"/>
              </w:rPr>
              <w:t xml:space="preserve">подтв</w:t>
            </w:r>
            <w:r>
              <w:rPr>
                <w:rFonts w:ascii="Times New Roman" w:cs="Times New Roman" w:eastAsia="Times New Roman" w:hAnsi="Times New Roman"/>
                <w:b w:val="false"/>
                <w:bCs w:val="false"/>
                <w:i w:val="false"/>
                <w:iCs w:val="false"/>
                <w:sz w:val="24"/>
                <w:szCs w:val="24"/>
              </w:rPr>
              <w:t xml:space="preserve">, начисленный SD</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Наблюдательный совет, аудитор</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[14, 15, 16]</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2.3 фиксирует принцип разделения функций: тот, кто измеряет эффект, не получает от него долю напрямую, а тот, кто получает долю, не измеряет. Оператор рассчитывает эффект, но подтверждает его независимый аудитор. Л. Сгамбаро, Д. Кьярони и А. Урбинати по результатам обзора отметили, что исследования цифровых технологий симбиоза сосредоточены на стадии подбора пар, тогда как стадии мониторинга и оценки результата изучены слабо </w:t>
      </w:r>
      <w:r>
        <w:rPr>
          <w:rFonts w:ascii="Times New Roman" w:cs="Times New Roman" w:eastAsia="Times New Roman" w:hAnsi="Times New Roman"/>
          <w:b w:val="false"/>
          <w:bCs w:val="false"/>
          <w:i w:val="false"/>
          <w:iCs w:val="false"/>
          <w:sz w:val="28"/>
          <w:szCs w:val="28"/>
        </w:rPr>
        <w:t xml:space="preserve">[16]</w:t>
      </w:r>
      <w:r>
        <w:rPr>
          <w:rFonts w:ascii="Times New Roman" w:cs="Times New Roman" w:eastAsia="Times New Roman" w:hAnsi="Times New Roman"/>
          <w:b w:val="false"/>
          <w:bCs w:val="false"/>
          <w:i w:val="false"/>
          <w:iCs w:val="false"/>
          <w:sz w:val="28"/>
          <w:szCs w:val="28"/>
        </w:rPr>
        <w:t xml:space="preserve">. В предлагаемой архитектуре эти слабо изученные стадии несут основную экономическую нагрузку. Е.В. Ценина и В.М. Репникова, обобщая мировую практику, также рассматривают интеллектуальные технологии как одно из условий результативности симбиоза </w:t>
      </w:r>
      <w:r>
        <w:rPr>
          <w:rFonts w:ascii="Times New Roman" w:cs="Times New Roman" w:eastAsia="Times New Roman" w:hAnsi="Times New Roman"/>
          <w:b w:val="false"/>
          <w:bCs w:val="false"/>
          <w:i w:val="false"/>
          <w:iCs w:val="false"/>
          <w:sz w:val="28"/>
          <w:szCs w:val="28"/>
        </w:rPr>
        <w:t xml:space="preserve">[17]</w:t>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2.2.2. Доступный объём ресурса и реализуемость обмена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каждого направленного потока k от предприятия i к предприятию j вводятся заявленный объём q</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и коэффициент технической доступности a</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лежащий в интервале от нуля до единицы. Коэффициент учитывает потери при передаче, сезонность, плановые ремонты и долю ресурса, не отвечающую требованиям потребителя по качеству. Технически доступный объём определяется произведением:</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Q</m:t>
            </m:r>
          </m:e>
          <m:sub>
            <m:r>
              <w:rPr>
                <w:rFonts w:ascii="Cambria Math" w:hAnsi="Cambria Math"/>
                <w:i/>
                <w:sz w:val="28"/>
                <w:szCs w:val="28"/>
              </w:rPr>
              <m:t xml:space="preserve">ijk</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q</m:t>
            </m:r>
          </m:e>
          <m:sub>
            <m:r>
              <w:rPr>
                <w:rFonts w:ascii="Cambria Math" w:hAnsi="Cambria Math"/>
                <w:i/>
                <w:sz w:val="28"/>
                <w:szCs w:val="28"/>
              </w:rPr>
              <m:t xml:space="preserve">ijk</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m:t>
        </m:r>
        <m:sSub>
          <m:e>
            <m:r>
              <w:rPr>
                <w:rFonts w:ascii="Cambria Math" w:hAnsi="Cambria Math"/>
                <w:i/>
                <w:sz w:val="28"/>
                <w:szCs w:val="28"/>
              </w:rPr>
              <m:t xml:space="preserve">a</m:t>
            </m:r>
          </m:e>
          <m:sub>
            <m:r>
              <w:rPr>
                <w:rFonts w:ascii="Cambria Math" w:hAnsi="Cambria Math"/>
                <w:i/>
                <w:sz w:val="28"/>
                <w:szCs w:val="28"/>
              </w:rPr>
              <m:t xml:space="preserve">ijk</m:t>
            </m:r>
          </m:sub>
        </m:sSub>
        <m:d>
          <m:dPr>
            <m:begChr m:val="("/>
            <m:endChr m:val=")"/>
          </m:dPr>
          <m:e>
            <m:r>
              <w:rPr>
                <w:rFonts w:ascii="Cambria Math" w:hAnsi="Cambria Math"/>
                <w:i/>
                <w:sz w:val="28"/>
                <w:szCs w:val="28"/>
              </w:rPr>
              <m:t xml:space="preserve">t</m:t>
            </m:r>
          </m:e>
        </m:d>
      </m:oMath>
      <w:r>
        <w:rPr>
          <w:rFonts w:ascii="Times New Roman" w:cs="Times New Roman" w:eastAsia="Times New Roman" w:hAnsi="Times New Roman"/>
          <w:sz w:val="28"/>
          <w:szCs w:val="28"/>
        </w:rPr>
        <w:t xml:space="preserve">	(2.1)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Q</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 технически доступный объём ресурса k, передаваемого от i к j в период t, в натуральных единицах (Гкал, т); q</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 заявленный поставщиком объём ресурса; a</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 коэффициент технической доступности, 0 ≤ a</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(2.1) проста, но её применение требует дисциплины. Объём q и коэффициент a должны относиться к одному периоду и измеряться в одних единицах, а их происхождение — замер, проектный показатель или экспертная оценка — фиксируется в реестре. Для тепловой энергии ГРЭС значение a определяется прежде всего тем, совпадает ли график выработки с графиком потребления: летом спрос на тепло падает, а располагаемая мощность остаётся. В демонстрационном сценарии a для теплового потока принят равным 0,5 с диапазоном 0,3–0,7; этот параметр, как будет показано в § 2.3.4, вторым по значимости влияет на итоговый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Технически доступный поток ещё не означает реализуемого обмена. Нужны право распоряжаться побочным продуктом, согласованные требования к качеству, разрешительная документация и финансовая выгода для обеих сторон. Признак реализуемости задаётся произведением трёх двоичных индикаторов:</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z</m:t>
            </m:r>
          </m:e>
          <m:sub>
            <m:r>
              <w:rPr>
                <w:rFonts w:ascii="Cambria Math" w:hAnsi="Cambria Math"/>
                <w:i/>
                <w:sz w:val="28"/>
                <w:szCs w:val="28"/>
              </w:rPr>
              <m:t xml:space="preserve">ijk</m:t>
            </m:r>
          </m:sub>
        </m:sSub>
        <m:r>
          <m:rPr>
            <m:sty m:val="p"/>
          </m:rPr>
          <w:rPr>
            <w:rFonts w:ascii="Cambria Math" w:hAnsi="Cambria Math"/>
            <w:i w:val="0"/>
            <w:sz w:val="28"/>
            <w:szCs w:val="28"/>
          </w:rPr>
          <m:t xml:space="preserve"> = </m:t>
        </m:r>
        <m:sSub>
          <m:e>
            <m:r>
              <w:rPr>
                <w:rFonts w:ascii="Cambria Math" w:hAnsi="Cambria Math"/>
                <w:i/>
                <w:sz w:val="28"/>
                <w:szCs w:val="28"/>
              </w:rPr>
              <m:t xml:space="preserve">I</m:t>
            </m:r>
          </m:e>
          <m:sub>
            <m:r>
              <m:rPr>
                <m:sty m:val="p"/>
              </m:rPr>
              <w:rPr>
                <w:rFonts w:ascii="Cambria Math" w:hAnsi="Cambria Math"/>
                <w:i w:val="0"/>
                <w:sz w:val="28"/>
                <w:szCs w:val="28"/>
              </w:rPr>
              <m:t xml:space="preserve">тех</m:t>
            </m:r>
          </m:sub>
        </m:sSub>
        <m:r>
          <m:rPr>
            <m:sty m:val="p"/>
          </m:rPr>
          <w:rPr>
            <w:rFonts w:ascii="Cambria Math" w:hAnsi="Cambria Math"/>
            <w:i w:val="0"/>
            <w:sz w:val="28"/>
            <w:szCs w:val="28"/>
          </w:rPr>
          <m:t xml:space="preserve">·</m:t>
        </m:r>
        <m:sSub>
          <m:e>
            <m:r>
              <w:rPr>
                <w:rFonts w:ascii="Cambria Math" w:hAnsi="Cambria Math"/>
                <w:i/>
                <w:sz w:val="28"/>
                <w:szCs w:val="28"/>
              </w:rPr>
              <m:t xml:space="preserve">I</m:t>
            </m:r>
          </m:e>
          <m:sub>
            <m:r>
              <m:rPr>
                <m:sty m:val="p"/>
              </m:rPr>
              <w:rPr>
                <w:rFonts w:ascii="Cambria Math" w:hAnsi="Cambria Math"/>
                <w:i w:val="0"/>
                <w:sz w:val="28"/>
                <w:szCs w:val="28"/>
              </w:rPr>
              <m:t xml:space="preserve">прав</m:t>
            </m:r>
          </m:sub>
        </m:sSub>
        <m:r>
          <m:rPr>
            <m:sty m:val="p"/>
          </m:rPr>
          <w:rPr>
            <w:rFonts w:ascii="Cambria Math" w:hAnsi="Cambria Math"/>
            <w:i w:val="0"/>
            <w:sz w:val="28"/>
            <w:szCs w:val="28"/>
          </w:rPr>
          <m:t xml:space="preserve">·</m:t>
        </m:r>
        <m:sSub>
          <m:e>
            <m:r>
              <w:rPr>
                <w:rFonts w:ascii="Cambria Math" w:hAnsi="Cambria Math"/>
                <w:i/>
                <w:sz w:val="28"/>
                <w:szCs w:val="28"/>
              </w:rPr>
              <m:t xml:space="preserve">I</m:t>
            </m:r>
          </m:e>
          <m:sub>
            <m:r>
              <m:rPr>
                <m:sty m:val="p"/>
              </m:rPr>
              <w:rPr>
                <w:rFonts w:ascii="Cambria Math" w:hAnsi="Cambria Math"/>
                <w:i w:val="0"/>
                <w:sz w:val="28"/>
                <w:szCs w:val="28"/>
              </w:rPr>
              <m:t xml:space="preserve">фин</m:t>
            </m:r>
          </m:sub>
        </m:sSub>
      </m:oMath>
      <w:r>
        <w:rPr>
          <w:rFonts w:ascii="Times New Roman" w:cs="Times New Roman" w:eastAsia="Times New Roman" w:hAnsi="Times New Roman"/>
          <w:sz w:val="28"/>
          <w:szCs w:val="28"/>
        </w:rPr>
        <w:t xml:space="preserve">	(2.2)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z</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признак реализуемости обмена ресурсом k между i и j; I</w:t>
      </w:r>
      <w:r>
        <w:rPr>
          <w:rFonts w:ascii="Times New Roman" w:cs="Times New Roman" w:eastAsia="Times New Roman" w:hAnsi="Times New Roman"/>
          <w:b w:val="false"/>
          <w:bCs w:val="false"/>
          <w:i w:val="false"/>
          <w:iCs w:val="false"/>
          <w:sz w:val="28"/>
          <w:szCs w:val="28"/>
          <w:vertAlign w:val="subscript"/>
        </w:rPr>
        <w:t xml:space="preserve">тех</w:t>
      </w:r>
      <w:r>
        <w:rPr>
          <w:rFonts w:ascii="Times New Roman" w:cs="Times New Roman" w:eastAsia="Times New Roman" w:hAnsi="Times New Roman"/>
          <w:b w:val="false"/>
          <w:bCs w:val="false"/>
          <w:i w:val="false"/>
          <w:iCs w:val="false"/>
          <w:sz w:val="28"/>
          <w:szCs w:val="28"/>
        </w:rPr>
        <w:t xml:space="preserve"> — индикатор технической совместимости (1, если ресурс отвечает требованиям потребителя и может быть доставлен); I</w:t>
      </w:r>
      <w:r>
        <w:rPr>
          <w:rFonts w:ascii="Times New Roman" w:cs="Times New Roman" w:eastAsia="Times New Roman" w:hAnsi="Times New Roman"/>
          <w:b w:val="false"/>
          <w:bCs w:val="false"/>
          <w:i w:val="false"/>
          <w:iCs w:val="false"/>
          <w:sz w:val="28"/>
          <w:szCs w:val="28"/>
          <w:vertAlign w:val="subscript"/>
        </w:rPr>
        <w:t xml:space="preserve">прав</w:t>
      </w:r>
      <w:r>
        <w:rPr>
          <w:rFonts w:ascii="Times New Roman" w:cs="Times New Roman" w:eastAsia="Times New Roman" w:hAnsi="Times New Roman"/>
          <w:b w:val="false"/>
          <w:bCs w:val="false"/>
          <w:i w:val="false"/>
          <w:iCs w:val="false"/>
          <w:sz w:val="28"/>
          <w:szCs w:val="28"/>
        </w:rPr>
        <w:t xml:space="preserve"> — индикатор правовой допустимости (1, если передача не противоречит режиму обращения с ресурсом и регулированию цен); I</w:t>
      </w:r>
      <w:r>
        <w:rPr>
          <w:rFonts w:ascii="Times New Roman" w:cs="Times New Roman" w:eastAsia="Times New Roman" w:hAnsi="Times New Roman"/>
          <w:b w:val="false"/>
          <w:bCs w:val="false"/>
          <w:i w:val="false"/>
          <w:iCs w:val="false"/>
          <w:sz w:val="28"/>
          <w:szCs w:val="28"/>
          <w:vertAlign w:val="subscript"/>
        </w:rPr>
        <w:t xml:space="preserve">фин</w:t>
      </w:r>
      <w:r>
        <w:rPr>
          <w:rFonts w:ascii="Times New Roman" w:cs="Times New Roman" w:eastAsia="Times New Roman" w:hAnsi="Times New Roman"/>
          <w:b w:val="false"/>
          <w:bCs w:val="false"/>
          <w:i w:val="false"/>
          <w:iCs w:val="false"/>
          <w:sz w:val="28"/>
          <w:szCs w:val="28"/>
        </w:rPr>
        <w:t xml:space="preserve"> — индикатор финансовой выгодности (1, если ценовой коридор § 2.4 непуст).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Мультипликативная форма выражает то, что недостаток по одному условию не компенсируется избытком по другому. Технически идеальный, но запрещённый обмен так же нереализуем, как разрешённый, но убыточный. Двоичная запись упрощает первичный отбор, но не заменяет вероятностной оценки риска срыва поставок; эта оценка входит в расчёт через коэффициент доступности a.</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Препятствия, из-за которых z</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0, полезно разделить на устранимые договором, устранимые инвестициями и непреодолимые на горизонте оценки. Первые устраняет институциональный контур платформы, вторые — капитальные вложения участников или партнёрство с государством, третьи выводят связь из числа допустимых. Если, например, тепло ГРЭС по условиям регулирования может продаваться резидентам только по тарифу, установленному органом регулирования </w:t>
      </w:r>
      <w:r>
        <w:rPr>
          <w:rFonts w:ascii="Times New Roman" w:cs="Times New Roman" w:eastAsia="Times New Roman" w:hAnsi="Times New Roman"/>
          <w:b w:val="false"/>
          <w:bCs w:val="false"/>
          <w:i w:val="false"/>
          <w:iCs w:val="false"/>
          <w:sz w:val="28"/>
          <w:szCs w:val="28"/>
        </w:rPr>
        <w:t xml:space="preserve">[9]</w:t>
      </w:r>
      <w:r>
        <w:rPr>
          <w:rFonts w:ascii="Times New Roman" w:cs="Times New Roman" w:eastAsia="Times New Roman" w:hAnsi="Times New Roman"/>
          <w:b w:val="false"/>
          <w:bCs w:val="false"/>
          <w:i w:val="false"/>
          <w:iCs w:val="false"/>
          <w:sz w:val="28"/>
          <w:szCs w:val="28"/>
        </w:rPr>
        <w:t xml:space="preserve">, индикатор I</w:t>
      </w:r>
      <w:r>
        <w:rPr>
          <w:rFonts w:ascii="Times New Roman" w:cs="Times New Roman" w:eastAsia="Times New Roman" w:hAnsi="Times New Roman"/>
          <w:b w:val="false"/>
          <w:bCs w:val="false"/>
          <w:i w:val="false"/>
          <w:iCs w:val="false"/>
          <w:sz w:val="28"/>
          <w:szCs w:val="28"/>
          <w:vertAlign w:val="subscript"/>
        </w:rPr>
        <w:t xml:space="preserve">прав</w:t>
      </w:r>
      <w:r>
        <w:rPr>
          <w:rFonts w:ascii="Times New Roman" w:cs="Times New Roman" w:eastAsia="Times New Roman" w:hAnsi="Times New Roman"/>
          <w:b w:val="false"/>
          <w:bCs w:val="false"/>
          <w:i w:val="false"/>
          <w:iCs w:val="false"/>
          <w:sz w:val="28"/>
          <w:szCs w:val="28"/>
        </w:rPr>
        <w:t xml:space="preserve"> для договорной цены равен нулю, но обмен по тарифу остаётся возможным; это меняет не реализуемость, а метод цены.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2.2.3. Показатели связности и их калибровка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Структурная связность экосистемы измеряется индексом синергетической плотности, введённым в первой главе формулой (1.1). Для операционного применения его знаменатель ограничивается связями, прошедшими отбор по формуле (2.2):</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f>
          <m:num>
            <m:sSub>
              <m:e>
                <m:r>
                  <w:rPr>
                    <w:rFonts w:ascii="Cambria Math" w:hAnsi="Cambria Math"/>
                    <w:i/>
                    <w:sz w:val="28"/>
                    <w:szCs w:val="28"/>
                  </w:rPr>
                  <m:t xml:space="preserve">N</m:t>
                </m:r>
              </m:e>
              <m:sub>
                <m:r>
                  <m:rPr>
                    <m:sty m:val="p"/>
                  </m:rPr>
                  <w:rPr>
                    <w:rFonts w:ascii="Cambria Math" w:hAnsi="Cambria Math"/>
                    <w:i w:val="0"/>
                    <w:sz w:val="28"/>
                    <w:szCs w:val="28"/>
                  </w:rPr>
                  <m:t xml:space="preserve">действ</m:t>
                </m:r>
              </m:sub>
            </m:sSub>
            <m:d>
              <m:dPr>
                <m:begChr m:val="("/>
                <m:endChr m:val=")"/>
              </m:dPr>
              <m:e>
                <m:r>
                  <w:rPr>
                    <w:rFonts w:ascii="Cambria Math" w:hAnsi="Cambria Math"/>
                    <w:i/>
                    <w:sz w:val="28"/>
                    <w:szCs w:val="28"/>
                  </w:rPr>
                  <m:t xml:space="preserve">t</m:t>
                </m:r>
              </m:e>
            </m:d>
          </m:num>
          <m:den>
            <m:sSub>
              <m:e>
                <m:r>
                  <w:rPr>
                    <w:rFonts w:ascii="Cambria Math" w:hAnsi="Cambria Math"/>
                    <w:i/>
                    <w:sz w:val="28"/>
                    <w:szCs w:val="28"/>
                  </w:rPr>
                  <m:t xml:space="preserve">N</m:t>
                </m:r>
              </m:e>
              <m:sub>
                <m:r>
                  <m:rPr>
                    <m:sty m:val="p"/>
                  </m:rPr>
                  <w:rPr>
                    <w:rFonts w:ascii="Cambria Math" w:hAnsi="Cambria Math"/>
                    <w:i w:val="0"/>
                    <w:sz w:val="28"/>
                    <w:szCs w:val="28"/>
                  </w:rPr>
                  <m:t xml:space="preserve">доп</m:t>
                </m:r>
              </m:sub>
            </m:sSub>
            <m:d>
              <m:dPr>
                <m:begChr m:val="("/>
                <m:endChr m:val=")"/>
              </m:dPr>
              <m:e>
                <m:r>
                  <w:rPr>
                    <w:rFonts w:ascii="Cambria Math" w:hAnsi="Cambria Math"/>
                    <w:i/>
                    <w:sz w:val="28"/>
                    <w:szCs w:val="28"/>
                  </w:rPr>
                  <m:t xml:space="preserve">t</m:t>
                </m:r>
              </m:e>
            </m:d>
          </m:den>
        </m:f>
      </m:oMath>
      <w:r>
        <w:rPr>
          <w:rFonts w:ascii="Times New Roman" w:cs="Times New Roman" w:eastAsia="Times New Roman" w:hAnsi="Times New Roman"/>
          <w:sz w:val="28"/>
          <w:szCs w:val="28"/>
        </w:rPr>
        <w:t xml:space="preserve">	(2.3)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(t) — индекс синергетической плотности в период t; N</w:t>
      </w:r>
      <w:r>
        <w:rPr>
          <w:rFonts w:ascii="Times New Roman" w:cs="Times New Roman" w:eastAsia="Times New Roman" w:hAnsi="Times New Roman"/>
          <w:b w:val="false"/>
          <w:bCs w:val="false"/>
          <w:i w:val="false"/>
          <w:iCs w:val="false"/>
          <w:sz w:val="28"/>
          <w:szCs w:val="28"/>
          <w:vertAlign w:val="subscript"/>
        </w:rPr>
        <w:t xml:space="preserve">действ</w:t>
      </w:r>
      <w:r>
        <w:rPr>
          <w:rFonts w:ascii="Times New Roman" w:cs="Times New Roman" w:eastAsia="Times New Roman" w:hAnsi="Times New Roman"/>
          <w:b w:val="false"/>
          <w:bCs w:val="false"/>
          <w:i w:val="false"/>
          <w:iCs w:val="false"/>
          <w:sz w:val="28"/>
          <w:szCs w:val="28"/>
        </w:rPr>
        <w:t xml:space="preserve">(t) — число документально подтверждённых действующих обменов; N</w:t>
      </w:r>
      <w:r>
        <w:rPr>
          <w:rFonts w:ascii="Times New Roman" w:cs="Times New Roman" w:eastAsia="Times New Roman" w:hAnsi="Times New Roman"/>
          <w:b w:val="false"/>
          <w:bCs w:val="false"/>
          <w:i w:val="false"/>
          <w:iCs w:val="false"/>
          <w:sz w:val="28"/>
          <w:szCs w:val="28"/>
          <w:vertAlign w:val="subscript"/>
        </w:rPr>
        <w:t xml:space="preserve">доп</w:t>
      </w:r>
      <w:r>
        <w:rPr>
          <w:rFonts w:ascii="Times New Roman" w:cs="Times New Roman" w:eastAsia="Times New Roman" w:hAnsi="Times New Roman"/>
          <w:b w:val="false"/>
          <w:bCs w:val="false"/>
          <w:i w:val="false"/>
          <w:iCs w:val="false"/>
          <w:sz w:val="28"/>
          <w:szCs w:val="28"/>
        </w:rPr>
        <w:t xml:space="preserve">(t) — число допустимых связей, для которых z</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Знаменатель формулы (2.3) зависит от правил отбора, поэтому при сравнении периодов и сценариев перечень классов связей и состав участников должны оставаться неизменными. В первой главе для шести укрупнённых групп участников Невинномысска выявлено 16 потенциальных направлений обмена; при раскрытии группы резидентов число пар превышает 150. Индекс, вычисленный на этих двух базах, различается в несколько раз при одном и том же числе действующих обменов, и сопоставлять такие значения нельзя.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Второе ограничение индекса — равный вес всех связей. Одна тепловая связь может стоить больше, чем десятки обменов вторичным сырьём, а индекс увеличится на одинаковую величину в обоих случаях. Для устранения этого недостатка вводится стоимостно-взвешенный показатель реализованности: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стоим</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f>
          <m:num>
            <m:nary>
              <m:naryPr>
                <m:chr m:val="∑"/>
                <m:limLoc m:val="undOvr"/>
                <m:supHide m:val="1"/>
              </m:naryPr>
              <m:sub>
                <m:r>
                  <w:rPr>
                    <w:rFonts w:ascii="Cambria Math" w:hAnsi="Cambria Math"/>
                    <w:i/>
                    <w:sz w:val="28"/>
                    <w:szCs w:val="28"/>
                  </w:rPr>
                  <m:t xml:space="preserve">k</m:t>
                </m:r>
              </m:sub>
              <m:sup/>
              <m:e>
                <m:sSub>
                  <m:e>
                    <m:r>
                      <w:rPr>
                        <w:rFonts w:ascii="Cambria Math" w:hAnsi="Cambria Math"/>
                        <w:i/>
                        <w:sz w:val="28"/>
                        <w:szCs w:val="28"/>
                      </w:rPr>
                      <m:t xml:space="preserve">V</m:t>
                    </m:r>
                  </m:e>
                  <m:sub>
                    <m:r>
                      <m:rPr>
                        <m:sty m:val="p"/>
                      </m:rPr>
                      <w:rPr>
                        <w:rFonts w:ascii="Cambria Math" w:hAnsi="Cambria Math"/>
                        <w:i w:val="0"/>
                        <w:sz w:val="28"/>
                        <w:szCs w:val="28"/>
                      </w:rPr>
                      <m:t xml:space="preserve">действ,</m:t>
                    </m:r>
                    <m:r>
                      <w:rPr>
                        <w:rFonts w:ascii="Cambria Math" w:hAnsi="Cambria Math"/>
                        <w:i/>
                        <w:sz w:val="28"/>
                        <w:szCs w:val="28"/>
                      </w:rPr>
                      <m:t xml:space="preserve">k</m:t>
                    </m:r>
                  </m:sub>
                </m:sSub>
                <m:d>
                  <m:dPr>
                    <m:begChr m:val="("/>
                    <m:endChr m:val=")"/>
                  </m:dPr>
                  <m:e>
                    <m:r>
                      <w:rPr>
                        <w:rFonts w:ascii="Cambria Math" w:hAnsi="Cambria Math"/>
                        <w:i/>
                        <w:sz w:val="28"/>
                        <w:szCs w:val="28"/>
                      </w:rPr>
                      <m:t xml:space="preserve">t</m:t>
                    </m:r>
                  </m:e>
                </m:d>
              </m:e>
            </m:nary>
          </m:num>
          <m:den>
            <m:nary>
              <m:naryPr>
                <m:chr m:val="∑"/>
                <m:limLoc m:val="undOvr"/>
                <m:supHide m:val="1"/>
              </m:naryPr>
              <m:sub>
                <m:r>
                  <w:rPr>
                    <w:rFonts w:ascii="Cambria Math" w:hAnsi="Cambria Math"/>
                    <w:i/>
                    <w:sz w:val="28"/>
                    <w:szCs w:val="28"/>
                  </w:rPr>
                  <m:t xml:space="preserve">k</m:t>
                </m:r>
              </m:sub>
              <m:sup/>
              <m:e>
                <m:sSub>
                  <m:e>
                    <m:r>
                      <w:rPr>
                        <w:rFonts w:ascii="Cambria Math" w:hAnsi="Cambria Math"/>
                        <w:i/>
                        <w:sz w:val="28"/>
                        <w:szCs w:val="28"/>
                      </w:rPr>
                      <m:t xml:space="preserve">V</m:t>
                    </m:r>
                  </m:e>
                  <m:sub>
                    <m:r>
                      <m:rPr>
                        <m:sty m:val="p"/>
                      </m:rPr>
                      <w:rPr>
                        <w:rFonts w:ascii="Cambria Math" w:hAnsi="Cambria Math"/>
                        <w:i w:val="0"/>
                        <w:sz w:val="28"/>
                        <w:szCs w:val="28"/>
                      </w:rPr>
                      <m:t xml:space="preserve">доп,</m:t>
                    </m:r>
                    <m:r>
                      <w:rPr>
                        <w:rFonts w:ascii="Cambria Math" w:hAnsi="Cambria Math"/>
                        <w:i/>
                        <w:sz w:val="28"/>
                        <w:szCs w:val="28"/>
                      </w:rPr>
                      <m:t xml:space="preserve">k</m:t>
                    </m:r>
                  </m:sub>
                </m:sSub>
                <m:d>
                  <m:dPr>
                    <m:begChr m:val="("/>
                    <m:endChr m:val=")"/>
                  </m:dPr>
                  <m:e>
                    <m:r>
                      <w:rPr>
                        <w:rFonts w:ascii="Cambria Math" w:hAnsi="Cambria Math"/>
                        <w:i/>
                        <w:sz w:val="28"/>
                        <w:szCs w:val="28"/>
                      </w:rPr>
                      <m:t xml:space="preserve">t</m:t>
                    </m:r>
                  </m:e>
                </m:d>
              </m:e>
            </m:nary>
          </m:den>
        </m:f>
      </m:oMath>
      <w:r>
        <w:rPr>
          <w:rFonts w:ascii="Times New Roman" w:cs="Times New Roman" w:eastAsia="Times New Roman" w:hAnsi="Times New Roman"/>
          <w:sz w:val="28"/>
          <w:szCs w:val="28"/>
        </w:rPr>
        <w:t xml:space="preserve">	(2.4)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стоим</w:t>
      </w:r>
      <w:r>
        <w:rPr>
          <w:rFonts w:ascii="Times New Roman" w:cs="Times New Roman" w:eastAsia="Times New Roman" w:hAnsi="Times New Roman"/>
          <w:b w:val="false"/>
          <w:bCs w:val="false"/>
          <w:i w:val="false"/>
          <w:iCs w:val="false"/>
          <w:sz w:val="28"/>
          <w:szCs w:val="28"/>
        </w:rPr>
        <w:t xml:space="preserve">(t) — стоимостная реализованность сети; V</w:t>
      </w:r>
      <w:r>
        <w:rPr>
          <w:rFonts w:ascii="Times New Roman" w:cs="Times New Roman" w:eastAsia="Times New Roman" w:hAnsi="Times New Roman"/>
          <w:b w:val="false"/>
          <w:bCs w:val="false"/>
          <w:i w:val="false"/>
          <w:iCs w:val="false"/>
          <w:sz w:val="28"/>
          <w:szCs w:val="28"/>
          <w:vertAlign w:val="subscript"/>
        </w:rPr>
        <w:t xml:space="preserve">действ,k</w:t>
      </w:r>
      <w:r>
        <w:rPr>
          <w:rFonts w:ascii="Times New Roman" w:cs="Times New Roman" w:eastAsia="Times New Roman" w:hAnsi="Times New Roman"/>
          <w:b w:val="false"/>
          <w:bCs w:val="false"/>
          <w:i w:val="false"/>
          <w:iCs w:val="false"/>
          <w:sz w:val="28"/>
          <w:szCs w:val="28"/>
        </w:rPr>
        <w:t xml:space="preserve">(t) — приведённая стоимость положительного чистого эффекта действующего обмена k; V</w:t>
      </w:r>
      <w:r>
        <w:rPr>
          <w:rFonts w:ascii="Times New Roman" w:cs="Times New Roman" w:eastAsia="Times New Roman" w:hAnsi="Times New Roman"/>
          <w:b w:val="false"/>
          <w:bCs w:val="false"/>
          <w:i w:val="false"/>
          <w:iCs w:val="false"/>
          <w:sz w:val="28"/>
          <w:szCs w:val="28"/>
          <w:vertAlign w:val="subscript"/>
        </w:rPr>
        <w:t xml:space="preserve">доп,k</w:t>
      </w:r>
      <w:r>
        <w:rPr>
          <w:rFonts w:ascii="Times New Roman" w:cs="Times New Roman" w:eastAsia="Times New Roman" w:hAnsi="Times New Roman"/>
          <w:b w:val="false"/>
          <w:bCs w:val="false"/>
          <w:i w:val="false"/>
          <w:iCs w:val="false"/>
          <w:sz w:val="28"/>
          <w:szCs w:val="28"/>
        </w:rPr>
        <w:t xml:space="preserve">(t) — то же для допустимого обмена k; суммирование ведётся по всем допустимым обменам.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Показатель (2.4) имеет смысл только после исключения убыточных и взаимоисключающих проектов: если две связи используют один и тот же поток пара, в знаменатель входит лишь лучшая из них. Структурный и стоимостной показатели дополняют друг друга. Рост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при неизменном C</w:t>
      </w:r>
      <w:r>
        <w:rPr>
          <w:rFonts w:ascii="Times New Roman" w:cs="Times New Roman" w:eastAsia="Times New Roman" w:hAnsi="Times New Roman"/>
          <w:b w:val="false"/>
          <w:bCs w:val="false"/>
          <w:i w:val="false"/>
          <w:iCs w:val="false"/>
          <w:sz w:val="28"/>
          <w:szCs w:val="28"/>
          <w:vertAlign w:val="subscript"/>
        </w:rPr>
        <w:t xml:space="preserve">стоим</w:t>
      </w:r>
      <w:r>
        <w:rPr>
          <w:rFonts w:ascii="Times New Roman" w:cs="Times New Roman" w:eastAsia="Times New Roman" w:hAnsi="Times New Roman"/>
          <w:b w:val="false"/>
          <w:bCs w:val="false"/>
          <w:i w:val="false"/>
          <w:iCs w:val="false"/>
          <w:sz w:val="28"/>
          <w:szCs w:val="28"/>
        </w:rPr>
        <w:t xml:space="preserve"> означает, что сеть расширяется за счёт малозначимых обменов; обратная картина — что заключены немногие, но крупные сделки. Управленческое решение оператора, куда направлять усилия, зависит от того, какой из этих сценариев реализуется.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глава ввела функцию синергетической реализуемости, связывающую плотность сети с долей потенциального эффекта, которая превращается в фактический (формула 1.7). В операционной записи она имеет вид:</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φ</m:t>
        </m:r>
        <m:d>
          <m:dPr>
            <m:begChr m:val="("/>
            <m:endChr m:val=")"/>
          </m:dPr>
          <m:e>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e>
        </m:d>
        <m:r>
          <m:rPr>
            <m:sty m:val="p"/>
          </m:rPr>
          <w:rPr>
            <w:rFonts w:ascii="Cambria Math" w:hAnsi="Cambria Math"/>
            <w:i w:val="0"/>
            <w:sz w:val="28"/>
            <w:szCs w:val="28"/>
          </w:rPr>
          <m:t xml:space="preserve"> = 1 − </m:t>
        </m:r>
        <m:sSup>
          <m:e>
            <m:r>
              <m:rPr>
                <m:sty m:val="p"/>
              </m:rPr>
              <w:rPr>
                <w:rFonts w:ascii="Cambria Math" w:hAnsi="Cambria Math"/>
                <w:i w:val="0"/>
                <w:sz w:val="28"/>
                <w:szCs w:val="28"/>
              </w:rPr>
              <m:t xml:space="preserve">e</m:t>
            </m:r>
          </m:e>
          <m:sup>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sup>
        </m:sSup>
      </m:oMath>
      <w:r>
        <w:rPr>
          <w:rFonts w:ascii="Times New Roman" w:cs="Times New Roman" w:eastAsia="Times New Roman" w:hAnsi="Times New Roman"/>
          <w:sz w:val="28"/>
          <w:szCs w:val="28"/>
        </w:rPr>
        <w:t xml:space="preserve">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доля потенциального эффекта, реализуемая при данной плотности сети, 0 ≤ φ &lt; 1; e — основание натурального логарифма; k — параметр институциональной среды, отражающий скорость, с которой рост связности переходит в эффект;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индекс (2.3).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(2.5) в работе рассматривается как проверяемая гипотеза, а не как установленный закон. Её форма отражает два предположения: первые связи дают наибольший прирост, поскольку заключаются самые выгодные обмены, а каждая следующая связь добавляет меньше. Оба предположения согласуются с наблюдениями по Калуннборгу и японским эко-городам, где первые обмены касались крупных потоков пара и воды, а последующие — всё более мелких</w:t>
      </w:r>
      <w:r>
        <w:rPr>
          <w:rStyle w:val="FootnoteReference"/>
        </w:rPr>
        <w:footnoteReference w:id="8"/>
      </w:r>
      <w:r>
        <w:rPr>
          <w:rStyle w:val="FootnoteReference"/>
        </w:rPr>
        <w:footnoteReference w:id="9"/>
      </w:r>
      <w:r>
        <w:rPr>
          <w:rFonts w:ascii="Times New Roman" w:cs="Times New Roman" w:eastAsia="Times New Roman" w:hAnsi="Times New Roman"/>
          <w:b w:val="false"/>
          <w:bCs w:val="false"/>
          <w:i w:val="false"/>
          <w:iCs w:val="false"/>
          <w:sz w:val="28"/>
          <w:szCs w:val="28"/>
        </w:rPr>
        <w:t xml:space="preserve">. Но совместимость с наблюдениями не доказывает именно экспоненциальной формы: те же наблюдения описывает и логарифмическая, и степенная функция с убывающей отдачей.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Параметр k в симуляторе задаётся сценарно (3, 5 и 7 для органической, умеренной и координируемой среды) и растёт во времени по мере внедрения институциональных мер. Для перехода от сценарного значения к оценённому предлагается калибровка по наблюдаемой паре значений:</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k</m:t>
        </m:r>
        <m:r>
          <m:rPr>
            <m:sty m:val="p"/>
          </m:rPr>
          <w:rPr>
            <w:rFonts w:ascii="Cambria Math" w:hAnsi="Cambria Math"/>
            <w:i w:val="0"/>
            <w:sz w:val="28"/>
            <w:szCs w:val="28"/>
          </w:rPr>
          <m:t xml:space="preserve"> = − </m:t>
        </m:r>
        <m:f>
          <m:num>
            <m:r>
              <m:rPr>
                <m:sty m:val="p"/>
              </m:rPr>
              <w:rPr>
                <w:rFonts w:ascii="Cambria Math" w:hAnsi="Cambria Math"/>
                <w:i w:val="0"/>
                <w:sz w:val="28"/>
                <w:szCs w:val="28"/>
              </w:rPr>
              <m:t xml:space="preserve">ln</m:t>
            </m:r>
            <m:d>
              <m:dPr>
                <m:begChr m:val="("/>
                <m:endChr m:val=")"/>
              </m:dPr>
              <m:e>
                <m:r>
                  <m:rPr>
                    <m:sty m:val="p"/>
                  </m:rPr>
                  <w:rPr>
                    <w:rFonts w:ascii="Cambria Math" w:hAnsi="Cambria Math"/>
                    <w:i w:val="0"/>
                    <w:sz w:val="28"/>
                    <w:szCs w:val="28"/>
                  </w:rPr>
                  <m:t xml:space="preserve">1 − </m:t>
                </m:r>
                <m:sSub>
                  <m:e>
                    <m:r>
                      <w:rPr>
                        <w:rFonts w:ascii="Cambria Math" w:hAnsi="Cambria Math"/>
                        <w:i/>
                        <w:sz w:val="28"/>
                        <w:szCs w:val="28"/>
                      </w:rPr>
                      <m:t xml:space="preserve">φ</m:t>
                    </m:r>
                  </m:e>
                  <m:sub>
                    <m:r>
                      <m:rPr>
                        <m:sty m:val="p"/>
                      </m:rPr>
                      <w:rPr>
                        <w:rFonts w:ascii="Cambria Math" w:hAnsi="Cambria Math"/>
                        <w:i w:val="0"/>
                        <w:sz w:val="28"/>
                        <w:szCs w:val="28"/>
                      </w:rPr>
                      <m:t xml:space="preserve">набл</m:t>
                    </m:r>
                  </m:sub>
                </m:sSub>
              </m:e>
            </m:d>
          </m:num>
          <m:den>
            <m:sSub>
              <m:e>
                <m:r>
                  <w:rPr>
                    <w:rFonts w:ascii="Cambria Math" w:hAnsi="Cambria Math"/>
                    <w:i/>
                    <w:sz w:val="28"/>
                    <w:szCs w:val="28"/>
                  </w:rPr>
                  <m:t xml:space="preserve">C</m:t>
                </m:r>
              </m:e>
              <m:sub>
                <m:r>
                  <m:rPr>
                    <m:sty m:val="p"/>
                  </m:rPr>
                  <w:rPr>
                    <w:rFonts w:ascii="Cambria Math" w:hAnsi="Cambria Math"/>
                    <w:i w:val="0"/>
                    <w:sz w:val="28"/>
                    <w:szCs w:val="28"/>
                  </w:rPr>
                  <m:t xml:space="preserve">набл</m:t>
                </m:r>
              </m:sub>
            </m:sSub>
          </m:den>
        </m:f>
      </m:oMath>
      <w:r>
        <w:rPr>
          <w:rFonts w:ascii="Times New Roman" w:cs="Times New Roman" w:eastAsia="Times New Roman" w:hAnsi="Times New Roman"/>
          <w:sz w:val="28"/>
          <w:szCs w:val="28"/>
        </w:rPr>
        <w:t xml:space="preserve">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k — оценка параметра институциональной среды; φ</w:t>
      </w:r>
      <w:r>
        <w:rPr>
          <w:rFonts w:ascii="Times New Roman" w:cs="Times New Roman" w:eastAsia="Times New Roman" w:hAnsi="Times New Roman"/>
          <w:b w:val="false"/>
          <w:bCs w:val="false"/>
          <w:i w:val="false"/>
          <w:iCs w:val="false"/>
          <w:sz w:val="28"/>
          <w:szCs w:val="28"/>
          <w:vertAlign w:val="subscript"/>
        </w:rPr>
        <w:t xml:space="preserve">набл</w:t>
      </w:r>
      <w:r>
        <w:rPr>
          <w:rFonts w:ascii="Times New Roman" w:cs="Times New Roman" w:eastAsia="Times New Roman" w:hAnsi="Times New Roman"/>
          <w:b w:val="false"/>
          <w:bCs w:val="false"/>
          <w:i w:val="false"/>
          <w:iCs w:val="false"/>
          <w:sz w:val="28"/>
          <w:szCs w:val="28"/>
        </w:rPr>
        <w:t xml:space="preserve"> — наблюдаемая доля реализованного потенциала, равная отношению подтверждённого эффекта действующих обменов к эффекту всех допустимых обменов, то есть C</w:t>
      </w:r>
      <w:r>
        <w:rPr>
          <w:rFonts w:ascii="Times New Roman" w:cs="Times New Roman" w:eastAsia="Times New Roman" w:hAnsi="Times New Roman"/>
          <w:b w:val="false"/>
          <w:bCs w:val="false"/>
          <w:i w:val="false"/>
          <w:iCs w:val="false"/>
          <w:sz w:val="28"/>
          <w:szCs w:val="28"/>
          <w:vertAlign w:val="subscript"/>
        </w:rPr>
        <w:t xml:space="preserve">стоим</w:t>
      </w:r>
      <w:r>
        <w:rPr>
          <w:rFonts w:ascii="Times New Roman" w:cs="Times New Roman" w:eastAsia="Times New Roman" w:hAnsi="Times New Roman"/>
          <w:b w:val="false"/>
          <w:bCs w:val="false"/>
          <w:i w:val="false"/>
          <w:iCs w:val="false"/>
          <w:sz w:val="28"/>
          <w:szCs w:val="28"/>
        </w:rPr>
        <w:t xml:space="preserve">; C</w:t>
      </w:r>
      <w:r>
        <w:rPr>
          <w:rFonts w:ascii="Times New Roman" w:cs="Times New Roman" w:eastAsia="Times New Roman" w:hAnsi="Times New Roman"/>
          <w:b w:val="false"/>
          <w:bCs w:val="false"/>
          <w:i w:val="false"/>
          <w:iCs w:val="false"/>
          <w:sz w:val="28"/>
          <w:szCs w:val="28"/>
          <w:vertAlign w:val="subscript"/>
        </w:rPr>
        <w:t xml:space="preserve">набл</w:t>
      </w:r>
      <w:r>
        <w:rPr>
          <w:rFonts w:ascii="Times New Roman" w:cs="Times New Roman" w:eastAsia="Times New Roman" w:hAnsi="Times New Roman"/>
          <w:b w:val="false"/>
          <w:bCs w:val="false"/>
          <w:i w:val="false"/>
          <w:iCs w:val="false"/>
          <w:sz w:val="28"/>
          <w:szCs w:val="28"/>
        </w:rPr>
        <w:t xml:space="preserve"> — наблюдаемое значение индекса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в тот же период.</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(2.6) получена обращением (2.5) и допускает проверку. Если при C</w:t>
      </w:r>
      <w:r>
        <w:rPr>
          <w:rFonts w:ascii="Times New Roman" w:cs="Times New Roman" w:eastAsia="Times New Roman" w:hAnsi="Times New Roman"/>
          <w:b w:val="false"/>
          <w:bCs w:val="false"/>
          <w:i w:val="false"/>
          <w:iCs w:val="false"/>
          <w:sz w:val="28"/>
          <w:szCs w:val="28"/>
          <w:vertAlign w:val="subscript"/>
        </w:rPr>
        <w:t xml:space="preserve">набл</w:t>
      </w:r>
      <w:r>
        <w:rPr>
          <w:rFonts w:ascii="Times New Roman" w:cs="Times New Roman" w:eastAsia="Times New Roman" w:hAnsi="Times New Roman"/>
          <w:b w:val="false"/>
          <w:bCs w:val="false"/>
          <w:i w:val="false"/>
          <w:iCs w:val="false"/>
          <w:sz w:val="28"/>
          <w:szCs w:val="28"/>
        </w:rPr>
        <w:t xml:space="preserve"> = 0,10 подтверждённый эффект составляет 39 % потенциала, оценка k = 4,9, что близко к сценарному значению умеренной среды. Если же реализовано 50 % потенциала, k = 6,9, и среда ближе к координируемой. Наблюдение на нескольких последовательных периодах даёт ряд оценок k: их рост во времени подтверждает гипотезу об институциональном обучении, заложенную в симулятор, а постоянство или падение опровергает её. Функция (2.5) тем самым получает эмпирический критерий опровержения, которого ей не хватало в исходной постановке.</w:t>
      </w:r>
      <w:r>
        <w:rPr>
          <w:rFonts w:ascii="Times New Roman" w:cs="Times New Roman" w:eastAsia="Times New Roman" w:hAnsi="Times New Roman"/>
          <w:b w:val="false"/>
          <w:bCs w:val="false"/>
          <w:i w:val="false"/>
          <w:iCs w:val="false"/>
          <w:sz w:val="28"/>
          <w:szCs w:val="28"/>
        </w:rPr>
        <w:t xml:space="preserve"> Параметры, которые удаётся оценить по открытой отчётности заводов-аналогов (выбросы и поток технологического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якоря, вероятность его остановки, волатильность выпуска), откалиброваны в § 3.1; параметр k к ним не относится и требует наблюдений самой 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Пороги связности 5 и 15 %, используемые в первой главе для выделения фаз развития экосистемы, сохраняют в этой логике статус сценарных ориентиров. Действительная граница, после которой расширение сети перестаёт быть выгодным, определяется не фиксированным значением индекса, а равенством предельной выгоды и предельных издержек связности; её расчёт приведён в § 2.3.3.</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 Методика расчёта дополнительного экономического эффекта и симбиотического дивиденда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2.3.1. Контрфактическая база и состав дополнительного эффекта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глава развела два понятия: синергетический эффект как создаваемую обменом стоимость и симбиотический дивиденд как договорно распределяемую её часть. Для расчёта это различение означает, что сначала оценивается величина созданного, а затем отдельно решается, как его делить. Смешение двух операций порождает характерную ошибку: в эффект включают платёж покупателя поставщику, хотя для системы в целом он равен нулю, поскольку выручка одного участника есть затраты другого. В консолидированном расчёте такие внутренние трансферты исключаются, а цена обмена влияет только на распределение эффекта между сторонами, но не на его величину.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Дополнительный эффект определяется изменением денежных потоков участников по отношению к контрфактическому состоянию без организованного обмена:</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ΔE</m:t>
        </m:r>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ΔR</m:t>
            </m:r>
          </m:e>
          <m:sub>
            <m:r>
              <m:rPr>
                <m:sty m:val="p"/>
              </m:rPr>
              <w:rPr>
                <w:rFonts w:ascii="Cambria Math" w:hAnsi="Cambria Math"/>
                <w:i w:val="0"/>
                <w:sz w:val="28"/>
                <w:szCs w:val="28"/>
              </w:rPr>
              <m:t xml:space="preserve">внеш</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ΔC</m:t>
            </m:r>
          </m:e>
          <m:sub>
            <m:r>
              <m:rPr>
                <m:sty m:val="p"/>
              </m:rPr>
              <w:rPr>
                <w:rFonts w:ascii="Cambria Math" w:hAnsi="Cambria Math"/>
                <w:i w:val="0"/>
                <w:sz w:val="28"/>
                <w:szCs w:val="28"/>
              </w:rPr>
              <m:t xml:space="preserve">изб</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инфр</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опер</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сдел</m:t>
            </m:r>
          </m:sub>
        </m:sSub>
        <m:d>
          <m:dPr>
            <m:begChr m:val="("/>
            <m:endChr m:val=")"/>
          </m:dPr>
          <m:e>
            <m:r>
              <w:rPr>
                <w:rFonts w:ascii="Cambria Math" w:hAnsi="Cambria Math"/>
                <w:i/>
                <w:sz w:val="28"/>
                <w:szCs w:val="28"/>
              </w:rPr>
              <m:t xml:space="preserve">t</m:t>
            </m:r>
          </m:e>
        </m:d>
      </m:oMath>
      <w:r>
        <w:rPr>
          <w:rFonts w:ascii="Times New Roman" w:cs="Times New Roman" w:eastAsia="Times New Roman" w:hAnsi="Times New Roman"/>
          <w:sz w:val="28"/>
          <w:szCs w:val="28"/>
        </w:rPr>
        <w:t xml:space="preserve">	(2.7)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ΔE(t) — дополнительный экономический эффект экоплатформы в период t, млн руб.; ΔR</w:t>
      </w:r>
      <w:r>
        <w:rPr>
          <w:rFonts w:ascii="Times New Roman" w:cs="Times New Roman" w:eastAsia="Times New Roman" w:hAnsi="Times New Roman"/>
          <w:b w:val="false"/>
          <w:bCs w:val="false"/>
          <w:i w:val="false"/>
          <w:iCs w:val="false"/>
          <w:sz w:val="28"/>
          <w:szCs w:val="28"/>
          <w:vertAlign w:val="subscript"/>
        </w:rPr>
        <w:t xml:space="preserve">внеш</w:t>
      </w:r>
      <w:r>
        <w:rPr>
          <w:rFonts w:ascii="Times New Roman" w:cs="Times New Roman" w:eastAsia="Times New Roman" w:hAnsi="Times New Roman"/>
          <w:b w:val="false"/>
          <w:bCs w:val="false"/>
          <w:i w:val="false"/>
          <w:iCs w:val="false"/>
          <w:sz w:val="28"/>
          <w:szCs w:val="28"/>
        </w:rPr>
        <w:t xml:space="preserve">(t) — прирост выручки участников от внешних, не входящих в систему контрагентов; ΔC</w:t>
      </w:r>
      <w:r>
        <w:rPr>
          <w:rFonts w:ascii="Times New Roman" w:cs="Times New Roman" w:eastAsia="Times New Roman" w:hAnsi="Times New Roman"/>
          <w:b w:val="false"/>
          <w:bCs w:val="false"/>
          <w:i w:val="false"/>
          <w:iCs w:val="false"/>
          <w:sz w:val="28"/>
          <w:szCs w:val="28"/>
          <w:vertAlign w:val="subscript"/>
        </w:rPr>
        <w:t xml:space="preserve">изб</w:t>
      </w:r>
      <w:r>
        <w:rPr>
          <w:rFonts w:ascii="Times New Roman" w:cs="Times New Roman" w:eastAsia="Times New Roman" w:hAnsi="Times New Roman"/>
          <w:b w:val="false"/>
          <w:bCs w:val="false"/>
          <w:i w:val="false"/>
          <w:iCs w:val="false"/>
          <w:sz w:val="28"/>
          <w:szCs w:val="28"/>
        </w:rPr>
        <w:t xml:space="preserve">(t) — предотвращённые внешние затраты участников (замещённые закупки первичных ресурсов, не внесённая плата за НВОС, сэкономленные расходы на вывоз и размещение отходов); C</w:t>
      </w:r>
      <w:r>
        <w:rPr>
          <w:rFonts w:ascii="Times New Roman" w:cs="Times New Roman" w:eastAsia="Times New Roman" w:hAnsi="Times New Roman"/>
          <w:b w:val="false"/>
          <w:bCs w:val="false"/>
          <w:i w:val="false"/>
          <w:iCs w:val="false"/>
          <w:sz w:val="28"/>
          <w:szCs w:val="28"/>
          <w:vertAlign w:val="subscript"/>
        </w:rPr>
        <w:t xml:space="preserve">инфр</w:t>
      </w:r>
      <w:r>
        <w:rPr>
          <w:rFonts w:ascii="Times New Roman" w:cs="Times New Roman" w:eastAsia="Times New Roman" w:hAnsi="Times New Roman"/>
          <w:b w:val="false"/>
          <w:bCs w:val="false"/>
          <w:i w:val="false"/>
          <w:iCs w:val="false"/>
          <w:sz w:val="28"/>
          <w:szCs w:val="28"/>
        </w:rPr>
        <w:t xml:space="preserve">(t) — приведённые к периоду капитальные затраты на инфраструктуру обмена; C</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(t) — эксплуатационные затраты платформы и обменных узлов; C</w:t>
      </w:r>
      <w:r>
        <w:rPr>
          <w:rFonts w:ascii="Times New Roman" w:cs="Times New Roman" w:eastAsia="Times New Roman" w:hAnsi="Times New Roman"/>
          <w:b w:val="false"/>
          <w:bCs w:val="false"/>
          <w:i w:val="false"/>
          <w:iCs w:val="false"/>
          <w:sz w:val="28"/>
          <w:szCs w:val="28"/>
          <w:vertAlign w:val="subscript"/>
        </w:rPr>
        <w:t xml:space="preserve">сдел</w:t>
      </w:r>
      <w:r>
        <w:rPr>
          <w:rFonts w:ascii="Times New Roman" w:cs="Times New Roman" w:eastAsia="Times New Roman" w:hAnsi="Times New Roman"/>
          <w:b w:val="false"/>
          <w:bCs w:val="false"/>
          <w:i w:val="false"/>
          <w:iCs w:val="false"/>
          <w:sz w:val="28"/>
          <w:szCs w:val="28"/>
        </w:rPr>
        <w:t xml:space="preserve">(t) — издержки сделок: аудит, юридическое сопровождение, страхование исполнения.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(2.7) отличается от записи эффекта в первой главе (1.8) тем, что вычитает затраты на создание и поддержание связей. Без вычета эффект любой сети растёт с числом связей, и оптимального размера сети не существует; с вычетом появляется точка, после которой новая связь стоит больше, чем приносит. В симуляторе эти затраты учтены неявно, через коэффициент α, что затрудняет проверку; в методике главы они выделены явно.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Капитальные затраты распределяются по периодам аннуитетным способом, чтобы годовой эффект и годовые затраты были сопоставимы:</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инфр</m:t>
            </m:r>
          </m:sub>
        </m:sSub>
        <m:r>
          <m:rPr>
            <m:sty m:val="p"/>
          </m:rPr>
          <w:rPr>
            <w:rFonts w:ascii="Cambria Math" w:hAnsi="Cambria Math"/>
            <w:i w:val="0"/>
            <w:sz w:val="28"/>
            <w:szCs w:val="28"/>
          </w:rPr>
          <m:t xml:space="preserve"> = </m:t>
        </m:r>
        <m:nary>
          <m:naryPr>
            <m:chr m:val="∑"/>
            <m:limLoc m:val="undOvr"/>
            <m:supHide m:val="1"/>
          </m:naryPr>
          <m:sub>
            <m:r>
              <w:rPr>
                <w:rFonts w:ascii="Cambria Math" w:hAnsi="Cambria Math"/>
                <w:i/>
                <w:sz w:val="28"/>
                <w:szCs w:val="28"/>
              </w:rPr>
              <m:t xml:space="preserve">m</m:t>
            </m:r>
          </m:sub>
          <m:sup/>
          <m:e>
            <m:sSub>
              <m:e>
                <m:r>
                  <w:rPr>
                    <w:rFonts w:ascii="Cambria Math" w:hAnsi="Cambria Math"/>
                    <w:i/>
                    <w:sz w:val="28"/>
                    <w:szCs w:val="28"/>
                  </w:rPr>
                  <m:t xml:space="preserve">K</m:t>
                </m:r>
              </m:e>
              <m:sub>
                <m:r>
                  <w:rPr>
                    <w:rFonts w:ascii="Cambria Math" w:hAnsi="Cambria Math"/>
                    <w:i/>
                    <w:sz w:val="28"/>
                    <w:szCs w:val="28"/>
                  </w:rPr>
                  <m:t xml:space="preserve">m</m:t>
                </m:r>
              </m:sub>
            </m:sSub>
            <m:r>
              <m:rPr>
                <m:sty m:val="p"/>
              </m:rPr>
              <w:rPr>
                <w:rFonts w:ascii="Cambria Math" w:hAnsi="Cambria Math"/>
                <w:i w:val="0"/>
                <w:sz w:val="28"/>
                <w:szCs w:val="28"/>
              </w:rPr>
              <m:t xml:space="preserve">·</m:t>
            </m:r>
            <m:f>
              <m:num>
                <m:r>
                  <w:rPr>
                    <w:rFonts w:ascii="Cambria Math" w:hAnsi="Cambria Math"/>
                    <w:i/>
                    <w:sz w:val="28"/>
                    <w:szCs w:val="28"/>
                  </w:rPr>
                  <m:t xml:space="preserve">r</m:t>
                </m:r>
              </m:num>
              <m:den>
                <m:r>
                  <m:rPr>
                    <m:sty m:val="p"/>
                  </m:rPr>
                  <w:rPr>
                    <w:rFonts w:ascii="Cambria Math" w:hAnsi="Cambria Math"/>
                    <w:i w:val="0"/>
                    <w:sz w:val="28"/>
                    <w:szCs w:val="28"/>
                  </w:rPr>
                  <m:t xml:space="preserve">1 − </m:t>
                </m:r>
                <m:sSup>
                  <m:e>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r</m:t>
                        </m:r>
                      </m:e>
                    </m:d>
                  </m:e>
                  <m:sup>
                    <m:r>
                      <m:rPr>
                        <m:sty m:val="p"/>
                      </m:rPr>
                      <w:rPr>
                        <w:rFonts w:ascii="Cambria Math" w:hAnsi="Cambria Math"/>
                        <w:i w:val="0"/>
                        <w:sz w:val="28"/>
                        <w:szCs w:val="28"/>
                      </w:rPr>
                      <m:t xml:space="preserve">−</m:t>
                    </m:r>
                    <m:sSub>
                      <m:e>
                        <m:r>
                          <w:rPr>
                            <w:rFonts w:ascii="Cambria Math" w:hAnsi="Cambria Math"/>
                            <w:i/>
                            <w:sz w:val="28"/>
                            <w:szCs w:val="28"/>
                          </w:rPr>
                          <m:t xml:space="preserve">n</m:t>
                        </m:r>
                      </m:e>
                      <m:sub>
                        <m:r>
                          <w:rPr>
                            <w:rFonts w:ascii="Cambria Math" w:hAnsi="Cambria Math"/>
                            <w:i/>
                            <w:sz w:val="28"/>
                            <w:szCs w:val="28"/>
                          </w:rPr>
                          <m:t xml:space="preserve">m</m:t>
                        </m:r>
                      </m:sub>
                    </m:sSub>
                  </m:sup>
                </m:sSup>
              </m:den>
            </m:f>
          </m:e>
        </m:nary>
      </m:oMath>
      <w:r>
        <w:rPr>
          <w:rFonts w:ascii="Times New Roman" w:cs="Times New Roman" w:eastAsia="Times New Roman" w:hAnsi="Times New Roman"/>
          <w:sz w:val="28"/>
          <w:szCs w:val="28"/>
        </w:rPr>
        <w:t xml:space="preserve">	(2.8)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инфр</w:t>
      </w:r>
      <w:r>
        <w:rPr>
          <w:rFonts w:ascii="Times New Roman" w:cs="Times New Roman" w:eastAsia="Times New Roman" w:hAnsi="Times New Roman"/>
          <w:b w:val="false"/>
          <w:bCs w:val="false"/>
          <w:i w:val="false"/>
          <w:iCs w:val="false"/>
          <w:sz w:val="28"/>
          <w:szCs w:val="28"/>
        </w:rPr>
        <w:t xml:space="preserve"> — годовая приведённая стоимость капитальных вложений, млн руб.; K</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капитальные вложения в m-й объект инфраструктуры (теплотрасса, узел подготовки CO₂, программно-аппаратный комплекс платформы); r — ставка дисконтирования; n</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срок службы объекта m, лет.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каждого класса ресурсных потоков эффект вычисляется как разность между альтернативной стоимостью ресурса для потребителя и переменными затратами его передачи: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E</m:t>
            </m:r>
          </m:e>
          <m:sub>
            <m:r>
              <w:rPr>
                <w:rFonts w:ascii="Cambria Math" w:hAnsi="Cambria Math"/>
                <w:i/>
                <w:sz w:val="28"/>
                <w:szCs w:val="28"/>
              </w:rPr>
              <m:t xml:space="preserve">k</m:t>
            </m:r>
          </m:sub>
        </m:sSub>
        <m:r>
          <m:rPr>
            <m:sty m:val="p"/>
          </m:rPr>
          <w:rPr>
            <w:rFonts w:ascii="Cambria Math" w:hAnsi="Cambria Math"/>
            <w:i w:val="0"/>
            <w:sz w:val="28"/>
            <w:szCs w:val="28"/>
          </w:rPr>
          <m:t xml:space="preserve"> = </m:t>
        </m:r>
        <m:sSub>
          <m:e>
            <m:r>
              <w:rPr>
                <w:rFonts w:ascii="Cambria Math" w:hAnsi="Cambria Math"/>
                <w:i/>
                <w:sz w:val="28"/>
                <w:szCs w:val="28"/>
              </w:rPr>
              <m:t xml:space="preserve">Q</m:t>
            </m:r>
          </m:e>
          <m:sub>
            <m:r>
              <w:rPr>
                <w:rFonts w:ascii="Cambria Math" w:hAnsi="Cambria Math"/>
                <w:i/>
                <w:sz w:val="28"/>
                <w:szCs w:val="28"/>
              </w:rPr>
              <m:t xml:space="preserve">k</m:t>
            </m:r>
          </m:sub>
        </m:sSub>
        <m:r>
          <m:rPr>
            <m:sty m:val="p"/>
          </m:rPr>
          <w:rPr>
            <w:rFonts w:ascii="Cambria Math" w:hAnsi="Cambria Math"/>
            <w:i w:val="0"/>
            <w:sz w:val="28"/>
            <w:szCs w:val="28"/>
          </w:rPr>
          <m:t xml:space="preserve">·</m:t>
        </m:r>
        <m:d>
          <m:dPr>
            <m:begChr m:val="("/>
            <m:endChr m:val=")"/>
          </m:dPr>
          <m:e>
            <m:sSub>
              <m:e>
                <m:r>
                  <w:rPr>
                    <w:rFonts w:ascii="Cambria Math" w:hAnsi="Cambria Math"/>
                    <w:i/>
                    <w:sz w:val="28"/>
                    <w:szCs w:val="28"/>
                  </w:rPr>
                  <m:t xml:space="preserve">p</m:t>
                </m:r>
              </m:e>
              <m:sub>
                <m:r>
                  <m:rPr>
                    <m:sty m:val="p"/>
                  </m:rPr>
                  <w:rPr>
                    <w:rFonts w:ascii="Cambria Math" w:hAnsi="Cambria Math"/>
                    <w:i w:val="0"/>
                    <w:sz w:val="28"/>
                    <w:szCs w:val="28"/>
                  </w:rPr>
                  <m:t xml:space="preserve">альт,</m:t>
                </m:r>
                <m:r>
                  <w:rPr>
                    <w:rFonts w:ascii="Cambria Math" w:hAnsi="Cambria Math"/>
                    <w:i/>
                    <w:sz w:val="28"/>
                    <w:szCs w:val="28"/>
                  </w:rPr>
                  <m:t xml:space="preserve">k</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k</m:t>
                </m:r>
              </m:sub>
            </m:sSub>
          </m:e>
        </m:d>
      </m:oMath>
      <w:r>
        <w:rPr>
          <w:rFonts w:ascii="Times New Roman" w:cs="Times New Roman" w:eastAsia="Times New Roman" w:hAnsi="Times New Roman"/>
          <w:sz w:val="28"/>
          <w:szCs w:val="28"/>
        </w:rPr>
        <w:t xml:space="preserve">	(2.9)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E</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валовая годовая экономия по потоку k, млн руб.; Q</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технически доступный и фактически переданный объём по формуле (2.1); p</w:t>
      </w:r>
      <w:r>
        <w:rPr>
          <w:rFonts w:ascii="Times New Roman" w:cs="Times New Roman" w:eastAsia="Times New Roman" w:hAnsi="Times New Roman"/>
          <w:b w:val="false"/>
          <w:bCs w:val="false"/>
          <w:i w:val="false"/>
          <w:iCs w:val="false"/>
          <w:sz w:val="28"/>
          <w:szCs w:val="28"/>
          <w:vertAlign w:val="subscript"/>
        </w:rPr>
        <w:t xml:space="preserve">альт,k</w:t>
      </w:r>
      <w:r>
        <w:rPr>
          <w:rFonts w:ascii="Times New Roman" w:cs="Times New Roman" w:eastAsia="Times New Roman" w:hAnsi="Times New Roman"/>
          <w:b w:val="false"/>
          <w:bCs w:val="false"/>
          <w:i w:val="false"/>
          <w:iCs w:val="false"/>
          <w:sz w:val="28"/>
          <w:szCs w:val="28"/>
        </w:rPr>
        <w:t xml:space="preserve"> — альтернативная стоимость единицы ресурса для потребителя, то есть цена, которую он заплатил бы за замещаемый ресурс без обмена; c</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переменные затраты на единицу переданного ресурса (подготовка, транспорт, контроль качества).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формуле (2.9) нет цены обмена p</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rPr>
        <w:t xml:space="preserve">, и это сделано намеренно. Если потребитель покупает тепло у ГРЭС по цене p, его экономия равна p</w:t>
      </w:r>
      <w:r>
        <w:rPr>
          <w:rFonts w:ascii="Times New Roman" w:cs="Times New Roman" w:eastAsia="Times New Roman" w:hAnsi="Times New Roman"/>
          <w:b w:val="false"/>
          <w:bCs w:val="false"/>
          <w:i w:val="false"/>
          <w:iCs w:val="false"/>
          <w:sz w:val="28"/>
          <w:szCs w:val="28"/>
          <w:vertAlign w:val="subscript"/>
        </w:rPr>
        <w:t xml:space="preserve">альт</w:t>
      </w:r>
      <w:r>
        <w:rPr>
          <w:rFonts w:ascii="Times New Roman" w:cs="Times New Roman" w:eastAsia="Times New Roman" w:hAnsi="Times New Roman"/>
          <w:b w:val="false"/>
          <w:bCs w:val="false"/>
          <w:i w:val="false"/>
          <w:iCs w:val="false"/>
          <w:sz w:val="28"/>
          <w:szCs w:val="28"/>
        </w:rPr>
        <w:t xml:space="preserve"> − p, а дополнительная выручка ГРЭС равна p − c; сумма даёт p</w:t>
      </w:r>
      <w:r>
        <w:rPr>
          <w:rFonts w:ascii="Times New Roman" w:cs="Times New Roman" w:eastAsia="Times New Roman" w:hAnsi="Times New Roman"/>
          <w:b w:val="false"/>
          <w:bCs w:val="false"/>
          <w:i w:val="false"/>
          <w:iCs w:val="false"/>
          <w:sz w:val="28"/>
          <w:szCs w:val="28"/>
          <w:vertAlign w:val="subscript"/>
        </w:rPr>
        <w:t xml:space="preserve">альт</w:t>
      </w:r>
      <w:r>
        <w:rPr>
          <w:rFonts w:ascii="Times New Roman" w:cs="Times New Roman" w:eastAsia="Times New Roman" w:hAnsi="Times New Roman"/>
          <w:b w:val="false"/>
          <w:bCs w:val="false"/>
          <w:i w:val="false"/>
          <w:iCs w:val="false"/>
          <w:sz w:val="28"/>
          <w:szCs w:val="28"/>
        </w:rPr>
        <w:t xml:space="preserve"> − c и от цены не зависит. Цена важна для того, будет ли каждой стороне выгодно участвовать, но не для оценки созданной стоимости.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Каждый компонент эффекта требует своего подтверждения. Требования, а также наиболее вероятные источники двойного счёта сведены в таблицу 2.4.</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2.4</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Требования к подтверждению компонентов дополнительного эффекта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04"/>
        <w:gridCol w:w="1853"/>
        <w:gridCol w:w="1963"/>
        <w:gridCol w:w="2109"/>
        <w:gridCol w:w="2126"/>
      </w:tblGrid>
      <w:tr>
        <w:trPr>
          <w:cantSplit/>
          <w:tblHeader/>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Компонент</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Первичный документ</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Контрфактическая база</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Риск двойного счёта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Правило исключения</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Замещённое тепло</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Показания теплосчётчиков, счета</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Собственная котельная или закупка у теплоснабжающей организации</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Экономия топлива учтена и у ГРЭС, и у потребителя</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Учитывается только у потребителя, ГРЭС — по дополнительным затратам</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CO₂</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Акты приёмки, паспорт качества</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Закупка сжиженного CO₂ у внешнего поставщика</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Одновременный учёт выручки «Азота» и экономии потребителя</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Учитывается разность p</w:t>
            </w:r>
            <w:r>
              <w:rPr>
                <w:rFonts w:ascii="Times New Roman" w:cs="Times New Roman" w:eastAsia="Times New Roman" w:hAnsi="Times New Roman"/>
                <w:b w:val="false"/>
                <w:bCs w:val="false"/>
                <w:i w:val="false"/>
                <w:iCs w:val="false"/>
                <w:sz w:val="24"/>
                <w:szCs w:val="24"/>
                <w:vertAlign w:val="subscript"/>
              </w:rPr>
              <w:t xml:space="preserve">альт</w:t>
            </w:r>
            <w:r>
              <w:rPr>
                <w:rFonts w:ascii="Times New Roman" w:cs="Times New Roman" w:eastAsia="Times New Roman" w:hAnsi="Times New Roman"/>
                <w:b w:val="false"/>
                <w:bCs w:val="false"/>
                <w:i w:val="false"/>
                <w:iCs w:val="false"/>
                <w:sz w:val="24"/>
                <w:szCs w:val="24"/>
              </w:rPr>
              <w:t xml:space="preserve"> − c только для прироста продаж сверх базовых 32 тыс. т (п. 3.1.6)</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Акты, спецификации, счета ЭПП</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Закупка первичного сырья, вывоз отходов на полигон</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Выручка ЭПП и экономия резидента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Учитывается снижение затрат цепочки в целом</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Плата за НВОС</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 платы, данные учёта отходов</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Размещение отходов при неизменном выпуске</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Монетизация того же снижения размещения как экологического эффекта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Денежная оценка только по ставке платы</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Снижение выбросов CO₂</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 по методике учёта выбросов</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Выбросы без улавливания</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Отражение в цене CO₂ и как отдельного эффекта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Монетизация только при наличии правового основания; вычет по CBAM для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в напитках, теплицах и карбамиде невозможен</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платформы</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Смета, договоры, бухгалтерские документы</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Отсутствие платформы</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Неучтённые инвестиции и ремонт</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Полная стоимость владения, включая замену оборудования</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[5, 7, 18]</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Как следует из таблицы 2.4, риск двойного счёта присутствует в каждом компоненте, а самые трудные случаи связаны с экологической стороной. Снижение выбросов CO₂ на «Азоте» за счёт передачи диоксида углерода потребителю реально уменьшает эмиссию, но в России для этого предприятия нет действующего платежа за выбросы парниковых газов, и денежная оценка такого снижения не имеет правового основания. Включать его в ΔE нельзя; в таблицу эффектов оно входит натуральным показателем. Это не умаляет роли симбиоза как инструмента декарбонизации, которую подчёркивают И.Ю. Блам и С.Ю. Ковалев </w:t>
      </w:r>
      <w:r>
        <w:rPr>
          <w:rFonts w:ascii="Times New Roman" w:cs="Times New Roman" w:eastAsia="Times New Roman" w:hAnsi="Times New Roman"/>
          <w:b w:val="false"/>
          <w:bCs w:val="false"/>
          <w:i w:val="false"/>
          <w:iCs w:val="false"/>
          <w:sz w:val="28"/>
          <w:szCs w:val="28"/>
        </w:rPr>
        <w:t xml:space="preserve">[19]</w:t>
      </w:r>
      <w:r>
        <w:rPr>
          <w:rFonts w:ascii="Times New Roman" w:cs="Times New Roman" w:eastAsia="Times New Roman" w:hAnsi="Times New Roman"/>
          <w:b w:val="false"/>
          <w:bCs w:val="false"/>
          <w:i w:val="false"/>
          <w:iCs w:val="false"/>
          <w:sz w:val="28"/>
          <w:szCs w:val="28"/>
        </w:rPr>
        <w:t xml:space="preserve">, но означает, что климатический результат в российских условиях пока не имеет денежной оценки, пригодной для распределения. Р. Диас, М. Серральа и К. Пиньейру для португальского промышленного парка получили экономический эффект симбиоза главным образом за счёт избегания платежей в европейской системе торговли выбросами </w:t>
      </w:r>
      <w:r>
        <w:rPr>
          <w:rFonts w:ascii="Times New Roman" w:cs="Times New Roman" w:eastAsia="Times New Roman" w:hAnsi="Times New Roman"/>
          <w:b w:val="false"/>
          <w:bCs w:val="false"/>
          <w:i w:val="false"/>
          <w:iCs w:val="false"/>
          <w:sz w:val="28"/>
          <w:szCs w:val="28"/>
        </w:rPr>
        <w:t xml:space="preserve">[20]</w:t>
      </w:r>
      <w:r>
        <w:rPr>
          <w:rFonts w:ascii="Times New Roman" w:cs="Times New Roman" w:eastAsia="Times New Roman" w:hAnsi="Times New Roman"/>
          <w:b w:val="false"/>
          <w:bCs w:val="false"/>
          <w:i w:val="false"/>
          <w:iCs w:val="false"/>
          <w:sz w:val="28"/>
          <w:szCs w:val="28"/>
        </w:rPr>
        <w:t xml:space="preserve">; перенос такой оценки на Невинномысск без аналогичного платежа завысил бы результат.</w:t>
      </w:r>
      <w:r>
        <w:rPr>
          <w:rFonts w:ascii="Times New Roman" w:cs="Times New Roman" w:eastAsia="Times New Roman" w:hAnsi="Times New Roman"/>
          <w:b w:val="false"/>
          <w:bCs w:val="false"/>
          <w:i w:val="false"/>
          <w:iCs w:val="false"/>
          <w:sz w:val="28"/>
          <w:szCs w:val="28"/>
        </w:rPr>
        <w:t xml:space="preserve"> Экспортный довод здесь тоже не помогает. В окончательном режиме механизма трансграничной углеродной корректировки ЕС, действующем с 2026 г., переданный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вычитается из встроенных выбросов аммиака только при постоянном химическом связывании в продукте [29; 30]. Углекислота в напитках и теплицах, как и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карбамида, возвращается в атмосферу, поэтому углеродная часть эффекта по этим потокам равна нулю (п. 3.1.6).</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2.3.2. Демонстрационный расчёт для базового сценария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Методика проверена на демонстрационном сценарии, включающем четыре потока из таблицы 2.1: низкопотенциальное тепло ГРЭС, CO₂ «Азота», вторичное сырьё ЭПП и сокращение размещения отходов IV класса. Значения параметров приведены в таблице 2.5 с указанием статуса каждого из них. Нижний и верхний сценарии задают диапазон правдоподобных значений, а не крайние физические пределы.</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2.5</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Параметры демонстрационного сценария расчёта эффекта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90"/>
        <w:gridCol w:w="1282"/>
        <w:gridCol w:w="928"/>
        <w:gridCol w:w="1046"/>
        <w:gridCol w:w="1046"/>
        <w:gridCol w:w="2363"/>
      </w:tblGrid>
      <w:tr>
        <w:trPr>
          <w:cantSplit/>
          <w:tblHeader/>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Параметр</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Ед. изм.</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Нижний</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Базовый</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Верхний</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Статус и основание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Располагаемая тепловая мощность для передачи</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Гкал/ч</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438 тыс. Гкал в год при 8760 ч</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Коэффициент доступности тепла a</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0,5</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0,7</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сезонность спроса</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Альтернативная стоимость тепла низкого потенциала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руб./Гкал</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замещение с доведением параметров</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передачи тепла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руб./Гкал</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перекачка, потери</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Объём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сверх действующих продаж</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тыс. т/год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прирост к 32 тыс. т пищевой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 3.1.4)</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Альтернативная цена 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закупка у внешнего поставщика</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подготовки и доставки 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Объём вторичного сырья у резидентов</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тыс. т/год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при мощности ЭПП 190 тыс. т </w:t>
            </w:r>
            <w:r>
              <w:rPr>
                <w:rFonts w:ascii="Times New Roman" w:cs="Times New Roman" w:eastAsia="Times New Roman" w:hAnsi="Times New Roman"/>
                <w:b w:val="false"/>
                <w:bCs w:val="false"/>
                <w:i w:val="false"/>
                <w:iCs w:val="false"/>
                <w:sz w:val="24"/>
                <w:szCs w:val="24"/>
              </w:rPr>
              <w:t xml:space="preserve">[2]</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Экономия на логистике и посредниках</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выведенные из размещения</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тыс. т/год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Ставка платы за размещение отходов IV класса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663,2</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663,2</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663,2</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Базовая ставка </w:t>
            </w:r>
            <w:r>
              <w:rPr>
                <w:rFonts w:ascii="Times New Roman" w:cs="Times New Roman" w:eastAsia="Times New Roman" w:hAnsi="Times New Roman"/>
                <w:b w:val="false"/>
                <w:bCs w:val="false"/>
                <w:i w:val="false"/>
                <w:iCs w:val="false"/>
                <w:sz w:val="24"/>
                <w:szCs w:val="24"/>
              </w:rPr>
              <w:t xml:space="preserve">[18]</w:t>
            </w:r>
            <w:r>
              <w:rPr>
                <w:rFonts w:ascii="Times New Roman" w:cs="Times New Roman" w:eastAsia="Times New Roman" w:hAnsi="Times New Roman"/>
                <w:b w:val="false"/>
                <w:bCs w:val="false"/>
                <w:i w:val="false"/>
                <w:iCs w:val="false"/>
                <w:sz w:val="24"/>
                <w:szCs w:val="24"/>
              </w:rPr>
              <w:t xml:space="preserve"> без коэффициента индексации</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Вложения в теплотрассу (15 лет)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Вложения в узел CO₂ (15 лет)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Вложения в платформу (7 лет)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90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телеметрия и программный комплекс</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Эксплуатация платформы</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Издержки сделок и аудита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Ставка дисконтирования r</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для реальных денежных потоков</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2.5 видно, что подавляющее большинство параметров имеет статус допущения. Только ставка платы за НВОС и мощность экопромышленного парка взяты из нормативного акта и открытого источника. Это не недостаток расчёта, а честная фиксация того, что известно, и одновременно перечень данных, которые оператор должен получить у участников в первую очередь. Базовая ставка платы 663,2 руб./т взята без коэффициента индексации, применяемого к ставкам в текущем году, поэтому компонент НВОС в расчёте занижен; это сделано, чтобы оценка оставалась консервативной и не зависела от года применения.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Альтернативная стоимость тепла требует пояснения. Речь идёт о низкопотенциальном тепле, которое ГРЭС отводит в окружающую среду через систему охлаждения, а не о паре, замещающем собственную котельную потребителя. Для пара альтернативная стоимость определяется ценой газа и была бы в несколько раз выше, но пар используется в собственном цикле станции, и его свободный объём не установлен. Низкопотенциальное тепло пригодно для тепличных хозяйств, рыбоводства, подогрева технологической воды; его ценность для потребителя ограничена затратами на доведение параметров, поэтому значение 360 руб./Гкал принято как сценарное и подлежит проверке.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Результат расчёта по формулам (2.7)–(2.9) для базового сценария представлен в таблице 2.6. Кроме итоговых величин таблица показывает чистый вклад каждого потока, то есть его валовую экономию за вычетом относящихся к нему капитальных затрат.</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2.6</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Расчёт дополнительного эффекта экоплатформы в базовом сценарии, млн руб. в год</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494"/>
        <w:gridCol w:w="1953"/>
        <w:gridCol w:w="1164"/>
        <w:gridCol w:w="1518"/>
        <w:gridCol w:w="1226"/>
      </w:tblGrid>
      <w:tr>
        <w:trPr>
          <w:cantSplit/>
          <w:tblHeader/>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Компонент</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Формула расчёта</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Валовая экономия</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Капитальные затраты (аннуитет)</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Чистый вклад</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ГРЭС</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438 000 · 0,5 · (360 − 50)</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67,9</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39,4</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28,4</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CO₂ «Азота»</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12 000 · (8000 − 2000), прирост сверх 32 тыс. т</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72,0</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13,1</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58,9</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30 000 · 2000</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Плата за НВОС</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60 000 · 663,2</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39,8</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39,8</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Итого по потокам</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239,7</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52,6</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187,1</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Платформа: аннуитет вложений</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120 · 0,2054</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24,6</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−24,6</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Эксплуатация платформы</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Издержки сделок и аудита</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−15,0</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Дополнительный эффект ΔE</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Симбиотический дивиденд SD при α = 0,10</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(2.7)–(2.9) и (2.11) с параметрами таблицы 2.5; коэффициенты аннуитета 0,1315 (15 лет) и 0,2054 (7 лет) при r = 0,10.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2.6 даёт три результата. Валовая экономия базового сценария около 240 млн руб. в год, а чистый эффект после вычета всех затрат — около 117 млн руб., то есть меньше половины валовой величины. Больше всего чистый эффект снижают затраты самой платформы: вместе с издержками сделок они составляют около 70 млн руб. в год, или 29 % валовой экономии. Наименее выгодным оказывается тепловой поток: его валовая экономия сопоставима с потоком CO₂, но более половины её поглощают вложения в теплотрассу, поэтому чистый вклад тепла вдвое меньше.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Последнее наблюдение имеет управленческое значение. Тепловой обмен, который в публикациях о Невинномысске обычно ставится на первое место, оказывается самым капиталоёмким и наиболее зависимым от загрузки. Если теплотрасса финансируется участниками, а не в порядке государственного или муниципального партнёрства, для тепла сужается и ценовой коридор (§ 2.4).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Вклад потока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требует оговорки, которой нет у других потоков. Технологический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высокой концентрации образуется на «Азоте» в объёме около 1,5 млн т в год, и действующая установка использует лишь около 2 % этого количества (п. 3.1.4). Ограничение здесь создаёт спрос, а не предложение. Поэтому 12 тыс. т в таблице 2.6 означают прирост совокупных продаж сверх базовых 32 тыс. т, а не любые поставки резидентам ТОСЭР. Если резидент купит углекислоту, прежде уходившую производителю напитков, договор появится, а совокупные продажи не вырастут: для системы это перераспределение покупателей. Окажись переключением половина поставок резидентам, чистый вклад потока при тех же вложениях снизится с 58,9 до 22,9 млн руб. в год, дополнительный эффект ΔE — со 117,4 до 81,4 млн руб., симбиотический дивиденд при α = 0,10 — с 11,7 до 8,1 млн руб. Проверить это оператор сможет только по помесячной отгрузке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всем покупателям; запрос таких данных включён в § 3.5.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перехода от валовой экономии к дивиденду показана на рисунке 2.2.</w:t>
      </w:r>
    </w:p>
    <w:p>
      <w:pPr>
        <w:keepNext/>
        <w:jc w:val="center"/>
      </w:pPr>
      <w:r>
        <w:drawing>
          <wp:inline distT="0" distB="0" distL="0" distR="0">
            <wp:extent cx="5715000" cy="3324225"/>
            <wp:effectExtent t="0" r="0" b="0" l="0"/>
            <wp:docPr id="1" name="fig2_2.svg" descr="fig2_2.svg" title="fig2_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5715000" cy="3324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2.2 – Переход от валовой экономии к дополнительному эффекту и симбиотическому дивиденду в базовом сценарии</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рассчитано автором по данным таблиц 2.5 и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рисунке 2.2 хорошо видно соотношение величин: столбец симбиотического дивиденда составляет около 5 % валовой экономии. Именно эта сумма поступает в распределительный механизм, тогда как остальная часть чистого эффекта остаётся у сторон обмена через цену. Для оценки стимулов участия это различие принципиально: основной выигрыш резидента возникает в самой сделке, а дивиденд играет роль дополнительной премии и источника финансирования общих функций.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Годовой эффект не говорит об окупаемости. Для оценки инвестиционной привлекательности применяется чистая приведённая стоимость:</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m:rPr>
            <m:sty m:val="p"/>
          </m:rPr>
          <w:rPr>
            <w:rFonts w:ascii="Cambria Math" w:hAnsi="Cambria Math"/>
            <w:i w:val="0"/>
            <w:sz w:val="28"/>
            <w:szCs w:val="28"/>
          </w:rPr>
          <m:t xml:space="preserve">NPV</m:t>
        </m:r>
        <m:r>
          <m:rPr>
            <m:sty m:val="p"/>
          </m:rPr>
          <w:rPr>
            <w:rFonts w:ascii="Cambria Math" w:hAnsi="Cambria Math"/>
            <w:i w:val="0"/>
            <w:sz w:val="28"/>
            <w:szCs w:val="28"/>
          </w:rPr>
          <m:t xml:space="preserve"> = −</m:t>
        </m:r>
        <m:sSub>
          <m:e>
            <m:r>
              <w:rPr>
                <w:rFonts w:ascii="Cambria Math" w:hAnsi="Cambria Math"/>
                <w:i/>
                <w:sz w:val="28"/>
                <w:szCs w:val="28"/>
              </w:rPr>
              <m:t xml:space="preserve">K</m:t>
            </m:r>
          </m:e>
          <m:sub>
            <m:r>
              <m:rPr>
                <m:sty m:val="p"/>
              </m:rPr>
              <w:rPr>
                <w:rFonts w:ascii="Cambria Math" w:hAnsi="Cambria Math"/>
                <w:i w:val="0"/>
                <w:sz w:val="28"/>
                <w:szCs w:val="28"/>
              </w:rPr>
              <m:t xml:space="preserve">0</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t</m:t>
            </m:r>
            <m:r>
              <m:rPr>
                <m:sty m:val="p"/>
              </m:rPr>
              <w:rPr>
                <w:rFonts w:ascii="Cambria Math" w:hAnsi="Cambria Math"/>
                <w:i w:val="0"/>
                <w:sz w:val="28"/>
                <w:szCs w:val="28"/>
              </w:rPr>
              <m:t xml:space="preserve">=1</m:t>
            </m:r>
          </m:sub>
          <m:sup>
            <m:r>
              <w:rPr>
                <w:rFonts w:ascii="Cambria Math" w:hAnsi="Cambria Math"/>
                <w:i/>
                <w:sz w:val="28"/>
                <w:szCs w:val="28"/>
              </w:rPr>
              <m:t xml:space="preserve">T</m:t>
            </m:r>
          </m:sup>
          <m:e>
            <m:f>
              <m:num>
                <m:sSub>
                  <m:e>
                    <m:r>
                      <w:rPr>
                        <w:rFonts w:ascii="Cambria Math" w:hAnsi="Cambria Math"/>
                        <w:i/>
                        <w:sz w:val="28"/>
                        <w:szCs w:val="28"/>
                      </w:rPr>
                      <m:t xml:space="preserve">CF</m:t>
                    </m:r>
                  </m:e>
                  <m:sub>
                    <m:r>
                      <w:rPr>
                        <w:rFonts w:ascii="Cambria Math" w:hAnsi="Cambria Math"/>
                        <w:i/>
                        <w:sz w:val="28"/>
                        <w:szCs w:val="28"/>
                      </w:rPr>
                      <m:t xml:space="preserve">t</m:t>
                    </m:r>
                  </m:sub>
                </m:sSub>
              </m:num>
              <m:den>
                <m:sSup>
                  <m:e>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r</m:t>
                        </m:r>
                      </m:e>
                    </m:d>
                  </m:e>
                  <m:sup>
                    <m:r>
                      <w:rPr>
                        <w:rFonts w:ascii="Cambria Math" w:hAnsi="Cambria Math"/>
                        <w:i/>
                        <w:sz w:val="28"/>
                        <w:szCs w:val="28"/>
                      </w:rPr>
                      <m:t xml:space="preserve">t</m:t>
                    </m:r>
                  </m:sup>
                </m:sSup>
              </m:den>
            </m:f>
          </m:e>
        </m:nary>
      </m:oMath>
      <w:r>
        <w:rPr>
          <w:rFonts w:ascii="Times New Roman" w:cs="Times New Roman" w:eastAsia="Times New Roman" w:hAnsi="Times New Roman"/>
          <w:sz w:val="28"/>
          <w:szCs w:val="28"/>
        </w:rPr>
        <w:t xml:space="preserve">	(2.10)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NPV — чистая приведённая стоимость проекта экоплатформы, млн руб.; K</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первоначальные капитальные вложения; CF</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чистый денежный поток периода t, равный валовой экономии за вычетом эксплуатационных затрат и издержек сделок; r — ставка дисконтирования; T — горизонт анализа, лет.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 первоначальных вложениях 520 млн руб., годовом денежном потоке 194,7 млн руб. и горизонте 10 лет NPV базового сценария составляет 676 млн руб., внутренняя норма доходности — около 36 %, дисконтированный срок окупаемости — 4 года. В нижнем сценарии NPV отрицательна (−381 млн руб.), в верхнем достигает 1750 млн руб. Разброс означает, что проект в целом окупается, если параметры не принимают одновременно худших значений; насколько вероятно такое совпадение, рассматривается в § 2.3.4.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Симбиотический дивиденд начисляется только на подтверждённый положительный эффект:</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SD</m:t>
        </m:r>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r>
          <w:rPr>
            <w:rFonts w:ascii="Cambria Math" w:hAnsi="Cambria Math"/>
            <w:i/>
            <w:sz w:val="28"/>
            <w:szCs w:val="28"/>
          </w:rPr>
          <m:t xml:space="preserve">α</m:t>
        </m:r>
        <m:r>
          <m:rPr>
            <m:sty m:val="p"/>
          </m:rPr>
          <w:rPr>
            <w:rFonts w:ascii="Cambria Math" w:hAnsi="Cambria Math"/>
            <w:i w:val="0"/>
            <w:sz w:val="28"/>
            <w:szCs w:val="28"/>
          </w:rPr>
          <m:t xml:space="preserve">·</m:t>
        </m:r>
        <m:r>
          <m:rPr>
            <m:sty m:val="p"/>
          </m:rPr>
          <w:rPr>
            <w:rFonts w:ascii="Cambria Math" w:hAnsi="Cambria Math"/>
            <w:i w:val="0"/>
            <w:sz w:val="28"/>
            <w:szCs w:val="28"/>
          </w:rPr>
          <m:t xml:space="preserve">max</m:t>
        </m:r>
        <m:d>
          <m:dPr>
            <m:begChr m:val="["/>
            <m:endChr m:val="]"/>
          </m:dPr>
          <m:e>
            <m:r>
              <m:rPr>
                <m:sty m:val="p"/>
              </m:rPr>
              <w:rPr>
                <w:rFonts w:ascii="Cambria Math" w:hAnsi="Cambria Math"/>
                <w:i w:val="0"/>
                <w:sz w:val="28"/>
                <w:szCs w:val="28"/>
              </w:rPr>
              <m:t xml:space="preserve">0; </m:t>
            </m:r>
            <m:sSub>
              <m:e>
                <m:r>
                  <w:rPr>
                    <w:rFonts w:ascii="Cambria Math" w:hAnsi="Cambria Math"/>
                    <w:i/>
                    <w:sz w:val="28"/>
                    <w:szCs w:val="28"/>
                  </w:rPr>
                  <m:t xml:space="preserve">ΔE</m:t>
                </m:r>
              </m:e>
              <m:sub>
                <m:r>
                  <m:rPr>
                    <m:sty m:val="p"/>
                  </m:rPr>
                  <w:rPr>
                    <w:rFonts w:ascii="Cambria Math" w:hAnsi="Cambria Math"/>
                    <w:i w:val="0"/>
                    <w:sz w:val="28"/>
                    <w:szCs w:val="28"/>
                  </w:rPr>
                  <m:t xml:space="preserve">подтв</m:t>
                </m:r>
              </m:sub>
            </m:sSub>
            <m:d>
              <m:dPr>
                <m:begChr m:val="("/>
                <m:endChr m:val=")"/>
              </m:dPr>
              <m:e>
                <m:r>
                  <w:rPr>
                    <w:rFonts w:ascii="Cambria Math" w:hAnsi="Cambria Math"/>
                    <w:i/>
                    <w:sz w:val="28"/>
                    <w:szCs w:val="28"/>
                  </w:rPr>
                  <m:t xml:space="preserve">t</m:t>
                </m:r>
              </m:e>
            </m:d>
          </m:e>
        </m:d>
      </m:oMath>
      <w:r>
        <w:rPr>
          <w:rFonts w:ascii="Times New Roman" w:cs="Times New Roman" w:eastAsia="Times New Roman" w:hAnsi="Times New Roman"/>
          <w:sz w:val="28"/>
          <w:szCs w:val="28"/>
        </w:rPr>
        <w:t xml:space="preserve">	(2.11)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SD(t) — симбиотический дивиденд за период t, млн руб.; α — доля подтверждённого эффекта, направляемая в распределительный механизм, фиксируется соглашением участников до начала периода (в модели α ∈ [0,08; 0,12]); ΔE</w:t>
      </w:r>
      <w:r>
        <w:rPr>
          <w:rFonts w:ascii="Times New Roman" w:cs="Times New Roman" w:eastAsia="Times New Roman" w:hAnsi="Times New Roman"/>
          <w:b w:val="false"/>
          <w:bCs w:val="false"/>
          <w:i w:val="false"/>
          <w:iCs w:val="false"/>
          <w:sz w:val="28"/>
          <w:szCs w:val="28"/>
          <w:vertAlign w:val="subscript"/>
        </w:rPr>
        <w:t xml:space="preserve">подтв</w:t>
      </w:r>
      <w:r>
        <w:rPr>
          <w:rFonts w:ascii="Times New Roman" w:cs="Times New Roman" w:eastAsia="Times New Roman" w:hAnsi="Times New Roman"/>
          <w:b w:val="false"/>
          <w:bCs w:val="false"/>
          <w:i w:val="false"/>
          <w:iCs w:val="false"/>
          <w:sz w:val="28"/>
          <w:szCs w:val="28"/>
        </w:rPr>
        <w:t xml:space="preserve">(t) — эффект (2.7), подтверждённый независимым аудитом.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Оператор функции max в формуле (2.11) выражает правило, которое кажется очевидным, но часто нарушается: при отрицательном эффекте дивиденд не начисляется и не переходит в долг будущих периодов. В нижнем сценарии ΔE = −51,8 млн руб., и SD = 0; в базовом SD = 11,7 млн руб., в верхнем — 28,9 млн руб. При изменении α в пределах 0,08–0,12 дивиденд базового сценария меняется от 9,4 до 14,1 млн руб. Подчеркнём, что дивиденд в данной трактовке не совпадает с дивидендом акционерного общества и не предполагает автоматического возникновения бюджетного дохода.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2.3.3. Экономически оптимальная связность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(2.7) содержит затраты, которые растут вместе с числом связей: каждая новая пара требует подключения, согласования, учёта и аудита. Если представить валовой эффект как функцию связности G·φ(C), а затраты связности — как возрастающую выпуклую функцию T(C), чистый результат сети описывается выражением:</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Π</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r>
          <w:rPr>
            <w:rFonts w:ascii="Cambria Math" w:hAnsi="Cambria Math"/>
            <w:i/>
            <w:sz w:val="28"/>
            <w:szCs w:val="28"/>
          </w:rPr>
          <m:t xml:space="preserve">G</m:t>
        </m:r>
        <m:r>
          <m:rPr>
            <m:sty m:val="p"/>
          </m:rPr>
          <w:rPr>
            <w:rFonts w:ascii="Cambria Math" w:hAnsi="Cambria Math"/>
            <w:i w:val="0"/>
            <w:sz w:val="28"/>
            <w:szCs w:val="28"/>
          </w:rPr>
          <m:t xml:space="preserve">·</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
          <m:e>
            <m:r>
              <w:rPr>
                <w:rFonts w:ascii="Cambria Math" w:hAnsi="Cambria Math"/>
                <w:i/>
                <w:sz w:val="28"/>
                <w:szCs w:val="28"/>
              </w:rPr>
              <m:t xml:space="preserve">T</m:t>
            </m:r>
          </m:e>
          <m:sub>
            <m:r>
              <m:rPr>
                <m:sty m:val="p"/>
              </m:rPr>
              <w:rPr>
                <w:rFonts w:ascii="Cambria Math" w:hAnsi="Cambria Math"/>
                <w:i w:val="0"/>
                <w:sz w:val="28"/>
                <w:szCs w:val="28"/>
              </w:rPr>
              <m:t xml:space="preserve">0</m:t>
            </m:r>
          </m:sub>
        </m:sSub>
        <m:r>
          <m:rPr>
            <m:sty m:val="p"/>
          </m:rPr>
          <w:rPr>
            <w:rFonts w:ascii="Cambria Math" w:hAnsi="Cambria Math"/>
            <w:i w:val="0"/>
            <w:sz w:val="28"/>
            <w:szCs w:val="28"/>
          </w:rPr>
          <m:t xml:space="preserve"> − </m:t>
        </m:r>
        <m:r>
          <w:rPr>
            <w:rFonts w:ascii="Cambria Math" w:hAnsi="Cambria Math"/>
            <w:i/>
            <w:sz w:val="28"/>
            <w:szCs w:val="28"/>
          </w:rPr>
          <m:t xml:space="preserve">τ</m:t>
        </m:r>
        <m:r>
          <m:rPr>
            <m:sty m:val="p"/>
          </m:rPr>
          <w:rPr>
            <w:rFonts w:ascii="Cambria Math" w:hAnsi="Cambria Math"/>
            <w:i w:val="0"/>
            <w:sz w:val="28"/>
            <w:szCs w:val="28"/>
          </w:rPr>
          <m:t xml:space="preserve">·</m:t>
        </m:r>
        <m:sSup>
          <m:e>
            <m:r>
              <w:rPr>
                <w:rFonts w:ascii="Cambria Math" w:hAnsi="Cambria Math"/>
                <w:i/>
                <w:sz w:val="28"/>
                <w:szCs w:val="28"/>
              </w:rPr>
              <m:t xml:space="preserve">C</m:t>
            </m:r>
          </m:e>
          <m:sup>
            <m:r>
              <m:rPr>
                <m:sty m:val="p"/>
              </m:rPr>
              <w:rPr>
                <w:rFonts w:ascii="Cambria Math" w:hAnsi="Cambria Math"/>
                <w:i w:val="0"/>
                <w:sz w:val="28"/>
                <w:szCs w:val="28"/>
              </w:rPr>
              <m:t xml:space="preserve">2</m:t>
            </m:r>
          </m:sup>
        </m:sSup>
      </m:oMath>
      <w:r>
        <w:rPr>
          <w:rFonts w:ascii="Times New Roman" w:cs="Times New Roman" w:eastAsia="Times New Roman" w:hAnsi="Times New Roman"/>
          <w:sz w:val="28"/>
          <w:szCs w:val="28"/>
        </w:rPr>
        <w:t xml:space="preserve">	(2.12)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Π(C) — чистый результат сети при связности C, млн руб. в год; G — валовой эффект при полной реализации допустимых обменов; φ(C) — функция (2.5); T</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постоянные затраты платформы, не зависящие от числа связей; τ — коэффициент роста издержек связности, отражающий удорожание каждой следующей связи.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Квадратичная форма издержек следует из того, что число попарных согласований растёт быстрее числа участников, а новые связи подключают всё более удалённых и менее подготовленных партнёров. Максимум функции (2.12) достигается при связности C\*, удовлетворяющей условию равенства предельной выгоды и предельных издержек: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G</m:t>
        </m:r>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p>
          <m:e>
            <m:r>
              <m:rPr>
                <m:sty m:val="p"/>
              </m:rPr>
              <w:rPr>
                <w:rFonts w:ascii="Cambria Math" w:hAnsi="Cambria Math"/>
                <w:i w:val="0"/>
                <w:sz w:val="28"/>
                <w:szCs w:val="28"/>
              </w:rPr>
              <m:t xml:space="preserve">e</m:t>
            </m:r>
          </m:e>
          <m:sup>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p>
              <m:e>
                <m:r>
                  <w:rPr>
                    <w:rFonts w:ascii="Cambria Math" w:hAnsi="Cambria Math"/>
                    <w:i/>
                    <w:sz w:val="28"/>
                    <w:szCs w:val="28"/>
                  </w:rPr>
                  <m:t xml:space="preserve">C</m:t>
                </m:r>
              </m:e>
              <m:sup>
                <m:r>
                  <m:rPr>
                    <m:sty m:val="p"/>
                  </m:rPr>
                  <w:rPr>
                    <w:rFonts w:ascii="Cambria Math" w:hAnsi="Cambria Math"/>
                    <w:i w:val="0"/>
                    <w:sz w:val="28"/>
                    <w:szCs w:val="28"/>
                  </w:rPr>
                  <m:t xml:space="preserve">*</m:t>
                </m:r>
              </m:sup>
            </m:sSup>
          </m:sup>
        </m:sSup>
        <m:r>
          <m:rPr>
            <m:sty m:val="p"/>
          </m:rPr>
          <w:rPr>
            <w:rFonts w:ascii="Cambria Math" w:hAnsi="Cambria Math"/>
            <w:i w:val="0"/>
            <w:sz w:val="28"/>
            <w:szCs w:val="28"/>
          </w:rPr>
          <m:t xml:space="preserve"> = 2</m:t>
        </m:r>
        <m:r>
          <w:rPr>
            <w:rFonts w:ascii="Cambria Math" w:hAnsi="Cambria Math"/>
            <w:i/>
            <w:sz w:val="28"/>
            <w:szCs w:val="28"/>
          </w:rPr>
          <m:t xml:space="preserve">τ</m:t>
        </m:r>
        <m:r>
          <m:rPr>
            <m:sty m:val="p"/>
          </m:rPr>
          <w:rPr>
            <w:rFonts w:ascii="Cambria Math" w:hAnsi="Cambria Math"/>
            <w:i w:val="0"/>
            <w:sz w:val="28"/>
            <w:szCs w:val="28"/>
          </w:rPr>
          <m:t xml:space="preserve">·</m:t>
        </m:r>
        <m:sSup>
          <m:e>
            <m:r>
              <w:rPr>
                <w:rFonts w:ascii="Cambria Math" w:hAnsi="Cambria Math"/>
                <w:i/>
                <w:sz w:val="28"/>
                <w:szCs w:val="28"/>
              </w:rPr>
              <m:t xml:space="preserve">C</m:t>
            </m:r>
          </m:e>
          <m:sup>
            <m:r>
              <m:rPr>
                <m:sty m:val="p"/>
              </m:rPr>
              <w:rPr>
                <w:rFonts w:ascii="Cambria Math" w:hAnsi="Cambria Math"/>
                <w:i w:val="0"/>
                <w:sz w:val="28"/>
                <w:szCs w:val="28"/>
              </w:rPr>
              <m:t xml:space="preserve">*</m:t>
            </m:r>
          </m:sup>
        </m:sSup>
      </m:oMath>
      <w:r>
        <w:rPr>
          <w:rFonts w:ascii="Times New Roman" w:cs="Times New Roman" w:eastAsia="Times New Roman" w:hAnsi="Times New Roman"/>
          <w:sz w:val="28"/>
          <w:szCs w:val="28"/>
        </w:rPr>
        <w:t xml:space="preserve">	(2.13)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 — экономически оптимальная связность; левая часть — предельный валовой эффект, правая — предельные издержки связности; остальные обозначения те же, что в (2.12).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Уравнение (2.13) не имеет решения в элементарных функциях и решается численно. Сопоставление двух режимов выполнено на рисунке 2.3: без платформы при k = 5 и τ = 2000 млн руб. и с платформой, которая ускоряет реализацию эффекта (k = 7) и снижает удорожание связей (τ = 1200 млн руб.). Валовой потенциал G принят равным 400 млн руб., что соответствует округлённой валовой экономии верхнего сценария, T</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30 млн руб.</w:t>
      </w:r>
    </w:p>
    <w:p>
      <w:pPr>
        <w:keepNext/>
        <w:jc w:val="center"/>
      </w:pPr>
      <w:r>
        <w:drawing>
          <wp:inline distT="0" distB="0" distL="0" distR="0">
            <wp:extent cx="5715000" cy="3533775"/>
            <wp:effectExtent t="0" r="0" b="0" l="0"/>
            <wp:docPr id="1" name="fig2_3.svg" descr="fig2_3.svg" title="fig2_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5715000" cy="35337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2.3 – Экономически оптимальная связность сети без платформы и с платформой</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(2.5), (2.12) и (2.13).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Согласно рисунку 2.3, платформа действует через два канала одновременно. Она поднимает кривую валового эффекта и опускает кривую издержек, в результате оптимальная связность смещается с 0,19 до 0,23, а максимальный чистый результат растёт со 143 до 227 млн руб. в год. Прирост на 84 млн руб. в год и есть вклад платформы в данной условной постановке. Вывод о направлении сдвига устойчив: он сохраняется при любых G &gt; 0, если платформа увеличивает k и уменьшает τ. Величина сдвига, напротив, полностью определяется принятыми параметрами, и до их оценки по данным участников численные значения C\* не следует использовать как целевые ориентиры.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Существенно и то, что оптимум лежит заметно ниже единицы. Попытка вовлечь в обмен все допустимые связи привела бы к тому, что издержки последних обменов превысили бы их выгоду. Целевым показателем для оператора поэтому служит не максимальная связность, а приближение к C\*, а в отчётности — величина Π, а не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2.3.4. Чувствительность и вероятностная устойчивость результата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Детерминированный расчёт отвечает на вопрос, каков эффект при заданных параметрах. Для управленческого решения важнее другой вопрос: при каких значениях параметров эффект меняет знак и насколько такие значения вероятны. Начнём с однофакторного анализа: каждый параметр или группа связанных параметров поочерёдно переводится на нижнее и верхнее значение при базовых значениях остальных. Результат показан на рисунке 2.4.</w:t>
      </w:r>
    </w:p>
    <w:p>
      <w:pPr>
        <w:keepNext/>
        <w:jc w:val="center"/>
      </w:pPr>
      <w:r>
        <w:drawing>
          <wp:inline distT="0" distB="0" distL="0" distR="0">
            <wp:extent cx="5715000" cy="3114675"/>
            <wp:effectExtent t="0" r="0" b="0" l="0"/>
            <wp:docPr id="1" name="fig2_4.svg" descr="fig2_4.svg" title="fig2_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5715000" cy="31146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2.4 – Чувствительность дополнительного эффекта ΔE к параметрам демонстрационного сценария</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рассчитано автором по данным таблицы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Наибольшее влияние на ΔE оказывают экономия на вторичном сырье (±30 млн руб.), доступность теплового потока (±27 млн руб.) и затраты платформы и сделок (±21 млн руб.). Цены альтернативных ресурсов, которым в обсуждении симбиоза обычно уделяется главное внимание, оказываются на последних местах. Отсюда следует практический вывод для обследования предприятий: точность оценки определяется прежде всего данными о фактической экономии на логистике вторичного сырья, графике теплопотребления и смете платформы. Ни один параметр, изменённый в одиночку, не делает эффект отрицательным: наименьшее значение ΔE при однофакторном изменении составляет около 87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Однофакторный анализ не учитывает одновременного отклонения параметров. Нижний сценарий, где все параметры приняли худшие значения, даёт ΔE = −51,8 млн руб., но совпадение всех худших значений маловероятно. Для оценки вероятности отрицательного результата проведён вероятностный анализ методом Монте-Карло: каждый параметр задан треугольным распределением с модой в базовом значении и границами в нижнем и верхнем, выполнено 20 000 испытаний. Поскольку параметры в действительности могут быть связаны (спад промышленного производства одновременно снижает объёмы всех потоков), расчёт повторён для трёх уровней корреляции ρ, заданной через общий фактор</w:t>
      </w:r>
      <w:r>
        <w:rPr>
          <w:rStyle w:val="FootnoteReference"/>
        </w:rPr>
        <w:footnoteReference w:id="10"/>
      </w:r>
      <w:r>
        <w:rPr>
          <w:rFonts w:ascii="Times New Roman" w:cs="Times New Roman" w:eastAsia="Times New Roman" w:hAnsi="Times New Roman"/>
          <w:b w:val="false"/>
          <w:bCs w:val="false"/>
          <w:i w:val="false"/>
          <w:iCs w:val="false"/>
          <w:sz w:val="28"/>
          <w:szCs w:val="28"/>
        </w:rPr>
        <w:t xml:space="preserve">.</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2.7</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Вероятностные характеристики дополнительного эффекта ΔE при различной корреляции параметров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74"/>
        <w:gridCol w:w="2065"/>
        <w:gridCol w:w="1447"/>
        <w:gridCol w:w="1674"/>
        <w:gridCol w:w="1895"/>
      </w:tblGrid>
      <w:tr>
        <w:trPr>
          <w:cantSplit/>
          <w:tblHeader/>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Корреляция параметров ρ</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Среднее ΔE, млн руб./год</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5-й процентиль</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95-й процентиль</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Вероятность ΔE &gt; 0</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 (независимые)</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105,9</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68,6</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144,5</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&gt; 0,999</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0,5</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107,8</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23,2</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197,1</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0,987</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0,8</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108,8</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5,1</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218,3</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0,961</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20 000 испытаний для каждого значения ρ, треугольные распределения по таблице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Данные таблицы 2.7 свидетельствуют: при независимых параметрах отрицательный эффект практически исключён. С ростом корреляции распределение расширяется, но вероятность положительного эффекта остаётся выше 0,96 даже при сильной связи параметров. Среднее значение ниже детерминированного базового (117,4 млн руб.), поскольку распределения части параметров асимметричны: худшая цена CO₂ отстоит от базовой на 2000 руб./т, а лучшая совпадает с ней.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об устойчивости нужно ограничить. Он относится к принятому диапазону параметров и не переносится на ситуацию, когда фактические значения выйдут за его пределы, например если доступность тепла окажется близкой к нулю или вложения в платформу удвоятся. Поэтому результат таблицы 2.7 формулируется как опровержимое утверждение: если обследование предприятий покажет, что фактическая экономия на вторичном сырье ниже 1000 руб./т, а доступность тепла ниже 0,3, оценка эффекта должна быть пересмотрена, и вероятность убытка вырастет. Методологически это соответствует требованию глобального анализа чувствительности: вывод об устойчивости модели имеет смысл только вместе с явно заданной областью значений входных параметров.</w:t>
      </w:r>
      <w:r>
        <w:rPr>
          <w:rFonts w:ascii="Times New Roman" w:cs="Times New Roman" w:eastAsia="Times New Roman" w:hAnsi="Times New Roman"/>
          <w:b w:val="false"/>
          <w:bCs w:val="false"/>
          <w:i w:val="false"/>
          <w:iCs w:val="false"/>
          <w:sz w:val="28"/>
          <w:szCs w:val="28"/>
        </w:rPr>
        <w:t xml:space="preserve"> Распределения параметров, оцениваемых по аналогам, уточнены в § 3.1 и используются в имитационных расчётах главы 3.</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 Договорная цена симбиотического ресурса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2.4.1. Цена обмена как условие участия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 2.3 следует, что цена обмена не меняет величину созданного эффекта. Она определяет, как этот эффект делится между поставщиком и потребителем, и тем самым решает, захочет ли каждый из них участвовать. При слишком низкой цене поставщику выгоднее сбросить тепло в градирню или выпустить CO₂ в атмосферу, при слишком высокой потребитель предпочтёт прежний источник ресурса. Цена, приемлемая для обоих, существует только внутри коридора, границы которого задаются альтернативами сторон.</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литературе цену передачи ресурса между подразделениями или аффилированными компаниями называют трансфертной. Для экоплатформы этот термин неточен. Большинство пар участников в Невинномысске не являются взаимозависимыми лицами в смысле налогового законодательства, и их сделки — обычные коммерческие договоры, а контроль цен по правилам раздела V.1 Налогового кодекса к ним не применяется </w:t>
      </w:r>
      <w:r>
        <w:rPr>
          <w:rFonts w:ascii="Times New Roman" w:cs="Times New Roman" w:eastAsia="Times New Roman" w:hAnsi="Times New Roman"/>
          <w:b w:val="false"/>
          <w:bCs w:val="false"/>
          <w:i w:val="false"/>
          <w:iCs w:val="false"/>
          <w:sz w:val="28"/>
          <w:szCs w:val="28"/>
        </w:rPr>
        <w:t xml:space="preserve">[11]</w:t>
      </w:r>
      <w:r>
        <w:rPr>
          <w:rFonts w:ascii="Times New Roman" w:cs="Times New Roman" w:eastAsia="Times New Roman" w:hAnsi="Times New Roman"/>
          <w:b w:val="false"/>
          <w:bCs w:val="false"/>
          <w:i w:val="false"/>
          <w:iCs w:val="false"/>
          <w:sz w:val="28"/>
          <w:szCs w:val="28"/>
        </w:rPr>
        <w:t xml:space="preserve">. Для тех пар, которые входят в одну группу, действует принцип «вытянутой руки», согласно которому цена должна соответствовать условиям сделки между независимыми лицами </w:t>
      </w:r>
      <w:r>
        <w:rPr>
          <w:rFonts w:ascii="Times New Roman" w:cs="Times New Roman" w:eastAsia="Times New Roman" w:hAnsi="Times New Roman"/>
          <w:b w:val="false"/>
          <w:bCs w:val="false"/>
          <w:i w:val="false"/>
          <w:iCs w:val="false"/>
          <w:sz w:val="28"/>
          <w:szCs w:val="28"/>
        </w:rPr>
        <w:t xml:space="preserve">[21]</w:t>
      </w:r>
      <w:r>
        <w:rPr>
          <w:rFonts w:ascii="Times New Roman" w:cs="Times New Roman" w:eastAsia="Times New Roman" w:hAnsi="Times New Roman"/>
          <w:b w:val="false"/>
          <w:bCs w:val="false"/>
          <w:i w:val="false"/>
          <w:iCs w:val="false"/>
          <w:sz w:val="28"/>
          <w:szCs w:val="28"/>
        </w:rPr>
        <w:t xml:space="preserve">. Поэтому в работе используется термин «договорная цена симбиотического ресурса», охватывающий оба случая.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Экономическая теория трансфертного ценообразования даёт полезный ориентир. Дж. Хиршлейфер показал, что при отсутствии внешнего рынка промежуточного продукта цена передачи, максимизирующая совокупную прибыль, равна предельным затратам поставщика, а при наличии конкурентного внешнего рынка — рыночной цене</w:t>
      </w:r>
      <w:r>
        <w:rPr>
          <w:rStyle w:val="FootnoteReference"/>
        </w:rPr>
        <w:footnoteReference w:id="11"/>
      </w:r>
      <w:r>
        <w:rPr>
          <w:rFonts w:ascii="Times New Roman" w:cs="Times New Roman" w:eastAsia="Times New Roman" w:hAnsi="Times New Roman"/>
          <w:b w:val="false"/>
          <w:bCs w:val="false"/>
          <w:i w:val="false"/>
          <w:iCs w:val="false"/>
          <w:sz w:val="28"/>
          <w:szCs w:val="28"/>
        </w:rPr>
        <w:t xml:space="preserve">. Симбиотические ресурсы занимают промежуточное положение: для вторичного сырья внешний рынок есть, для низкопотенциального тепла его нет, а для CO₂ рынок существует, но сопоставимость качества и логистики ограничена. Отсюда следует, что единого метода цены для экоплатформы быть не может, и задача состоит в правиле выбора метода для каждого класса ресурса.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2.4.2. Коридор взаимной выгоды и методы определения цены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Нижняя граница коридора определяется полными дополнительными затратами поставщика и тем, что он теряет, отказываясь от лучшего альтернативного использования ресурса. Верхняя граница — альтернативной стоимостью ресурса для потребителя за вычетом его собственных затрат на подготовку к приёму:</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p</m:t>
            </m:r>
          </m:e>
          <m:sub>
            <m:r>
              <m:rPr>
                <m:sty m:val="p"/>
              </m:rPr>
              <w:rPr>
                <w:rFonts w:ascii="Cambria Math" w:hAnsi="Cambria Math"/>
                <w:i w:val="0"/>
                <w:sz w:val="28"/>
                <w:szCs w:val="28"/>
              </w:rPr>
              <m:t xml:space="preserve">min</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ij</m:t>
            </m:r>
          </m:sub>
        </m:sSub>
        <m:r>
          <m:rPr>
            <m:sty m:val="p"/>
          </m:rPr>
          <w:rPr>
            <w:rFonts w:ascii="Cambria Math" w:hAnsi="Cambria Math"/>
            <w:i w:val="0"/>
            <w:sz w:val="28"/>
            <w:szCs w:val="28"/>
          </w:rPr>
          <m:t xml:space="preserve"> + </m:t>
        </m:r>
        <m:sSub>
          <m:e>
            <m:r>
              <w:rPr>
                <w:rFonts w:ascii="Cambria Math" w:hAnsi="Cambria Math"/>
                <w:i/>
                <w:sz w:val="28"/>
                <w:szCs w:val="28"/>
              </w:rPr>
              <m:t xml:space="preserve">o</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p</m:t>
            </m:r>
          </m:e>
          <m:sub>
            <m:r>
              <w:rPr>
                <w:rFonts w:ascii="Cambria Math" w:hAnsi="Cambria Math"/>
                <w:i/>
                <w:sz w:val="28"/>
                <w:szCs w:val="28"/>
              </w:rPr>
              <m:t xml:space="preserve">ij</m:t>
            </m:r>
          </m:sub>
        </m:sSub>
        <m:r>
          <m:rPr>
            <m:sty m:val="p"/>
          </m:rPr>
          <w:rPr>
            <w:rFonts w:ascii="Cambria Math" w:hAnsi="Cambria Math"/>
            <w:i w:val="0"/>
            <w:sz w:val="28"/>
            <w:szCs w:val="28"/>
          </w:rPr>
          <m:t xml:space="preserve"> ≤ </m:t>
        </m:r>
        <m:sSub>
          <m:e>
            <m:r>
              <w:rPr>
                <w:rFonts w:ascii="Cambria Math" w:hAnsi="Cambria Math"/>
                <w:i/>
                <w:sz w:val="28"/>
                <w:szCs w:val="28"/>
              </w:rPr>
              <m:t xml:space="preserve">p</m:t>
            </m:r>
          </m:e>
          <m:sub>
            <m:r>
              <m:rPr>
                <m:sty m:val="p"/>
              </m:rPr>
              <w:rPr>
                <w:rFonts w:ascii="Cambria Math" w:hAnsi="Cambria Math"/>
                <w:i w:val="0"/>
                <w:sz w:val="28"/>
                <w:szCs w:val="28"/>
              </w:rPr>
              <m:t xml:space="preserve">max</m:t>
            </m:r>
          </m:sub>
        </m:sSub>
        <m:r>
          <m:rPr>
            <m:sty m:val="p"/>
          </m:rPr>
          <w:rPr>
            <w:rFonts w:ascii="Cambria Math" w:hAnsi="Cambria Math"/>
            <w:i w:val="0"/>
            <w:sz w:val="28"/>
            <w:szCs w:val="28"/>
          </w:rPr>
          <m:t xml:space="preserve"> = </m:t>
        </m:r>
        <m:sSub>
          <m:e>
            <m:r>
              <w:rPr>
                <w:rFonts w:ascii="Cambria Math" w:hAnsi="Cambria Math"/>
                <w:i/>
                <w:sz w:val="28"/>
                <w:szCs w:val="28"/>
              </w:rPr>
              <m:t xml:space="preserve">p</m:t>
            </m:r>
          </m:e>
          <m:sub>
            <m:r>
              <m:rPr>
                <m:sty m:val="p"/>
              </m:rPr>
              <w:rPr>
                <w:rFonts w:ascii="Cambria Math" w:hAnsi="Cambria Math"/>
                <w:i w:val="0"/>
                <w:sz w:val="28"/>
                <w:szCs w:val="28"/>
              </w:rPr>
              <m:t xml:space="preserve">альт,</m:t>
            </m:r>
            <m:r>
              <w:rPr>
                <w:rFonts w:ascii="Cambria Math" w:hAnsi="Cambria Math"/>
                <w:i/>
                <w:sz w:val="28"/>
                <w:szCs w:val="28"/>
              </w:rPr>
              <m:t xml:space="preserve">j</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подг,</m:t>
            </m:r>
            <m:r>
              <w:rPr>
                <w:rFonts w:ascii="Cambria Math" w:hAnsi="Cambria Math"/>
                <w:i/>
                <w:sz w:val="28"/>
                <w:szCs w:val="28"/>
              </w:rPr>
              <m:t xml:space="preserve">j</m:t>
            </m:r>
          </m:sub>
        </m:sSub>
      </m:oMath>
      <w:r>
        <w:rPr>
          <w:rFonts w:ascii="Times New Roman" w:cs="Times New Roman" w:eastAsia="Times New Roman" w:hAnsi="Times New Roman"/>
          <w:sz w:val="28"/>
          <w:szCs w:val="28"/>
        </w:rPr>
        <w:t xml:space="preserve">	(2.14)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p</w:t>
      </w:r>
      <w:r>
        <w:rPr>
          <w:rFonts w:ascii="Times New Roman" w:cs="Times New Roman" w:eastAsia="Times New Roman" w:hAnsi="Times New Roman"/>
          <w:b w:val="false"/>
          <w:bCs w:val="false"/>
          <w:i w:val="false"/>
          <w:iCs w:val="false"/>
          <w:sz w:val="28"/>
          <w:szCs w:val="28"/>
          <w:vertAlign w:val="subscript"/>
        </w:rPr>
        <w:t xml:space="preserve">min</w:t>
      </w:r>
      <w:r>
        <w:rPr>
          <w:rFonts w:ascii="Times New Roman" w:cs="Times New Roman" w:eastAsia="Times New Roman" w:hAnsi="Times New Roman"/>
          <w:b w:val="false"/>
          <w:bCs w:val="false"/>
          <w:i w:val="false"/>
          <w:iCs w:val="false"/>
          <w:sz w:val="28"/>
          <w:szCs w:val="28"/>
        </w:rPr>
        <w:t xml:space="preserve"> — минимально приемлемая для поставщика цена единицы ресурса; c</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rPr>
        <w:t xml:space="preserve"> — дополнительные затраты поставщика i на подготовку и передачу ресурса потребителю j, включая приходящуюся на единицу долю капитальных вложений, если их несёт поставщик; o</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альтернативная стоимость ресурса для поставщика (выручка от лучшего иного использования, для сбрасываемых потоков равна нулю); p</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rPr>
        <w:t xml:space="preserve"> — договорная цена; p</w:t>
      </w:r>
      <w:r>
        <w:rPr>
          <w:rFonts w:ascii="Times New Roman" w:cs="Times New Roman" w:eastAsia="Times New Roman" w:hAnsi="Times New Roman"/>
          <w:b w:val="false"/>
          <w:bCs w:val="false"/>
          <w:i w:val="false"/>
          <w:iCs w:val="false"/>
          <w:sz w:val="28"/>
          <w:szCs w:val="28"/>
          <w:vertAlign w:val="subscript"/>
        </w:rPr>
        <w:t xml:space="preserve">max</w:t>
      </w:r>
      <w:r>
        <w:rPr>
          <w:rFonts w:ascii="Times New Roman" w:cs="Times New Roman" w:eastAsia="Times New Roman" w:hAnsi="Times New Roman"/>
          <w:b w:val="false"/>
          <w:bCs w:val="false"/>
          <w:i w:val="false"/>
          <w:iCs w:val="false"/>
          <w:sz w:val="28"/>
          <w:szCs w:val="28"/>
        </w:rPr>
        <w:t xml:space="preserve"> — максимально приемлемая для потребителя цена; p</w:t>
      </w:r>
      <w:r>
        <w:rPr>
          <w:rFonts w:ascii="Times New Roman" w:cs="Times New Roman" w:eastAsia="Times New Roman" w:hAnsi="Times New Roman"/>
          <w:b w:val="false"/>
          <w:bCs w:val="false"/>
          <w:i w:val="false"/>
          <w:iCs w:val="false"/>
          <w:sz w:val="28"/>
          <w:szCs w:val="28"/>
          <w:vertAlign w:val="subscript"/>
        </w:rPr>
        <w:t xml:space="preserve">альт,j</w:t>
      </w:r>
      <w:r>
        <w:rPr>
          <w:rFonts w:ascii="Times New Roman" w:cs="Times New Roman" w:eastAsia="Times New Roman" w:hAnsi="Times New Roman"/>
          <w:b w:val="false"/>
          <w:bCs w:val="false"/>
          <w:i w:val="false"/>
          <w:iCs w:val="false"/>
          <w:sz w:val="28"/>
          <w:szCs w:val="28"/>
        </w:rPr>
        <w:t xml:space="preserve"> — стоимость замещаемого ресурса для потребителя j; c</w:t>
      </w:r>
      <w:r>
        <w:rPr>
          <w:rFonts w:ascii="Times New Roman" w:cs="Times New Roman" w:eastAsia="Times New Roman" w:hAnsi="Times New Roman"/>
          <w:b w:val="false"/>
          <w:bCs w:val="false"/>
          <w:i w:val="false"/>
          <w:iCs w:val="false"/>
          <w:sz w:val="28"/>
          <w:szCs w:val="28"/>
          <w:vertAlign w:val="subscript"/>
        </w:rPr>
        <w:t xml:space="preserve">подг,j</w:t>
      </w:r>
      <w:r>
        <w:rPr>
          <w:rFonts w:ascii="Times New Roman" w:cs="Times New Roman" w:eastAsia="Times New Roman" w:hAnsi="Times New Roman"/>
          <w:b w:val="false"/>
          <w:bCs w:val="false"/>
          <w:i w:val="false"/>
          <w:iCs w:val="false"/>
          <w:sz w:val="28"/>
          <w:szCs w:val="28"/>
        </w:rPr>
        <w:t xml:space="preserve"> — затраты потребителя на подготовку к приёму ресурса, включая его долю капитальных вложений.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Обмен реализуем по финансовому критерию, если p</w:t>
      </w:r>
      <w:r>
        <w:rPr>
          <w:rFonts w:ascii="Times New Roman" w:cs="Times New Roman" w:eastAsia="Times New Roman" w:hAnsi="Times New Roman"/>
          <w:b w:val="false"/>
          <w:bCs w:val="false"/>
          <w:i w:val="false"/>
          <w:iCs w:val="false"/>
          <w:sz w:val="28"/>
          <w:szCs w:val="28"/>
          <w:vertAlign w:val="subscript"/>
        </w:rPr>
        <w:t xml:space="preserve">min</w:t>
      </w:r>
      <w:r>
        <w:rPr>
          <w:rFonts w:ascii="Times New Roman" w:cs="Times New Roman" w:eastAsia="Times New Roman" w:hAnsi="Times New Roman"/>
          <w:b w:val="false"/>
          <w:bCs w:val="false"/>
          <w:i w:val="false"/>
          <w:iCs w:val="false"/>
          <w:sz w:val="28"/>
          <w:szCs w:val="28"/>
        </w:rPr>
        <w:t xml:space="preserve"> ≤ p</w:t>
      </w:r>
      <w:r>
        <w:rPr>
          <w:rFonts w:ascii="Times New Roman" w:cs="Times New Roman" w:eastAsia="Times New Roman" w:hAnsi="Times New Roman"/>
          <w:b w:val="false"/>
          <w:bCs w:val="false"/>
          <w:i w:val="false"/>
          <w:iCs w:val="false"/>
          <w:sz w:val="28"/>
          <w:szCs w:val="28"/>
          <w:vertAlign w:val="subscript"/>
        </w:rPr>
        <w:t xml:space="preserve">max</w:t>
      </w:r>
      <w:r>
        <w:rPr>
          <w:rFonts w:ascii="Times New Roman" w:cs="Times New Roman" w:eastAsia="Times New Roman" w:hAnsi="Times New Roman"/>
          <w:b w:val="false"/>
          <w:bCs w:val="false"/>
          <w:i w:val="false"/>
          <w:iCs w:val="false"/>
          <w:sz w:val="28"/>
          <w:szCs w:val="28"/>
        </w:rPr>
        <w:t xml:space="preserve">, то есть если коридор непуст; этим условием определяется индикатор I</w:t>
      </w:r>
      <w:r>
        <w:rPr>
          <w:rFonts w:ascii="Times New Roman" w:cs="Times New Roman" w:eastAsia="Times New Roman" w:hAnsi="Times New Roman"/>
          <w:b w:val="false"/>
          <w:bCs w:val="false"/>
          <w:i w:val="false"/>
          <w:iCs w:val="false"/>
          <w:sz w:val="28"/>
          <w:szCs w:val="28"/>
          <w:vertAlign w:val="subscript"/>
        </w:rPr>
        <w:t xml:space="preserve">фин</w:t>
      </w:r>
      <w:r>
        <w:rPr>
          <w:rFonts w:ascii="Times New Roman" w:cs="Times New Roman" w:eastAsia="Times New Roman" w:hAnsi="Times New Roman"/>
          <w:b w:val="false"/>
          <w:bCs w:val="false"/>
          <w:i w:val="false"/>
          <w:iCs w:val="false"/>
          <w:sz w:val="28"/>
          <w:szCs w:val="28"/>
        </w:rPr>
        <w:t xml:space="preserve"> в формуле (2.2). Ширина коридора, умноженная на объём, равна чистому эффекту обмена до вычета общих затрат платформы. Положение цены внутри коридора определяет раздел этого эффекта. При равной переговорной силе решение Нэша для задачи двусторонней торговли помещает цену в середину коридора</w:t>
      </w:r>
      <w:r>
        <w:rPr>
          <w:rStyle w:val="FootnoteReference"/>
        </w:rPr>
        <w:footnoteReference w:id="12"/>
      </w:r>
      <w:r>
        <w:rPr>
          <w:rFonts w:ascii="Times New Roman" w:cs="Times New Roman" w:eastAsia="Times New Roman" w:hAnsi="Times New Roman"/>
          <w:b w:val="false"/>
          <w:bCs w:val="false"/>
          <w:i w:val="false"/>
          <w:iCs w:val="false"/>
          <w:sz w:val="28"/>
          <w:szCs w:val="28"/>
        </w:rPr>
        <w:t xml:space="preserve">, а при неравной цена смещается к границе, выгодной более сильной стороне.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 отсутствии коридора положительный общественный, в том числе экологический, эффект не делает сделку коммерчески осуществимой. Субсидирование такого обмена может быть оправдано, но решение о нём принимается за пределами ценового механизма, с учётом бюджетных ограничений и действующих правил предоставления государственной поддержки.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Выбор точки внутри коридора опирается на один из пяти методов, перечисленных в таблице 2.8. Каждый метод использует собственное основание и несёт собственный риск.</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2.8</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Методы определения договорной цены симбиотического ресурса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49"/>
        <w:gridCol w:w="1868"/>
        <w:gridCol w:w="2039"/>
        <w:gridCol w:w="1848"/>
        <w:gridCol w:w="2151"/>
      </w:tblGrid>
      <w:tr>
        <w:trPr>
          <w:cantSplit/>
          <w:tblHeader/>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Формула цены</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Основание</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Сфера применения</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Основной риск</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плюс (CP)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 = C</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 · (1 + m)</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Подтверждённые удельные затраты поставщика и надбавка m</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Уникальный побочный поток без рынка</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Неполный учёт капитальных затрат, отсутствие стимула к их снижению</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Рыночный аналог (MB)</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 = P</w:t>
            </w:r>
            <w:r>
              <w:rPr>
                <w:rFonts w:ascii="Times New Roman" w:cs="Times New Roman" w:eastAsia="Times New Roman" w:hAnsi="Times New Roman"/>
                <w:b w:val="false"/>
                <w:bCs w:val="false"/>
                <w:i w:val="false"/>
                <w:iCs w:val="false"/>
                <w:sz w:val="24"/>
                <w:szCs w:val="24"/>
                <w:vertAlign w:val="subscript"/>
              </w:rPr>
              <w:t xml:space="preserve">ref</w:t>
            </w:r>
            <w:r>
              <w:rPr>
                <w:rFonts w:ascii="Times New Roman" w:cs="Times New Roman" w:eastAsia="Times New Roman" w:hAnsi="Times New Roman"/>
                <w:b w:val="false"/>
                <w:bCs w:val="false"/>
                <w:i w:val="false"/>
                <w:iCs w:val="false"/>
                <w:sz w:val="24"/>
                <w:szCs w:val="24"/>
              </w:rPr>
              <w:t xml:space="preserve"> − δ</w:t>
            </w:r>
            <w:r>
              <w:rPr>
                <w:rFonts w:ascii="Times New Roman" w:cs="Times New Roman" w:eastAsia="Times New Roman" w:hAnsi="Times New Roman"/>
                <w:b w:val="false"/>
                <w:bCs w:val="false"/>
                <w:i w:val="false"/>
                <w:iCs w:val="false"/>
                <w:sz w:val="24"/>
                <w:szCs w:val="24"/>
                <w:vertAlign w:val="subscript"/>
              </w:rPr>
              <w:t xml:space="preserve">trans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Цена сопоставимого ресурса с поправкой на качество и логистику</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Ликвидное вторичное сырьё</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Несопоставимость качества, волатильность котировок</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Переговорная цена (NP)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min</w:t>
            </w:r>
            <w:r>
              <w:rPr>
                <w:rFonts w:ascii="Times New Roman" w:cs="Times New Roman" w:eastAsia="Times New Roman" w:hAnsi="Times New Roman"/>
                <w:b w:val="false"/>
                <w:bCs w:val="false"/>
                <w:i w:val="false"/>
                <w:iCs w:val="false"/>
                <w:sz w:val="24"/>
                <w:szCs w:val="24"/>
              </w:rPr>
              <w:t xml:space="preserve"> ≤ p ≤ p</w:t>
            </w:r>
            <w:r>
              <w:rPr>
                <w:rFonts w:ascii="Times New Roman" w:cs="Times New Roman" w:eastAsia="Times New Roman" w:hAnsi="Times New Roman"/>
                <w:b w:val="false"/>
                <w:bCs w:val="false"/>
                <w:i w:val="false"/>
                <w:iCs w:val="false"/>
                <w:sz w:val="24"/>
                <w:szCs w:val="24"/>
                <w:vertAlign w:val="subscript"/>
              </w:rPr>
              <w:t xml:space="preserve">max</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Альтернативы сторон</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Индивидуальный обмен со специфическими вложениями</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Неравная переговорная сила, затяжной торг</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Теневая оценка (SP)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Ставка предотвращённого платежа</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Предотвращённые внешние издержки</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Оценка экологического эффекта, не сделки</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Подмена денежной цены оценкой ущерба</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Гибридный (HP)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Формула (2.15)</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Взвешивание затратной и рыночной оценки</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Частично наблюдаемый рынок</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Произвольный выбор веса ω</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[21]</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таблице 2.8 обращает на себя внимание то, что теневая оценка отличается от остальных методов по природе. Она не определяет денежную цену сделки, а оценивает выгоду, которая возникает у одного участника независимо от платежа другому. Так, предотвращённая плата за НВОС достаётся образователю отходов, а не перерабатывающему предприятию; включение её в цену сырья и одновременно в эффект как предотвращённого платежа означало бы двойной счёт.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Гибридный метод требует отдельного пояснения, поскольку он единственный содержит свободный параметр. Цена определяется взвешиванием двух базовых оценок: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p</m:t>
            </m:r>
          </m:e>
          <m:sub>
            <m:r>
              <w:rPr>
                <w:rFonts w:ascii="Cambria Math" w:hAnsi="Cambria Math"/>
                <w:i/>
                <w:sz w:val="28"/>
                <w:szCs w:val="28"/>
              </w:rPr>
              <m:t xml:space="preserve">HP</m:t>
            </m:r>
          </m:sub>
        </m:sSub>
        <m:r>
          <m:rPr>
            <m:sty m:val="p"/>
          </m:rPr>
          <w:rPr>
            <w:rFonts w:ascii="Cambria Math" w:hAnsi="Cambria Math"/>
            <w:i w:val="0"/>
            <w:sz w:val="28"/>
            <w:szCs w:val="28"/>
          </w:rPr>
          <m:t xml:space="preserve"> = </m:t>
        </m:r>
        <m:r>
          <w:rPr>
            <w:rFonts w:ascii="Cambria Math" w:hAnsi="Cambria Math"/>
            <w:i/>
            <w:sz w:val="28"/>
            <w:szCs w:val="28"/>
          </w:rPr>
          <m:t xml:space="preserve">ω</m:t>
        </m:r>
        <m:r>
          <m:rPr>
            <m:sty m:val="p"/>
          </m:rPr>
          <w:rPr>
            <w:rFonts w:ascii="Cambria Math" w:hAnsi="Cambria Math"/>
            <w:i w:val="0"/>
            <w:sz w:val="28"/>
            <w:szCs w:val="28"/>
          </w:rPr>
          <m:t xml:space="preserve">·</m:t>
        </m:r>
        <m:sSub>
          <m:e>
            <m:r>
              <w:rPr>
                <w:rFonts w:ascii="Cambria Math" w:hAnsi="Cambria Math"/>
                <w:i/>
                <w:sz w:val="28"/>
                <w:szCs w:val="28"/>
              </w:rPr>
              <m:t xml:space="preserve">p</m:t>
            </m:r>
          </m:e>
          <m:sub>
            <m:r>
              <w:rPr>
                <w:rFonts w:ascii="Cambria Math" w:hAnsi="Cambria Math"/>
                <w:i/>
                <w:sz w:val="28"/>
                <w:szCs w:val="28"/>
              </w:rPr>
              <m:t xml:space="preserve">CP</m:t>
            </m:r>
          </m:sub>
        </m:sSub>
        <m:r>
          <m:rPr>
            <m:sty m:val="p"/>
          </m:rPr>
          <w:rPr>
            <w:rFonts w:ascii="Cambria Math" w:hAnsi="Cambria Math"/>
            <w:i w:val="0"/>
            <w:sz w:val="28"/>
            <w:szCs w:val="28"/>
          </w:rPr>
          <m:t xml:space="preserve"> + </m:t>
        </m:r>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ω</m:t>
            </m:r>
          </m:e>
        </m:d>
        <m:r>
          <m:rPr>
            <m:sty m:val="p"/>
          </m:rPr>
          <w:rPr>
            <w:rFonts w:ascii="Cambria Math" w:hAnsi="Cambria Math"/>
            <w:i w:val="0"/>
            <w:sz w:val="28"/>
            <w:szCs w:val="28"/>
          </w:rPr>
          <m:t xml:space="preserve">·</m:t>
        </m:r>
        <m:sSub>
          <m:e>
            <m:r>
              <w:rPr>
                <w:rFonts w:ascii="Cambria Math" w:hAnsi="Cambria Math"/>
                <w:i/>
                <w:sz w:val="28"/>
                <w:szCs w:val="28"/>
              </w:rPr>
              <m:t xml:space="preserve">p</m:t>
            </m:r>
          </m:e>
          <m:sub>
            <m:r>
              <w:rPr>
                <w:rFonts w:ascii="Cambria Math" w:hAnsi="Cambria Math"/>
                <w:i/>
                <w:sz w:val="28"/>
                <w:szCs w:val="28"/>
              </w:rPr>
              <m:t xml:space="preserve">MB</m:t>
            </m:r>
          </m:sub>
        </m:sSub>
      </m:oMath>
      <w:r>
        <w:rPr>
          <w:rFonts w:ascii="Times New Roman" w:cs="Times New Roman" w:eastAsia="Times New Roman" w:hAnsi="Times New Roman"/>
          <w:sz w:val="28"/>
          <w:szCs w:val="28"/>
        </w:rPr>
        <w:t xml:space="preserve">	(2.15)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p</w:t>
      </w:r>
      <w:r>
        <w:rPr>
          <w:rFonts w:ascii="Times New Roman" w:cs="Times New Roman" w:eastAsia="Times New Roman" w:hAnsi="Times New Roman"/>
          <w:b w:val="false"/>
          <w:bCs w:val="false"/>
          <w:i w:val="false"/>
          <w:iCs w:val="false"/>
          <w:sz w:val="28"/>
          <w:szCs w:val="28"/>
          <w:vertAlign w:val="subscript"/>
        </w:rPr>
        <w:t xml:space="preserve">HP</w:t>
      </w:r>
      <w:r>
        <w:rPr>
          <w:rFonts w:ascii="Times New Roman" w:cs="Times New Roman" w:eastAsia="Times New Roman" w:hAnsi="Times New Roman"/>
          <w:b w:val="false"/>
          <w:bCs w:val="false"/>
          <w:i w:val="false"/>
          <w:iCs w:val="false"/>
          <w:sz w:val="28"/>
          <w:szCs w:val="28"/>
        </w:rPr>
        <w:t xml:space="preserve"> — цена по гибридному методу; p</w:t>
      </w:r>
      <w:r>
        <w:rPr>
          <w:rFonts w:ascii="Times New Roman" w:cs="Times New Roman" w:eastAsia="Times New Roman" w:hAnsi="Times New Roman"/>
          <w:b w:val="false"/>
          <w:bCs w:val="false"/>
          <w:i w:val="false"/>
          <w:iCs w:val="false"/>
          <w:sz w:val="28"/>
          <w:szCs w:val="28"/>
          <w:vertAlign w:val="subscript"/>
        </w:rPr>
        <w:t xml:space="preserve">CP</w:t>
      </w:r>
      <w:r>
        <w:rPr>
          <w:rFonts w:ascii="Times New Roman" w:cs="Times New Roman" w:eastAsia="Times New Roman" w:hAnsi="Times New Roman"/>
          <w:b w:val="false"/>
          <w:bCs w:val="false"/>
          <w:i w:val="false"/>
          <w:iCs w:val="false"/>
          <w:sz w:val="28"/>
          <w:szCs w:val="28"/>
        </w:rPr>
        <w:t xml:space="preserve"> — цена по методу «затраты плюс»; p</w:t>
      </w:r>
      <w:r>
        <w:rPr>
          <w:rFonts w:ascii="Times New Roman" w:cs="Times New Roman" w:eastAsia="Times New Roman" w:hAnsi="Times New Roman"/>
          <w:b w:val="false"/>
          <w:bCs w:val="false"/>
          <w:i w:val="false"/>
          <w:iCs w:val="false"/>
          <w:sz w:val="28"/>
          <w:szCs w:val="28"/>
          <w:vertAlign w:val="subscript"/>
        </w:rPr>
        <w:t xml:space="preserve">MB</w:t>
      </w:r>
      <w:r>
        <w:rPr>
          <w:rFonts w:ascii="Times New Roman" w:cs="Times New Roman" w:eastAsia="Times New Roman" w:hAnsi="Times New Roman"/>
          <w:b w:val="false"/>
          <w:bCs w:val="false"/>
          <w:i w:val="false"/>
          <w:iCs w:val="false"/>
          <w:sz w:val="28"/>
          <w:szCs w:val="28"/>
        </w:rPr>
        <w:t xml:space="preserve"> — цена по методу рыночного аналога; ω — вес затратной оценки, 0 ≤ ω ≤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Вес ω нельзя выбирать произвольно. В работе предлагается связывать его с качеством данных: ω равен доле затрат поставщика, подтверждённых первичными документами, если рыночная котировка доступна по сопоставимому ресурсу. Чем лучше документированы затраты, тем ближе цена к затратной оценке; при отсутствии подтверждения затрат цена определяется рынком. Такое правило воспроизводимо и не оставляет простора для торга о весе.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2.4.3. Алгоритм выбора метода цены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Порядок выбора метода представлен в виде дерева решений на рисунке 2.5. Дерево применяется к каждому классу ресурса отдельно и заранее указывает, какие данные необходимо получить от участников.</w:t>
      </w:r>
    </w:p>
    <w:p>
      <w:pPr>
        <w:keepNext/>
        <w:jc w:val="center"/>
      </w:pPr>
      <w:r>
        <w:drawing>
          <wp:inline distT="0" distB="0" distL="0" distR="0">
            <wp:extent cx="5715000" cy="3324225"/>
            <wp:effectExtent t="0" r="0" b="0" l="0"/>
            <wp:docPr id="1" name="fig2_5.svg" descr="fig2_5.svg" title="fig2_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5715000" cy="3324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2.5 – Дерево выбора метода договорной цены симбиотического ресурса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Последовательность вопросов на рисунке 2.5 отражает убывание надёжности ценового основания. Наблюдаемая рыночная цена надёжнее подтверждённых затрат, затраты надёжнее переговорной оценки. Если применимы и рыночный аналог, и затратный метод, используется гибридный метод с весом по правилу, изложенному выше. Теневая оценка выведена на отдельную ветвь: она учитывается вне цены сделки.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энергетических потоков дерево дополняется проверкой регулирования. Если передача тепла сторонним потребителям требует установления тарифа органом регулирования </w:t>
      </w:r>
      <w:r>
        <w:rPr>
          <w:rFonts w:ascii="Times New Roman" w:cs="Times New Roman" w:eastAsia="Times New Roman" w:hAnsi="Times New Roman"/>
          <w:b w:val="false"/>
          <w:bCs w:val="false"/>
          <w:i w:val="false"/>
          <w:iCs w:val="false"/>
          <w:sz w:val="28"/>
          <w:szCs w:val="28"/>
        </w:rPr>
        <w:t xml:space="preserve">[9]</w:t>
      </w:r>
      <w:r>
        <w:rPr>
          <w:rFonts w:ascii="Times New Roman" w:cs="Times New Roman" w:eastAsia="Times New Roman" w:hAnsi="Times New Roman"/>
          <w:b w:val="false"/>
          <w:bCs w:val="false"/>
          <w:i w:val="false"/>
          <w:iCs w:val="false"/>
          <w:sz w:val="28"/>
          <w:szCs w:val="28"/>
        </w:rPr>
        <w:t xml:space="preserve">, договорная цена заменяется тарифом, и коридор (2.14) используется для проверки, будет ли сделка выгодна при этом тарифе. Р. Сакки и Я. Рамшева, исследуя систему централизованного теплоснабжения Ольборга, показали, что ценовое регулирование способно как стимулировать, так и подавлять использование избыточного промышленного тепла, и ослабление ограничений увеличивает его предложение примерно вдвое</w:t>
      </w:r>
      <w:r>
        <w:rPr>
          <w:rStyle w:val="FootnoteReference"/>
        </w:rPr>
        <w:footnoteReference w:id="13"/>
      </w:r>
      <w:r>
        <w:rPr>
          <w:rFonts w:ascii="Times New Roman" w:cs="Times New Roman" w:eastAsia="Times New Roman" w:hAnsi="Times New Roman"/>
          <w:b w:val="false"/>
          <w:bCs w:val="false"/>
          <w:i w:val="false"/>
          <w:iCs w:val="false"/>
          <w:sz w:val="28"/>
          <w:szCs w:val="28"/>
        </w:rPr>
        <w:t xml:space="preserve">. Для Невинномысска это означает, что статус теплового обмена должен быть согласован с Региональной тарифной комиссией Ставропольского края до проектирования теплотрассы.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2.4.4. Ценовые коридоры для потоков базового сценария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Расчёт границ коридоров для четырёх потоков демонстрационного сценария приведён в таблице 2.9. Удельная доля капитальных вложений рассчитана делением аннуитета (2.8) на годовой объём: для теплотрассы 39,4 млн руб. / 219 тыс. Гкал = 180 руб./Гкал, для узла CO₂ 13,1 млн руб. / 12 тыс. т = 1096 руб./т.</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2.9</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Ценовые коридоры для потоков демонстрационного сценария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45"/>
        <w:gridCol w:w="1086"/>
        <w:gridCol w:w="1273"/>
        <w:gridCol w:w="1196"/>
        <w:gridCol w:w="1808"/>
        <w:gridCol w:w="2547"/>
      </w:tblGrid>
      <w:tr>
        <w:trPr>
          <w:cantSplit/>
          <w:tblHeader/>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Поток</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Нижняя граница p</w:t>
            </w:r>
            <w:r>
              <w:rPr>
                <w:rFonts w:ascii="Times New Roman" w:cs="Times New Roman" w:eastAsia="Times New Roman" w:hAnsi="Times New Roman"/>
                <w:b/>
                <w:bCs/>
                <w:i w:val="false"/>
                <w:iCs w:val="false"/>
                <w:sz w:val="24"/>
                <w:szCs w:val="24"/>
                <w:vertAlign w:val="subscript"/>
              </w:rPr>
              <w:t xml:space="preserve">min</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Верхняя граница p</w:t>
            </w:r>
            <w:r>
              <w:rPr>
                <w:rFonts w:ascii="Times New Roman" w:cs="Times New Roman" w:eastAsia="Times New Roman" w:hAnsi="Times New Roman"/>
                <w:b/>
                <w:bCs/>
                <w:i w:val="false"/>
                <w:iCs w:val="false"/>
                <w:sz w:val="24"/>
                <w:szCs w:val="24"/>
                <w:vertAlign w:val="subscript"/>
              </w:rPr>
              <w:t xml:space="preserve">max</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Ширина коридора × объём, млн руб./год</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Условие реализуемости</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вложения несёт потребитель</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NP, проверка тарифом</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 руб./Гкал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0)</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360 − 180 = 180 руб./Гкал</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130 · 0,219 = 28,5</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Тариф, если он устанавливается, не выше 180 руб./Гкал</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вложения несёт поставщик или публичный партнёр</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NP, проверка тарифом</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 + 180 = 230 руб./Гкал</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360 руб./Гкал</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28,5 (при финансировании публичным партнёром 67,9)</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Долгосрочный договор на срок окупаемости теплотрассы</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прирост сверх базовых продаж</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NP или HP</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 + 1096 ≈ 3100 руб./т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0)</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8000 руб./т</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4900 · 0,012 = 58,9</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Подтверждение качества, договор не короче 7 лет</w:t>
            </w:r>
          </w:p>
        </w:tc>
      </w:tr>
      <w:tr>
        <w:trPr>
          <w:cantSplit/>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переключаемый от действующих покупателей</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NP</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2000 + 8000 ≈ 10 000 руб./т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цена действующих продаж)</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8000 руб./т</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Коридор пуст; в ΔE не учитывается</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Только если цена действующих продаж ниже p</w:t>
            </w:r>
            <w:r>
              <w:rPr>
                <w:rFonts w:ascii="Times New Roman" w:cs="Times New Roman" w:eastAsia="Times New Roman" w:hAnsi="Times New Roman"/>
                <w:b w:val="false"/>
                <w:bCs w:val="false"/>
                <w:i w:val="false"/>
                <w:iCs w:val="false"/>
                <w:sz w:val="24"/>
                <w:szCs w:val="24"/>
                <w:vertAlign w:val="subscript"/>
              </w:rPr>
              <w:t xml:space="preserve">альт</w:t>
            </w:r>
            <w:r>
              <w:rPr>
                <w:rFonts w:ascii="Times New Roman" w:cs="Times New Roman" w:eastAsia="Times New Roman" w:hAnsi="Times New Roman"/>
                <w:b w:val="false"/>
                <w:bCs w:val="false"/>
                <w:i w:val="false"/>
                <w:iCs w:val="false"/>
                <w:sz w:val="24"/>
                <w:szCs w:val="24"/>
              </w:rPr>
              <w:t xml:space="preserve"> − c</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MB</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ref</w:t>
            </w:r>
            <w:r>
              <w:rPr>
                <w:rFonts w:ascii="Times New Roman" w:cs="Times New Roman" w:eastAsia="Times New Roman" w:hAnsi="Times New Roman"/>
                <w:b w:val="false"/>
                <w:bCs w:val="false"/>
                <w:i w:val="false"/>
                <w:iCs w:val="false"/>
                <w:sz w:val="24"/>
                <w:szCs w:val="24"/>
              </w:rPr>
              <w:t xml:space="preserve"> − 2000 руб./т</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ref</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 · 0,030 = 60,0</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Стабильность качества, котировка P</w:t>
            </w:r>
            <w:r>
              <w:rPr>
                <w:rFonts w:ascii="Times New Roman" w:cs="Times New Roman" w:eastAsia="Times New Roman" w:hAnsi="Times New Roman"/>
                <w:b w:val="false"/>
                <w:bCs w:val="false"/>
                <w:i w:val="false"/>
                <w:iCs w:val="false"/>
                <w:sz w:val="24"/>
                <w:szCs w:val="24"/>
                <w:vertAlign w:val="subscript"/>
              </w:rPr>
              <w:t xml:space="preserve">ref</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вне размещения</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SP</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39,8 (у образователя отходов)</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Переработка дешевле размещения с учётом платы за НВОС</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(2.8), (2.14) с параметрами таблицы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2.9 приводит к трём выводам. Во-первых, все четыре коридора в базовом сценарии непусты, и финансовый индикатор I</w:t>
      </w:r>
      <w:r>
        <w:rPr>
          <w:rFonts w:ascii="Times New Roman" w:cs="Times New Roman" w:eastAsia="Times New Roman" w:hAnsi="Times New Roman"/>
          <w:b w:val="false"/>
          <w:bCs w:val="false"/>
          <w:i w:val="false"/>
          <w:iCs w:val="false"/>
          <w:sz w:val="28"/>
          <w:szCs w:val="28"/>
          <w:vertAlign w:val="subscript"/>
        </w:rPr>
        <w:t xml:space="preserve">фин</w:t>
      </w:r>
      <w:r>
        <w:rPr>
          <w:rFonts w:ascii="Times New Roman" w:cs="Times New Roman" w:eastAsia="Times New Roman" w:hAnsi="Times New Roman"/>
          <w:b w:val="false"/>
          <w:bCs w:val="false"/>
          <w:i w:val="false"/>
          <w:iCs w:val="false"/>
          <w:sz w:val="28"/>
          <w:szCs w:val="28"/>
        </w:rPr>
        <w:t xml:space="preserve"> для них равен единице. Во-вторых, ширина коридора по тепловому потоку не зависит от того, кто несёт вложения в теплотрассу, но от этого зависит положение коридора: если вложения несёт потребитель, цена должна быть не выше 180 руб./Гкал, если поставщик — не ниже 230 руб./Гкал. Цена 200 руб./Гкал, которая часто рассматривается как ориентир, оказывается вне коридора в обоих случаях и приемлема только при разделении вложений между сторонами. В-третьих, если теплотрасса финансируется публичным партнёром по соглашению о партнёрстве, коридор расширяется до 50–360 руб./Гкал, а эффект теплового потока для участников возрастает до 67,9 млн руб. в год; ровно на величину аннуитета теплотрассы, которую в этом случае несёт бюджет.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Строки по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 таблице 2.9 разведены намеренно. Для объёма, который получают из сбрасываемого газа, альтернативная стоимость поставщика равна нулю, и коридор широк. Для углекислоты, которую уже покупают производители напитков, o</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равна цене действующих продаж. При цене около 8000 руб./т нижняя граница превышает верхнюю, и переключение покупателей невыгодно «Азоту» без скидки, которая лишь перенесла бы выгоду от прежнего покупателя к резиденту. Создавать эффект способен только прирост выпуска углекислоты.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Третий вывод раскрывает, как ценовой механизм связан с распределительным. Публичное финансирование инфраструктуры не создаёт эффекта, а перекладывает затраты, и участие государства оправдано только тогда, когда без него коридор пуст или настолько узок, что обмен не начнётся из-за риска. Проверка этого условия должна предшествовать любому решению о бюджетных вложениях.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ценообразования по CO₂ ключевым является срок договора. Узел подготовки окупается за семь и более лет, и если потребитель может прекратить закупки раньше, поставщик рискует остаться с неокупленным активом. Это та самая проблема вымогательства, описанная в § 2.1.2, и её решение — не цена, а длительность договора и условие о компенсации при досрочном расторжении. О. Харт и Дж. Мур показали, что распределение прав на специфический актив определяет стимулы сторон к вложениям в него</w:t>
      </w:r>
      <w:r>
        <w:rPr>
          <w:rStyle w:val="FootnoteReference"/>
        </w:rPr>
        <w:footnoteReference w:id="14"/>
      </w:r>
      <w:r>
        <w:rPr>
          <w:rFonts w:ascii="Times New Roman" w:cs="Times New Roman" w:eastAsia="Times New Roman" w:hAnsi="Times New Roman"/>
          <w:b w:val="false"/>
          <w:bCs w:val="false"/>
          <w:i w:val="false"/>
          <w:iCs w:val="false"/>
          <w:sz w:val="28"/>
          <w:szCs w:val="28"/>
        </w:rPr>
        <w:t xml:space="preserve">; в контексте экоплатформы это значит, что узел подготовки CO₂ целесообразно закреплять за той стороной, чьи вложения в его эффективность важнее.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Ценовой механизм экоплатформы не сводится к выбору числа. Он включает метод определения цены, коридор как условие участия, проверку регулирования и договорные условия о сроке и ответственности. Цена, рассчитанная без этих элементов, может оказаться точной, но недостаточной для заключения договора. М. Окби и Д. Аль-Моханнади, разработав для эко-индустриального парка схему, в которой смарт-контракты исполняют заранее согласованные правила расчётов, по существу автоматизировали эти договорные элементы, а не только сам расчёт цены </w:t>
      </w:r>
      <w:r>
        <w:rPr>
          <w:rFonts w:ascii="Times New Roman" w:cs="Times New Roman" w:eastAsia="Times New Roman" w:hAnsi="Times New Roman"/>
          <w:b w:val="false"/>
          <w:bCs w:val="false"/>
          <w:i w:val="false"/>
          <w:iCs w:val="false"/>
          <w:sz w:val="28"/>
          <w:szCs w:val="28"/>
        </w:rPr>
        <w:t xml:space="preserve">[22]</w:t>
      </w:r>
      <w:r>
        <w:rPr>
          <w:rFonts w:ascii="Times New Roman" w:cs="Times New Roman" w:eastAsia="Times New Roman" w:hAnsi="Times New Roman"/>
          <w:b w:val="false"/>
          <w:bCs w:val="false"/>
          <w:i w:val="false"/>
          <w:iCs w:val="false"/>
          <w:sz w:val="28"/>
          <w:szCs w:val="28"/>
        </w:rPr>
        <w:t xml:space="preserve">.</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 Распределение симбиотического дивиденда и механизм государственно-частного партнёрства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2.5.1. Требования к правилу распределения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Правило распределения отвечает на вопрос, который в двусторонней сделке решается ценой, а на уровне сети остаётся открытым: кто получает ту часть эффекта, которая создана не отдельной парой, а системой в целом. К этой части относятся выгоды от общей инфраструктуры учёта, от снижения издержек поиска для всех участников, от экологического эффекта, получаемого территорией. Симбиотический дивиденд (2.11) и есть денежное выражение этой части, выделенное соглашением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правилу распределения предъявляются четыре требования. Полнота: сумма долей равна единице, и дивиденд не уходит за пределы системы. Неотрицательность: никакая доля не может быть отрицательной ни при каком значении связности. Индивидуальная рациональность: каждый участник получает от участия не меньше, чем без него, с учётом затрат подготовки. Проверяемость: доля каждого получателя рассчитывается по данным, доступным аудитору. Первые два требования выражаются условием:</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nary>
          <m:naryPr>
            <m:chr m:val="∑"/>
            <m:limLoc m:val="undOvr"/>
            <m:supHide m:val="1"/>
          </m:naryPr>
          <m:sub>
            <m:r>
              <w:rPr>
                <w:rFonts w:ascii="Cambria Math" w:hAnsi="Cambria Math"/>
                <w:i/>
                <w:sz w:val="28"/>
                <w:szCs w:val="28"/>
              </w:rPr>
              <m:t xml:space="preserve">h</m:t>
            </m:r>
          </m:sub>
          <m:sup/>
          <m:e>
            <m:sSub>
              <m:e>
                <m:r>
                  <w:rPr>
                    <w:rFonts w:ascii="Cambria Math" w:hAnsi="Cambria Math"/>
                    <w:i/>
                    <w:sz w:val="28"/>
                    <w:szCs w:val="28"/>
                  </w:rPr>
                  <m:t xml:space="preserve">γ</m:t>
                </m:r>
              </m:e>
              <m:sub>
                <m:r>
                  <w:rPr>
                    <w:rFonts w:ascii="Cambria Math" w:hAnsi="Cambria Math"/>
                    <w:i/>
                    <w:sz w:val="28"/>
                    <w:szCs w:val="28"/>
                  </w:rPr>
                  <m:t xml:space="preserve">h</m:t>
                </m:r>
              </m:sub>
            </m:sSub>
          </m:e>
        </m:nary>
        <m:r>
          <m:rPr>
            <m:sty m:val="p"/>
          </m:rPr>
          <w:rPr>
            <w:rFonts w:ascii="Cambria Math" w:hAnsi="Cambria Math"/>
            <w:i w:val="0"/>
            <w:sz w:val="28"/>
            <w:szCs w:val="28"/>
          </w:rPr>
          <m:t xml:space="preserve"> = 1;   </m:t>
        </m:r>
        <m:sSub>
          <m:e>
            <m:r>
              <w:rPr>
                <w:rFonts w:ascii="Cambria Math" w:hAnsi="Cambria Math"/>
                <w:i/>
                <w:sz w:val="28"/>
                <w:szCs w:val="28"/>
              </w:rPr>
              <m:t xml:space="preserve">D</m:t>
            </m:r>
          </m:e>
          <m:sub>
            <m:r>
              <w:rPr>
                <w:rFonts w:ascii="Cambria Math" w:hAnsi="Cambria Math"/>
                <w:i/>
                <w:sz w:val="28"/>
                <w:szCs w:val="28"/>
              </w:rPr>
              <m:t xml:space="preserve">h</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γ</m:t>
            </m:r>
          </m:e>
          <m:sub>
            <m:r>
              <w:rPr>
                <w:rFonts w:ascii="Cambria Math" w:hAnsi="Cambria Math"/>
                <w:i/>
                <w:sz w:val="28"/>
                <w:szCs w:val="28"/>
              </w:rPr>
              <m:t xml:space="preserve">h</m:t>
            </m:r>
          </m:sub>
        </m:sSub>
        <m:r>
          <m:rPr>
            <m:sty m:val="p"/>
          </m:rPr>
          <w:rPr>
            <w:rFonts w:ascii="Cambria Math" w:hAnsi="Cambria Math"/>
            <w:i w:val="0"/>
            <w:sz w:val="28"/>
            <w:szCs w:val="28"/>
          </w:rPr>
          <m:t xml:space="preserve">·</m:t>
        </m:r>
        <m:r>
          <w:rPr>
            <w:rFonts w:ascii="Cambria Math" w:hAnsi="Cambria Math"/>
            <w:i/>
            <w:sz w:val="28"/>
            <w:szCs w:val="28"/>
          </w:rPr>
          <m:t xml:space="preserve">SD</m:t>
        </m:r>
        <m:d>
          <m:dPr>
            <m:begChr m:val="("/>
            <m:endChr m:val=")"/>
          </m:dPr>
          <m:e>
            <m:r>
              <w:rPr>
                <w:rFonts w:ascii="Cambria Math" w:hAnsi="Cambria Math"/>
                <w:i/>
                <w:sz w:val="28"/>
                <w:szCs w:val="28"/>
              </w:rPr>
              <m:t xml:space="preserve">t</m:t>
            </m:r>
          </m:e>
        </m:d>
      </m:oMath>
      <w:r>
        <w:rPr>
          <w:rFonts w:ascii="Times New Roman" w:cs="Times New Roman" w:eastAsia="Times New Roman" w:hAnsi="Times New Roman"/>
          <w:sz w:val="28"/>
          <w:szCs w:val="28"/>
        </w:rPr>
        <w:t xml:space="preserve">	(2.16)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γ</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договорная доля группы получателей h в симбиотическом дивиденде, γ</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0; D</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(t) — сумма, начисляемая группе h за период t; SD(t) — дивиденд (2.11); суммирование ведётся по всем группам получателей.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Процедура, в которой распределение отделено от измерения, показана на рисунке 2.6. Её смысл в том, что ни один получатель не участвует в определении величины, от которой зависит его доля.</w:t>
      </w:r>
    </w:p>
    <w:p>
      <w:pPr>
        <w:keepNext/>
        <w:jc w:val="center"/>
      </w:pPr>
      <w:r>
        <w:drawing>
          <wp:inline distT="0" distB="0" distL="0" distR="0">
            <wp:extent cx="5715000" cy="2238375"/>
            <wp:effectExtent t="0" r="0" b="0" l="0"/>
            <wp:docPr id="1" name="fig2_6.svg" descr="fig2_6.svg" title="fig2_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715000" cy="22383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2.6 – Процедура подтверждения эффекта и распределения симбиотического дивиденда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рисунка 2.6 видно, что ветвь «нет» после проверки знака эффекта ведёт к нулевому дивиденду без переноса убытка на следующие периоды. Коэффициент α фиксируется соглашением заранее и не пересматривается по итогам периода; иначе участники с сильной переговорной позицией добивались бы его снижения в удачные годы. Проверка индивидуальной рациональности выполняется после расчёта долей и служит сигналом для пересмотра соглашения на следующий период, если для какой-либо группы она не выполняется.</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2.5.2. Сравнение схем распределения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материалах исследования сложились три схемы распределения, различающиеся составом получателей и зависимостью долей от связности. Их нельзя смешивать, поскольку в них участвуют разные по экономическому смыслу публичные получатели.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Схема А использует постоянные доли: публичный партнёр — 0,30, оператор — 0,25, резиденты — 0,25, экологический фонд — 0,20. Доли отражают авторскую оценку вклада и риска групп, но не являются нормой бюджетного законодательства или условием действующего соглашения.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Схема Б вводит переменную долю публичного партнёра, который выступает инвестором в инфраструктуру и принимает наибольший риск на начальной стадии, когда сеть ещё не доказала жизнеспособность:</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γ</m:t>
            </m:r>
          </m:e>
          <m:sub>
            <m:r>
              <m:rPr>
                <m:sty m:val="p"/>
              </m:rPr>
              <w:rPr>
                <w:rFonts w:ascii="Cambria Math" w:hAnsi="Cambria Math"/>
                <w:i w:val="0"/>
                <w:sz w:val="28"/>
                <w:szCs w:val="28"/>
              </w:rPr>
              <m:t xml:space="preserve">гос</m:t>
            </m:r>
          </m:sub>
        </m:sSub>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Sup>
          <m:e>
            <m:r>
              <w:rPr>
                <w:rFonts w:ascii="Cambria Math" w:hAnsi="Cambria Math"/>
                <w:i/>
                <w:sz w:val="28"/>
                <w:szCs w:val="28"/>
              </w:rPr>
              <m:t xml:space="preserve">γ</m:t>
            </m:r>
          </m:e>
          <m:sub>
            <m:r>
              <m:rPr>
                <m:sty m:val="p"/>
              </m:rPr>
              <w:rPr>
                <w:rFonts w:ascii="Cambria Math" w:hAnsi="Cambria Math"/>
                <w:i w:val="0"/>
                <w:sz w:val="28"/>
                <w:szCs w:val="28"/>
              </w:rPr>
              <m:t xml:space="preserve">гос</m:t>
            </m:r>
          </m:sub>
          <m:sup>
            <m:r>
              <m:rPr>
                <m:sty m:val="p"/>
              </m:rPr>
              <w:rPr>
                <w:rFonts w:ascii="Cambria Math" w:hAnsi="Cambria Math"/>
                <w:i w:val="0"/>
                <w:sz w:val="28"/>
                <w:szCs w:val="28"/>
              </w:rPr>
              <m:t xml:space="preserve">1</m:t>
            </m:r>
          </m:sup>
        </m:sSubSup>
        <m:r>
          <m:rPr>
            <m:sty m:val="p"/>
          </m:rPr>
          <w:rPr>
            <w:rFonts w:ascii="Cambria Math" w:hAnsi="Cambria Math"/>
            <w:i w:val="0"/>
            <w:sz w:val="28"/>
            <w:szCs w:val="28"/>
          </w:rPr>
          <m:t xml:space="preserve"> + </m:t>
        </m:r>
        <m:d>
          <m:dPr>
            <m:begChr m:val="("/>
            <m:endChr m:val=")"/>
          </m:dPr>
          <m:e>
            <m:sSubSup>
              <m:e>
                <m:r>
                  <w:rPr>
                    <w:rFonts w:ascii="Cambria Math" w:hAnsi="Cambria Math"/>
                    <w:i/>
                    <w:sz w:val="28"/>
                    <w:szCs w:val="28"/>
                  </w:rPr>
                  <m:t xml:space="preserve">γ</m:t>
                </m:r>
              </m:e>
              <m:sub>
                <m:r>
                  <m:rPr>
                    <m:sty m:val="p"/>
                  </m:rPr>
                  <w:rPr>
                    <w:rFonts w:ascii="Cambria Math" w:hAnsi="Cambria Math"/>
                    <w:i w:val="0"/>
                    <w:sz w:val="28"/>
                    <w:szCs w:val="28"/>
                  </w:rPr>
                  <m:t xml:space="preserve">гос</m:t>
                </m:r>
              </m:sub>
              <m:sup>
                <m:r>
                  <m:rPr>
                    <m:sty m:val="p"/>
                  </m:rPr>
                  <w:rPr>
                    <w:rFonts w:ascii="Cambria Math" w:hAnsi="Cambria Math"/>
                    <w:i w:val="0"/>
                    <w:sz w:val="28"/>
                    <w:szCs w:val="28"/>
                  </w:rPr>
                  <m:t xml:space="preserve">0</m:t>
                </m:r>
              </m:sup>
            </m:sSubSup>
            <m:r>
              <m:rPr>
                <m:sty m:val="p"/>
              </m:rPr>
              <w:rPr>
                <w:rFonts w:ascii="Cambria Math" w:hAnsi="Cambria Math"/>
                <w:i w:val="0"/>
                <w:sz w:val="28"/>
                <w:szCs w:val="28"/>
              </w:rPr>
              <m:t xml:space="preserve"> − </m:t>
            </m:r>
            <m:sSubSup>
              <m:e>
                <m:r>
                  <w:rPr>
                    <w:rFonts w:ascii="Cambria Math" w:hAnsi="Cambria Math"/>
                    <w:i/>
                    <w:sz w:val="28"/>
                    <w:szCs w:val="28"/>
                  </w:rPr>
                  <m:t xml:space="preserve">γ</m:t>
                </m:r>
              </m:e>
              <m:sub>
                <m:r>
                  <m:rPr>
                    <m:sty m:val="p"/>
                  </m:rPr>
                  <w:rPr>
                    <w:rFonts w:ascii="Cambria Math" w:hAnsi="Cambria Math"/>
                    <w:i w:val="0"/>
                    <w:sz w:val="28"/>
                    <w:szCs w:val="28"/>
                  </w:rPr>
                  <m:t xml:space="preserve">гос</m:t>
                </m:r>
              </m:sub>
              <m:sup>
                <m:r>
                  <m:rPr>
                    <m:sty m:val="p"/>
                  </m:rPr>
                  <w:rPr>
                    <w:rFonts w:ascii="Cambria Math" w:hAnsi="Cambria Math"/>
                    <w:i w:val="0"/>
                    <w:sz w:val="28"/>
                    <w:szCs w:val="28"/>
                  </w:rPr>
                  <m:t xml:space="preserve">1</m:t>
                </m:r>
              </m:sup>
            </m:sSubSup>
          </m:e>
        </m:d>
        <m:r>
          <m:rPr>
            <m:sty m:val="p"/>
          </m:rPr>
          <w:rPr>
            <w:rFonts w:ascii="Cambria Math" w:hAnsi="Cambria Math"/>
            <w:i w:val="0"/>
            <w:sz w:val="28"/>
            <w:szCs w:val="28"/>
          </w:rPr>
          <m:t xml:space="preserve">·</m:t>
        </m:r>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e>
        </m:d>
      </m:oMath>
      <w:r>
        <w:rPr>
          <w:rFonts w:ascii="Times New Roman" w:cs="Times New Roman" w:eastAsia="Times New Roman" w:hAnsi="Times New Roman"/>
          <w:sz w:val="28"/>
          <w:szCs w:val="28"/>
        </w:rPr>
        <w:t xml:space="preserve">	(2.17)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(C) — доля публичного партнёра при связности C;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vertAlign w:val="superscript"/>
        </w:rPr>
        <w:t xml:space="preserve">0</w:t>
      </w:r>
      <w:r>
        <w:rPr>
          <w:rFonts w:ascii="Times New Roman" w:cs="Times New Roman" w:eastAsia="Times New Roman" w:hAnsi="Times New Roman"/>
          <w:b w:val="false"/>
          <w:bCs w:val="false"/>
          <w:i w:val="false"/>
          <w:iCs w:val="false"/>
          <w:sz w:val="28"/>
          <w:szCs w:val="28"/>
        </w:rPr>
        <w:t xml:space="preserve"> — доля на начальной стадии при C → 0 (в модели 0,40);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 — предельная доля в зрелой сети (0,15); φ(C) — функция (2.5). Остаток 1 −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 делится между оператором, резидентами и фондом пропорционально их долям в схеме 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Схема В реализована в симуляторе главы 3. В ней публичным получателем выступает бюджет территории, принимающей экологическую нагрузку, и его доля растёт со связностью:</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β</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
          <m:e>
            <m:r>
              <w:rPr>
                <w:rFonts w:ascii="Cambria Math" w:hAnsi="Cambria Math"/>
                <w:i/>
                <w:sz w:val="28"/>
                <w:szCs w:val="28"/>
              </w:rPr>
              <m:t xml:space="preserve">β</m:t>
            </m:r>
          </m:e>
          <m:sub>
            <m:r>
              <m:rPr>
                <m:sty m:val="p"/>
              </m:rPr>
              <w:rPr>
                <w:rFonts w:ascii="Cambria Math" w:hAnsi="Cambria Math"/>
                <w:i w:val="0"/>
                <w:sz w:val="28"/>
                <w:szCs w:val="28"/>
              </w:rPr>
              <m:t xml:space="preserve">0</m:t>
            </m:r>
          </m:sub>
        </m:sSub>
        <m:r>
          <m:rPr>
            <m:sty m:val="p"/>
          </m:rPr>
          <w:rPr>
            <w:rFonts w:ascii="Cambria Math" w:hAnsi="Cambria Math"/>
            <w:i w:val="0"/>
            <w:sz w:val="28"/>
            <w:szCs w:val="28"/>
          </w:rPr>
          <m:t xml:space="preserve">·</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
          <m:e>
            <m:r>
              <w:rPr>
                <w:rFonts w:ascii="Cambria Math" w:hAnsi="Cambria Math"/>
                <w:i/>
                <w:sz w:val="28"/>
                <w:szCs w:val="28"/>
              </w:rPr>
              <m:t xml:space="preserve">β</m:t>
            </m:r>
          </m:e>
          <m:sub>
            <m:r>
              <m:rPr>
                <m:sty m:val="p"/>
              </m:rPr>
              <w:rPr>
                <w:rFonts w:ascii="Cambria Math" w:hAnsi="Cambria Math"/>
                <w:i w:val="0"/>
                <w:sz w:val="28"/>
                <w:szCs w:val="28"/>
              </w:rPr>
              <m:t xml:space="preserve">1</m:t>
            </m:r>
          </m:sub>
        </m:sSub>
        <m:r>
          <m:rPr>
            <m:sty m:val="p"/>
          </m:rPr>
          <w:rPr>
            <w:rFonts w:ascii="Cambria Math" w:hAnsi="Cambria Math"/>
            <w:i w:val="0"/>
            <w:sz w:val="28"/>
            <w:szCs w:val="28"/>
          </w:rPr>
          <m:t xml:space="preserve">·</m:t>
        </m:r>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e>
        </m:d>
      </m:oMath>
      <w:r>
        <w:rPr>
          <w:rFonts w:ascii="Times New Roman" w:cs="Times New Roman" w:eastAsia="Times New Roman" w:hAnsi="Times New Roman"/>
          <w:sz w:val="28"/>
          <w:szCs w:val="28"/>
        </w:rPr>
        <w:t xml:space="preserve">	(2.18)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β(C) — доля бюджета территории; β</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доля в экосистемном режиме (0,45); β</w:t>
      </w:r>
      <w:r>
        <w:rPr>
          <w:rFonts w:ascii="Times New Roman" w:cs="Times New Roman" w:eastAsia="Times New Roman" w:hAnsi="Times New Roman"/>
          <w:b w:val="false"/>
          <w:bCs w:val="false"/>
          <w:i w:val="false"/>
          <w:iCs w:val="false"/>
          <w:sz w:val="28"/>
          <w:szCs w:val="28"/>
          <w:vertAlign w:val="subscript"/>
        </w:rPr>
        <w:t xml:space="preserve">1</w:t>
      </w:r>
      <w:r>
        <w:rPr>
          <w:rFonts w:ascii="Times New Roman" w:cs="Times New Roman" w:eastAsia="Times New Roman" w:hAnsi="Times New Roman"/>
          <w:b w:val="false"/>
          <w:bCs w:val="false"/>
          <w:i w:val="false"/>
          <w:iCs w:val="false"/>
          <w:sz w:val="28"/>
          <w:szCs w:val="28"/>
        </w:rPr>
        <w:t xml:space="preserve"> — доля при низкой связности (0,25). Экологическому фонду отводится постоянная доля 0,08, а остаток 1 − β − 0,08 делится между оператором, поставщиками ресурсов и корпорацией развития края в пропорциях выбранного режима; в фискальном режиме они относятся как 0,25 : 0,15 : 0,12.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Противоположная динамика долей в схемах Б и В не является противоречием. В схеме Б публичный партнёр получает возврат на вложенный капитал, и по мере снижения риска его премия уменьшается. В схеме В бюджет получает компенсацию за экологическую нагрузку и рост собственных функций по обслуживанию расширяющейся сети, которые увеличиваются вместе со связностью. Это две разные экономические роли государства, и выбор между схемами означает выбор роли, а не уточнение коэффициентов. Количественное сопоставление схем при одинаковом дивиденде базового сценария дано в таблице 2.10.</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2.10</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Распределение симбиотического дивиденда базового сценария по трём схемам при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0,10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49"/>
        <w:gridCol w:w="1043"/>
        <w:gridCol w:w="1043"/>
        <w:gridCol w:w="1043"/>
        <w:gridCol w:w="1043"/>
        <w:gridCol w:w="1128"/>
        <w:gridCol w:w="1106"/>
      </w:tblGrid>
      <w:tr>
        <w:trPr>
          <w:cantSplit/>
          <w:tblHeader/>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Получатель</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А: доля</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А: млн руб.</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Б: доля</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Б: млн руб.</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В: доля</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В: млн руб.</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Публичный партнёр / бюджет территории</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3,52</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0,302</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3,55</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0,329</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3,86</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платформы</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0,250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2,94</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0,249</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2,93</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0,284</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3,34</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Резиденты / поставщики ресурсов</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0,250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2,94</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0,249</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2,93</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0,171</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Корпорация развития края</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0,136</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1,60</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Экологический фонд</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2,35</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0,199</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2,34</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0,080</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0,94</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Итого</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(2.16)–(2.18); SD = 11,74 млн руб. (таблица 2.6), φ(0,10) = 0,393 при k = 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2.10 показывает, что при связности 0,10 схемы А и Б практически совпадают: переменная доля публичного партнёра в этой точке равна 0,302. Расхождение проявится при росте связности: при C = 0,25 доля публичного партнёра по схеме Б снизится до 0,222, а доля бюджета по схеме В возрастёт до 0,393. Схема В заметно меньше отдаёт экологическому фонду (0,94 против 2,35 млн руб.) и вводит дополнительного получателя — корпорацию развития. Во всех трёх схемах условие полноты выполняется точно, а все доли положительны при любом C из отрезка [0;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Главный вывод из таблицы касается абсолютных величин, а не долей. При дивиденде около 12 млн руб. в год каждая группа получает от 1 до 4 млн руб. Для оператора с годовыми эксплуатационными затратами 30 млн руб. и для бюджета с обязательствами по ликвидации накопленного ущерба это суммы второго порядка. Распределительный механизм поэтому не может служить основным источником финансирования ни платформы, ни экологических программ; он задаёт стимулы, а финансирование должно строиться иначе.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2.5.3. Проверка правила распределения вектором Шепли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Доли в схемах А–В заданы экспертно. Для проверки их соответствия вкладу участников используется вектор Шепли (формула 1.9), который распределяет совокупный выигрыш пропорционально среднему предельному вкладу участника по всем порядкам присоединения к коалиции</w:t>
      </w:r>
      <w:r>
        <w:rPr>
          <w:rStyle w:val="FootnoteReference"/>
        </w:rPr>
        <w:footnoteReference w:id="15"/>
      </w:r>
      <w:r>
        <w:rPr>
          <w:rFonts w:ascii="Times New Roman" w:cs="Times New Roman" w:eastAsia="Times New Roman" w:hAnsi="Times New Roman"/>
          <w:b w:val="false"/>
          <w:bCs w:val="false"/>
          <w:i w:val="false"/>
          <w:iCs w:val="false"/>
          <w:sz w:val="28"/>
          <w:szCs w:val="28"/>
        </w:rPr>
        <w:t xml:space="preserve">. Р. Тан и соавторы предложили применять кооперативные игры для распределения затрат и выгод при межзаводской интеграции процессов</w:t>
      </w:r>
      <w:r>
        <w:rPr>
          <w:rStyle w:val="FootnoteReference"/>
        </w:rPr>
        <w:footnoteReference w:id="16"/>
      </w:r>
      <w:r>
        <w:rPr>
          <w:rFonts w:ascii="Times New Roman" w:cs="Times New Roman" w:eastAsia="Times New Roman" w:hAnsi="Times New Roman"/>
          <w:b w:val="false"/>
          <w:bCs w:val="false"/>
          <w:i w:val="false"/>
          <w:iCs w:val="false"/>
          <w:sz w:val="28"/>
          <w:szCs w:val="28"/>
        </w:rPr>
        <w:t xml:space="preserve">, М. Хите, Й. Людвиг и Ф. Шульманн — для раздела экономии от межфирменной интеграции теплоснабжения</w:t>
      </w:r>
      <w:r>
        <w:rPr>
          <w:rStyle w:val="FootnoteReference"/>
        </w:rPr>
        <w:footnoteReference w:id="17"/>
      </w:r>
      <w:r>
        <w:rPr>
          <w:rFonts w:ascii="Times New Roman" w:cs="Times New Roman" w:eastAsia="Times New Roman" w:hAnsi="Times New Roman"/>
          <w:b w:val="false"/>
          <w:bCs w:val="false"/>
          <w:i w:val="false"/>
          <w:iCs w:val="false"/>
          <w:sz w:val="28"/>
          <w:szCs w:val="28"/>
        </w:rPr>
        <w:t xml:space="preserve">, а Ф. Фадзил и соавторы — для раздела прибыли при совместном использовании квот на выбросы в сети симбиоза </w:t>
      </w:r>
      <w:r>
        <w:rPr>
          <w:rFonts w:ascii="Times New Roman" w:cs="Times New Roman" w:eastAsia="Times New Roman" w:hAnsi="Times New Roman"/>
          <w:b w:val="false"/>
          <w:bCs w:val="false"/>
          <w:i w:val="false"/>
          <w:iCs w:val="false"/>
          <w:sz w:val="28"/>
          <w:szCs w:val="28"/>
        </w:rPr>
        <w:t xml:space="preserve">[23]</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демонстрационного сценария построена игра пяти участников: ГРЭС, «Азот», ЭПП, группа резидентов и оператор. Каждый поток создаёт эффект только при наличии в коалиции обеих сторон (тепло: ГРЭС и резиденты; CO₂: «Азот» и резиденты; вторичное сырьё: ЭПП и резиденты; сокращение размещения отходов: «Азот» и ЭПП). Коалиция с оператором получает полный чистый вклад потоков за вычетом затрат платформы 69,6 млн руб.; коалиция без оператора может заключать обмены напрямую, но получает лишь долю s их чистого вклада из-за более высоких издержек поиска и согласования. Коалиция выбирает лучший из двух вариантов. При s = 0,3 вектор Шепли распределяет 117,4 млн руб. так: резиденты — 31 %, ЭПП — 25 %, «Азот» — 25 %, оператор — 12 %, ГРЭС — 7 %. При s = 0,5 доля оператора снижается до 4,5 %, резидентов — растёт до 36 %.</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Расчёт выявляет две особенности, которые не видны при экспертном задании долей. Первая: вклад оператора резко зависит от того, какую часть эффекта участники могли бы получить без него. Если прямые обмены почти так же эффективны, платформа приносит мало, и её право на долю ослабевает; если без неё обмены не заключаются, её вклад сопоставим с вкладом крупного поставщика. Параметр s поэтому подлежит оценке, а не принятию по умолчанию. Вторая: резиденты как группа участвуют во всех трёх потоках, где они выступают потребителями, и по Шепли получают наибольшую долю, тогда как схема В отводит поставщикам и резидентам вместе лишь 17 %. Значит, эта схема может нарушать индивидуальную рациональность резидентов, что проверяется в §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Вектор Шепли распределяет весь эффект ΔE, а не только дивиденд. Его сопоставление со схемами распределения SD корректно в следующем смысле: основная часть эффекта достаётся участникам через цену, и если цены лежат внутри коридоров таблицы 2.9, распределение по Шепли может быть приближено ценами, а дивиденд служит корректирующим трансфертом. Если же цена смещена к границе коридора в пользу сильной стороны, дивиденд должен компенсировать слабой стороне недополученное.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2.5.4. Финансовая состоятельность оператора и выгода публичного партнёра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Оператор участвует в соглашении добровольно и только при неотрицательной чистой приведённой стоимости своей деятельности: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m:rPr>
                <m:sty m:val="p"/>
              </m:rPr>
              <w:rPr>
                <w:rFonts w:ascii="Cambria Math" w:hAnsi="Cambria Math"/>
                <w:i w:val="0"/>
                <w:sz w:val="28"/>
                <w:szCs w:val="28"/>
              </w:rPr>
              <m:t xml:space="preserve">NPV</m:t>
            </m:r>
          </m:e>
          <m:sub>
            <m:r>
              <m:rPr>
                <m:sty m:val="p"/>
              </m:rPr>
              <w:rPr>
                <w:rFonts w:ascii="Cambria Math" w:hAnsi="Cambria Math"/>
                <w:i w:val="0"/>
                <w:sz w:val="28"/>
                <w:szCs w:val="28"/>
              </w:rPr>
              <m:t xml:space="preserve">опер</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t</m:t>
            </m:r>
            <m:r>
              <m:rPr>
                <m:sty m:val="p"/>
              </m:rPr>
              <w:rPr>
                <w:rFonts w:ascii="Cambria Math" w:hAnsi="Cambria Math"/>
                <w:i w:val="0"/>
                <w:sz w:val="28"/>
                <w:szCs w:val="28"/>
              </w:rPr>
              <m:t xml:space="preserve">=1</m:t>
            </m:r>
          </m:sub>
          <m:sup>
            <m:r>
              <w:rPr>
                <w:rFonts w:ascii="Cambria Math" w:hAnsi="Cambria Math"/>
                <w:i/>
                <w:sz w:val="28"/>
                <w:szCs w:val="28"/>
              </w:rPr>
              <m:t xml:space="preserve">T</m:t>
            </m:r>
          </m:sup>
          <m:e>
            <m:f>
              <m:num>
                <m:sSub>
                  <m:e>
                    <m:r>
                      <w:rPr>
                        <w:rFonts w:ascii="Cambria Math" w:hAnsi="Cambria Math"/>
                        <w:i/>
                        <w:sz w:val="28"/>
                        <w:szCs w:val="28"/>
                      </w:rPr>
                      <m:t xml:space="preserve">F</m:t>
                    </m:r>
                  </m:e>
                  <m:sub>
                    <m:r>
                      <w:rPr>
                        <w:rFonts w:ascii="Cambria Math" w:hAnsi="Cambria Math"/>
                        <w:i/>
                        <w:sz w:val="28"/>
                        <w:szCs w:val="28"/>
                      </w:rPr>
                      <m:t xml:space="preserve">t</m:t>
                    </m:r>
                  </m:sub>
                </m:sSub>
                <m:r>
                  <m:rPr>
                    <m:sty m:val="p"/>
                  </m:rPr>
                  <w:rPr>
                    <w:rFonts w:ascii="Cambria Math" w:hAnsi="Cambria Math"/>
                    <w:i w:val="0"/>
                    <w:sz w:val="28"/>
                    <w:szCs w:val="28"/>
                  </w:rPr>
                  <m:t xml:space="preserve"> + </m:t>
                </m:r>
                <m:sSub>
                  <m:e>
                    <m:r>
                      <w:rPr>
                        <w:rFonts w:ascii="Cambria Math" w:hAnsi="Cambria Math"/>
                        <w:i/>
                        <w:sz w:val="28"/>
                        <w:szCs w:val="28"/>
                      </w:rPr>
                      <m:t xml:space="preserve">γ</m:t>
                    </m:r>
                  </m:e>
                  <m:sub>
                    <m:r>
                      <m:rPr>
                        <m:sty m:val="p"/>
                      </m:rPr>
                      <w:rPr>
                        <w:rFonts w:ascii="Cambria Math" w:hAnsi="Cambria Math"/>
                        <w:i w:val="0"/>
                        <w:sz w:val="28"/>
                        <w:szCs w:val="28"/>
                      </w:rPr>
                      <m:t xml:space="preserve">опер</m:t>
                    </m:r>
                  </m:sub>
                </m:sSub>
                <m:r>
                  <m:rPr>
                    <m:sty m:val="p"/>
                  </m:rPr>
                  <w:rPr>
                    <w:rFonts w:ascii="Cambria Math" w:hAnsi="Cambria Math"/>
                    <w:i w:val="0"/>
                    <w:sz w:val="28"/>
                    <w:szCs w:val="28"/>
                  </w:rPr>
                  <m:t xml:space="preserve">·</m:t>
                </m:r>
                <m:sSub>
                  <m:e>
                    <m:r>
                      <w:rPr>
                        <w:rFonts w:ascii="Cambria Math" w:hAnsi="Cambria Math"/>
                        <w:i/>
                        <w:sz w:val="28"/>
                        <w:szCs w:val="28"/>
                      </w:rPr>
                      <m:t xml:space="preserve">SD</m:t>
                    </m:r>
                  </m:e>
                  <m:sub>
                    <m:r>
                      <w:rPr>
                        <w:rFonts w:ascii="Cambria Math" w:hAnsi="Cambria Math"/>
                        <w:i/>
                        <w:sz w:val="28"/>
                        <w:szCs w:val="28"/>
                      </w:rPr>
                      <m:t xml:space="preserve">t</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опер,</m:t>
                    </m:r>
                    <m:r>
                      <w:rPr>
                        <w:rFonts w:ascii="Cambria Math" w:hAnsi="Cambria Math"/>
                        <w:i/>
                        <w:sz w:val="28"/>
                        <w:szCs w:val="28"/>
                      </w:rPr>
                      <m:t xml:space="preserve">t</m:t>
                    </m:r>
                  </m:sub>
                </m:sSub>
              </m:num>
              <m:den>
                <m:sSup>
                  <m:e>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r</m:t>
                        </m:r>
                      </m:e>
                    </m:d>
                  </m:e>
                  <m:sup>
                    <m:r>
                      <w:rPr>
                        <w:rFonts w:ascii="Cambria Math" w:hAnsi="Cambria Math"/>
                        <w:i/>
                        <w:sz w:val="28"/>
                        <w:szCs w:val="28"/>
                      </w:rPr>
                      <m:t xml:space="preserve">t</m:t>
                    </m:r>
                  </m:sup>
                </m:sSup>
              </m:den>
            </m:f>
          </m:e>
        </m:nary>
        <m:r>
          <m:rPr>
            <m:sty m:val="p"/>
          </m:rPr>
          <w:rPr>
            <w:rFonts w:ascii="Cambria Math" w:hAnsi="Cambria Math"/>
            <w:i w:val="0"/>
            <w:sz w:val="28"/>
            <w:szCs w:val="28"/>
          </w:rPr>
          <m:t xml:space="preserve"> − </m:t>
        </m:r>
        <m:sSub>
          <m:e>
            <m:r>
              <w:rPr>
                <w:rFonts w:ascii="Cambria Math" w:hAnsi="Cambria Math"/>
                <w:i/>
                <w:sz w:val="28"/>
                <w:szCs w:val="28"/>
              </w:rPr>
              <m:t xml:space="preserve">K</m:t>
            </m:r>
          </m:e>
          <m:sub>
            <m:r>
              <m:rPr>
                <m:sty m:val="p"/>
              </m:rPr>
              <w:rPr>
                <w:rFonts w:ascii="Cambria Math" w:hAnsi="Cambria Math"/>
                <w:i w:val="0"/>
                <w:sz w:val="28"/>
                <w:szCs w:val="28"/>
              </w:rPr>
              <m:t xml:space="preserve">пл</m:t>
            </m:r>
          </m:sub>
        </m:sSub>
        <m:r>
          <m:rPr>
            <m:sty m:val="p"/>
          </m:rPr>
          <w:rPr>
            <w:rFonts w:ascii="Cambria Math" w:hAnsi="Cambria Math"/>
            <w:i w:val="0"/>
            <w:sz w:val="28"/>
            <w:szCs w:val="28"/>
          </w:rPr>
          <m:t xml:space="preserve"> ≥ 0</m:t>
        </m:r>
      </m:oMath>
      <w:r>
        <w:rPr>
          <w:rFonts w:ascii="Times New Roman" w:cs="Times New Roman" w:eastAsia="Times New Roman" w:hAnsi="Times New Roman"/>
          <w:sz w:val="28"/>
          <w:szCs w:val="28"/>
        </w:rPr>
        <w:t xml:space="preserve">	(2.19)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NPV</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 чистая приведённая стоимость деятельности оператора, млн руб.; F</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сервисный платёж участников оператору в период t; γ</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 доля оператора в дивиденде; SD</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дивиденд периода t; C</w:t>
      </w:r>
      <w:r>
        <w:rPr>
          <w:rFonts w:ascii="Times New Roman" w:cs="Times New Roman" w:eastAsia="Times New Roman" w:hAnsi="Times New Roman"/>
          <w:b w:val="false"/>
          <w:bCs w:val="false"/>
          <w:i w:val="false"/>
          <w:iCs w:val="false"/>
          <w:sz w:val="28"/>
          <w:szCs w:val="28"/>
          <w:vertAlign w:val="subscript"/>
        </w:rPr>
        <w:t xml:space="preserve">опер,t</w:t>
      </w:r>
      <w:r>
        <w:rPr>
          <w:rFonts w:ascii="Times New Roman" w:cs="Times New Roman" w:eastAsia="Times New Roman" w:hAnsi="Times New Roman"/>
          <w:b w:val="false"/>
          <w:bCs w:val="false"/>
          <w:i w:val="false"/>
          <w:iCs w:val="false"/>
          <w:sz w:val="28"/>
          <w:szCs w:val="28"/>
        </w:rPr>
        <w:t xml:space="preserve"> — эксплуатационные затраты оператора; K</w:t>
      </w:r>
      <w:r>
        <w:rPr>
          <w:rFonts w:ascii="Times New Roman" w:cs="Times New Roman" w:eastAsia="Times New Roman" w:hAnsi="Times New Roman"/>
          <w:b w:val="false"/>
          <w:bCs w:val="false"/>
          <w:i w:val="false"/>
          <w:iCs w:val="false"/>
          <w:sz w:val="28"/>
          <w:szCs w:val="28"/>
          <w:vertAlign w:val="subscript"/>
        </w:rPr>
        <w:t xml:space="preserve">пл</w:t>
      </w:r>
      <w:r>
        <w:rPr>
          <w:rFonts w:ascii="Times New Roman" w:cs="Times New Roman" w:eastAsia="Times New Roman" w:hAnsi="Times New Roman"/>
          <w:b w:val="false"/>
          <w:bCs w:val="false"/>
          <w:i w:val="false"/>
          <w:iCs w:val="false"/>
          <w:sz w:val="28"/>
          <w:szCs w:val="28"/>
        </w:rPr>
        <w:t xml:space="preserve"> — вложения в программно-аппаратный комплекс платформы; r и T — ставка дисконтирования и горизонт.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(2.19) выявляет развилку в модели финансирования оператора. Если сервисный платёж покрывает эксплуатационные затраты и возврат капитала (30 + 24,6 = 54,6 млн руб. в год), доход от дивиденда (2,94 млн руб. в год по схеме А) образует чистую премию, и NPV</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за семь лет при r = 0,10 составляет около 14 млн руб. Если же платёж покрывает только эксплуатацию, а вложения в платформу должны окупиться из дивиденда, NPV</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 −120 + 2,94 · 4,87 ≈ −106 млн руб. Оператор, рассчитывающий на дивиденд как на источник возврата капитала, разорится; дивиденд может быть только премией за результат.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Сервисный платёж 54,6 млн руб. в год вместе с издержками аудита 15 млн руб. составляет около 29 % валовой экономии участников. Это высокая ставка, и она оправдана лишь при том условии, что без платформы участники получали бы существенно меньше; при s = 0,5 её оправданность сомнительна. Для снижения нагрузки на участников часть вложений в платформу может быть профинансирована публичным партнёром, и тогда сервисный платёж уменьшается на аннуитет этих вложений.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Внутри каждой группы получателей, состоящей из нескольких лиц, дивиденд делится пропорционально подтверждённому вкладу. Для группы резидентов правило имеет вид:</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D</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γ</m:t>
            </m:r>
          </m:e>
          <m:sub>
            <m:r>
              <m:rPr>
                <m:sty m:val="p"/>
              </m:rPr>
              <w:rPr>
                <w:rFonts w:ascii="Cambria Math" w:hAnsi="Cambria Math"/>
                <w:i w:val="0"/>
                <w:sz w:val="28"/>
                <w:szCs w:val="28"/>
              </w:rPr>
              <m:t xml:space="preserve">рез</m:t>
            </m:r>
          </m:sub>
        </m:sSub>
        <m:r>
          <m:rPr>
            <m:sty m:val="p"/>
          </m:rPr>
          <w:rPr>
            <w:rFonts w:ascii="Cambria Math" w:hAnsi="Cambria Math"/>
            <w:i w:val="0"/>
            <w:sz w:val="28"/>
            <w:szCs w:val="28"/>
          </w:rPr>
          <m:t xml:space="preserve">·</m:t>
        </m:r>
        <m:r>
          <w:rPr>
            <w:rFonts w:ascii="Cambria Math" w:hAnsi="Cambria Math"/>
            <w:i/>
            <w:sz w:val="28"/>
            <w:szCs w:val="28"/>
          </w:rPr>
          <m:t xml:space="preserve">SD</m:t>
        </m:r>
        <m:r>
          <m:rPr>
            <m:sty m:val="p"/>
          </m:rPr>
          <w:rPr>
            <w:rFonts w:ascii="Cambria Math" w:hAnsi="Cambria Math"/>
            <w:i w:val="0"/>
            <w:sz w:val="28"/>
            <w:szCs w:val="28"/>
          </w:rPr>
          <m:t xml:space="preserve">·</m:t>
        </m:r>
        <m:f>
          <m:num>
            <m:sSub>
              <m:e>
                <m:r>
                  <w:rPr>
                    <w:rFonts w:ascii="Cambria Math" w:hAnsi="Cambria Math"/>
                    <w:i/>
                    <w:sz w:val="28"/>
                    <w:szCs w:val="28"/>
                  </w:rPr>
                  <m:t xml:space="preserve">ΔE</m:t>
                </m:r>
              </m:e>
              <m:sub>
                <m:r>
                  <w:rPr>
                    <w:rFonts w:ascii="Cambria Math" w:hAnsi="Cambria Math"/>
                    <w:i/>
                    <w:sz w:val="28"/>
                    <w:szCs w:val="28"/>
                  </w:rPr>
                  <m:t xml:space="preserve">i</m:t>
                </m:r>
              </m:sub>
            </m:sSub>
          </m:num>
          <m:den>
            <m:nary>
              <m:naryPr>
                <m:chr m:val="∑"/>
                <m:limLoc m:val="undOvr"/>
                <m:supHide m:val="1"/>
              </m:naryPr>
              <m:sub>
                <m:r>
                  <w:rPr>
                    <w:rFonts w:ascii="Cambria Math" w:hAnsi="Cambria Math"/>
                    <w:i/>
                    <w:sz w:val="28"/>
                    <w:szCs w:val="28"/>
                  </w:rPr>
                  <m:t xml:space="preserve">j</m:t>
                </m:r>
              </m:sub>
              <m:sup/>
              <m:e>
                <m:sSub>
                  <m:e>
                    <m:r>
                      <w:rPr>
                        <w:rFonts w:ascii="Cambria Math" w:hAnsi="Cambria Math"/>
                        <w:i/>
                        <w:sz w:val="28"/>
                        <w:szCs w:val="28"/>
                      </w:rPr>
                      <m:t xml:space="preserve">ΔE</m:t>
                    </m:r>
                  </m:e>
                  <m:sub>
                    <m:r>
                      <w:rPr>
                        <w:rFonts w:ascii="Cambria Math" w:hAnsi="Cambria Math"/>
                        <w:i/>
                        <w:sz w:val="28"/>
                        <w:szCs w:val="28"/>
                      </w:rPr>
                      <m:t xml:space="preserve">j</m:t>
                    </m:r>
                  </m:sub>
                </m:sSub>
              </m:e>
            </m:nary>
          </m:den>
        </m:f>
      </m:oMath>
      <w:r>
        <w:rPr>
          <w:rFonts w:ascii="Times New Roman" w:cs="Times New Roman" w:eastAsia="Times New Roman" w:hAnsi="Times New Roman"/>
          <w:sz w:val="28"/>
          <w:szCs w:val="28"/>
        </w:rPr>
        <w:t xml:space="preserve">	(2.20)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дивиденд, начисляемый резиденту i; γ</w:t>
      </w:r>
      <w:r>
        <w:rPr>
          <w:rFonts w:ascii="Times New Roman" w:cs="Times New Roman" w:eastAsia="Times New Roman" w:hAnsi="Times New Roman"/>
          <w:b w:val="false"/>
          <w:bCs w:val="false"/>
          <w:i w:val="false"/>
          <w:iCs w:val="false"/>
          <w:sz w:val="28"/>
          <w:szCs w:val="28"/>
          <w:vertAlign w:val="subscript"/>
        </w:rPr>
        <w:t xml:space="preserve">рез</w:t>
      </w:r>
      <w:r>
        <w:rPr>
          <w:rFonts w:ascii="Times New Roman" w:cs="Times New Roman" w:eastAsia="Times New Roman" w:hAnsi="Times New Roman"/>
          <w:b w:val="false"/>
          <w:bCs w:val="false"/>
          <w:i w:val="false"/>
          <w:iCs w:val="false"/>
          <w:sz w:val="28"/>
          <w:szCs w:val="28"/>
        </w:rPr>
        <w:t xml:space="preserve"> — доля группы резидентов; ΔE</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подтверждённый эффект обменов, в которых участвует резидент i; суммирование в знаменателе ведётся по всем резидентам группы.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(2.20) привязывает долю резидента к его обменам и тем самым исключает начисление тем, кто формально присоединился к платформе, но не передаёт и не получает ресурсов. Её применение к базовому сценарию рассмотрено в §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Выгода публичного партнёра оценивается отношением суммы начислений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·SD за горизонт к вложениям бюджета. При дивиденде базового сценария публичный партнёр за десять лет получит по схеме А около 35 млн руб., тогда как стоимость экопромышленного парка составляет около 930 млн руб. </w:t>
      </w:r>
      <w:r>
        <w:rPr>
          <w:rFonts w:ascii="Times New Roman" w:cs="Times New Roman" w:eastAsia="Times New Roman" w:hAnsi="Times New Roman"/>
          <w:b w:val="false"/>
          <w:bCs w:val="false"/>
          <w:i w:val="false"/>
          <w:iCs w:val="false"/>
          <w:sz w:val="28"/>
          <w:szCs w:val="28"/>
        </w:rPr>
        <w:t xml:space="preserve">[2]</w:t>
      </w:r>
      <w:r>
        <w:rPr>
          <w:rFonts w:ascii="Times New Roman" w:cs="Times New Roman" w:eastAsia="Times New Roman" w:hAnsi="Times New Roman"/>
          <w:b w:val="false"/>
          <w:bCs w:val="false"/>
          <w:i w:val="false"/>
          <w:iCs w:val="false"/>
          <w:sz w:val="28"/>
          <w:szCs w:val="28"/>
        </w:rPr>
        <w:t xml:space="preserve">. Возврат вложений из дивиденда невозможен даже теоретически, и его не следует закладывать в обоснование бюджетных расходов.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этому добавляется уже упомянутый эффект платы за НВОС: сокращение размещения отходов на 60 тыс. т в год уменьшает соответствующие поступления в бюджетную систему примерно на 40 млн руб. Для бюджета годовой денежный баланс экоплатформы в базовом сценарии отрицателен (около −36 млн руб. по схеме А), а положительная сторона его участия лежит вне денежного потока: снижение экологической нагрузки, рост налоговой базы резидентов, сохранение промышленной занятости. Э. Энгель, Р. Фишер и А. Галетович подчёркивали, что обоснование государственно-частного партнёрства бюджетной экономией, которой нет, ведёт к недооценке будущих обязательств бюджета</w:t>
      </w:r>
      <w:r>
        <w:rPr>
          <w:rStyle w:val="FootnoteReference"/>
        </w:rPr>
        <w:footnoteReference w:id="18"/>
      </w:r>
      <w:r>
        <w:rPr>
          <w:rFonts w:ascii="Times New Roman" w:cs="Times New Roman" w:eastAsia="Times New Roman" w:hAnsi="Times New Roman"/>
          <w:b w:val="false"/>
          <w:bCs w:val="false"/>
          <w:i w:val="false"/>
          <w:iCs w:val="false"/>
          <w:sz w:val="28"/>
          <w:szCs w:val="28"/>
        </w:rPr>
        <w:t xml:space="preserve">. Методика экоплатформы предлагает обратное: признать публичный интерес неденежным и оценивать его натуральными показателями, а дивиденд рассматривать как инструмент стимулов.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Ограничение, заложенное в симулятор, — доля бюджета должна покрывать стоимость ликвидации экологического ущерба C</w:t>
      </w:r>
      <w:r>
        <w:rPr>
          <w:rFonts w:ascii="Times New Roman" w:cs="Times New Roman" w:eastAsia="Times New Roman" w:hAnsi="Times New Roman"/>
          <w:b w:val="false"/>
          <w:bCs w:val="false"/>
          <w:i w:val="false"/>
          <w:iCs w:val="false"/>
          <w:sz w:val="28"/>
          <w:szCs w:val="28"/>
          <w:vertAlign w:val="subscript"/>
        </w:rPr>
        <w:t xml:space="preserve">ликв</w:t>
      </w:r>
      <w:r>
        <w:rPr>
          <w:rFonts w:ascii="Times New Roman" w:cs="Times New Roman" w:eastAsia="Times New Roman" w:hAnsi="Times New Roman"/>
          <w:b w:val="false"/>
          <w:bCs w:val="false"/>
          <w:i w:val="false"/>
          <w:iCs w:val="false"/>
          <w:sz w:val="28"/>
          <w:szCs w:val="28"/>
        </w:rPr>
        <w:t xml:space="preserve">, оцениваемую в 15,5–20,5 млн руб. в год, — в базовом сценарии не выполняется: по схеме В бюджет получает 3,9 млн руб. Ограничение не выполняется и при параметрах симулятора по умолчанию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0,15, k = 5, α = 0,10), где расчётный дивиденд составляет около 10,1 млн руб., а доля бюджета — 3,6 млн руб. Совпадение порядка величины дивиденда в симуляторе и в прозрачном расчёте таблицы 2.6 (10,1 и 11,7 млн руб.) подтверждает согласованность двух моделей, но одновременно обнаруживает, что ликвидация накопленного ущерба требует самостоятельного источника финансирования. Этот вывод передаётся в главу 3 как гипотеза, подлежащая проверке на всём диапазоне сценариев. По предварительному расчёту условие SD</w:t>
      </w:r>
      <w:r>
        <w:rPr>
          <w:rFonts w:ascii="Times New Roman" w:cs="Times New Roman" w:eastAsia="Times New Roman" w:hAnsi="Times New Roman"/>
          <w:b w:val="false"/>
          <w:bCs w:val="false"/>
          <w:i w:val="false"/>
          <w:iCs w:val="false"/>
          <w:sz w:val="28"/>
          <w:szCs w:val="28"/>
          <w:vertAlign w:val="subscript"/>
        </w:rPr>
        <w:t xml:space="preserve">б</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b w:val="false"/>
          <w:bCs w:val="false"/>
          <w:i w:val="false"/>
          <w:iCs w:val="false"/>
          <w:sz w:val="28"/>
          <w:szCs w:val="28"/>
          <w:vertAlign w:val="subscript"/>
        </w:rPr>
        <w:t xml:space="preserve">ликв</w:t>
      </w:r>
      <w:r>
        <w:rPr>
          <w:rFonts w:ascii="Times New Roman" w:cs="Times New Roman" w:eastAsia="Times New Roman" w:hAnsi="Times New Roman"/>
          <w:b w:val="false"/>
          <w:bCs w:val="false"/>
          <w:i w:val="false"/>
          <w:iCs w:val="false"/>
          <w:sz w:val="28"/>
          <w:szCs w:val="28"/>
        </w:rPr>
        <w:t xml:space="preserve"> не выполняется даже в верхнем сценарии при α = 0,12 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0,25 (13,6 млн руб.) и достигается лишь в пределе, когда φ приближается к единице.</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 Индивидуальные стимулы участников и устойчивость кооперации</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2.6.1. Игровая постановка: координация или дилемма заключённого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Положительный совокупный эффект не гарантирует, что каждый участник захочет в нём участвовать. Резидент, присоединяющийся к экоплатформе, раскрывает сведения о составе и объёме своих потоков, несёт затраты на приборы учёта и согласование, принимает риск срыва поставки. Часть резидентов конкурирует друг с другом на рынках готовой продукции, и сведения о потоках сырья и отходов могут раскрыть конкуренту технологию или загрузку мощностей. А. Бранденбургер и Б. Нейлбафф назвали такое одновременное сотрудничество и соперничество коопетицией</w:t>
      </w:r>
      <w:r>
        <w:rPr>
          <w:rStyle w:val="FootnoteReference"/>
        </w:rPr>
        <w:footnoteReference w:id="19"/>
      </w:r>
      <w:r>
        <w:rPr>
          <w:rFonts w:ascii="Times New Roman" w:cs="Times New Roman" w:eastAsia="Times New Roman" w:hAnsi="Times New Roman"/>
          <w:b w:val="false"/>
          <w:bCs w:val="false"/>
          <w:i w:val="false"/>
          <w:iCs w:val="false"/>
          <w:sz w:val="28"/>
          <w:szCs w:val="28"/>
        </w:rPr>
        <w:t xml:space="preserve">, а М. Бенгтссон и С. Кок показали, что в деловых сетях оно устойчиво, только если сферы сотрудничества и конкуренции разделены</w:t>
      </w:r>
      <w:r>
        <w:rPr>
          <w:rStyle w:val="FootnoteReference"/>
        </w:rPr>
        <w:footnoteReference w:id="20"/>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двух резидентов, каждый из которых решает, участвовать ли в обмене, игра задаётся матрицей дополнительных выигрышей относительно автономного состояния. Автономный результат каждого принят за нуль, и в матрицу входят только изменения. Пусть g</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чистая выгода участника i при взаимном участии;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безвозвратные затраты подготовки, которые он несёт, если согласился, а партнёр нет; f</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дополнительный выигрыш от уклонения при участии партнёра, если такой выигрыш технологически возможен (например, использование раскрытых партнёром сведений без собственного раскрытия). Матрица представлена в таблице 2.11.</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Матрица дополнительных выигрышей двух резидентов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853"/>
        <w:gridCol w:w="2786"/>
        <w:gridCol w:w="2716"/>
      </w:tblGrid>
      <w:tr>
        <w:trPr>
          <w:cantSplit/>
          <w:tblHeader/>
        </w:trPr>
        <w:tc>
          <w:tcPr>
            <w:tcW w:type="dxa" w:w="3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Резидент i / резидент j</w:t>
            </w:r>
          </w:p>
        </w:tc>
        <w:tc>
          <w:tcPr>
            <w:tcW w:type="dxa" w:w="27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j участвует</w:t>
            </w:r>
          </w:p>
        </w:tc>
        <w:tc>
          <w:tcPr>
            <w:tcW w:type="dxa" w:w="2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j не участвует</w:t>
            </w:r>
          </w:p>
        </w:tc>
      </w:tr>
      <w:tr>
        <w:trPr>
          <w:cantSplit/>
          <w:tblHeader w:val="false"/>
        </w:trPr>
        <w:tc>
          <w:tcPr>
            <w:tcW w:type="dxa" w:w="3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 участвует</w:t>
            </w:r>
          </w:p>
        </w:tc>
        <w:tc>
          <w:tcPr>
            <w:tcW w:type="dxa" w:w="27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g</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p>
        </w:tc>
        <w:tc>
          <w:tcPr>
            <w:tcW w:type="dxa" w:w="27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f</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 не участвует</w:t>
            </w:r>
          </w:p>
        </w:tc>
        <w:tc>
          <w:tcPr>
            <w:tcW w:type="dxa" w:w="27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−c</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p>
        </w:tc>
        <w:tc>
          <w:tcPr>
            <w:tcW w:type="dxa" w:w="27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 0)</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Матрица таблицы 2.11 не предрешает тип игры: он зависит от соотношения параметров. Взаимное участие является равновесием Нэша, если ни одному из участников невыгодно отклониться в одностороннем порядке:</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g</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f</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g</m:t>
            </m:r>
          </m:e>
          <m:sub>
            <m:r>
              <w:rPr>
                <w:rFonts w:ascii="Cambria Math" w:hAnsi="Cambria Math"/>
                <w:i/>
                <w:sz w:val="28"/>
                <w:szCs w:val="28"/>
              </w:rPr>
              <m:t xml:space="preserve">j</m:t>
            </m:r>
          </m:sub>
        </m:sSub>
        <m:r>
          <m:rPr>
            <m:sty m:val="p"/>
          </m:rPr>
          <w:rPr>
            <w:rFonts w:ascii="Cambria Math" w:hAnsi="Cambria Math"/>
            <w:i w:val="0"/>
            <w:sz w:val="28"/>
            <w:szCs w:val="28"/>
          </w:rPr>
          <m:t xml:space="preserve"> ≥ </m:t>
        </m:r>
        <m:sSub>
          <m:e>
            <m:r>
              <w:rPr>
                <w:rFonts w:ascii="Cambria Math" w:hAnsi="Cambria Math"/>
                <w:i/>
                <w:sz w:val="28"/>
                <w:szCs w:val="28"/>
              </w:rPr>
              <m:t xml:space="preserve">f</m:t>
            </m:r>
          </m:e>
          <m:sub>
            <m:r>
              <w:rPr>
                <w:rFonts w:ascii="Cambria Math" w:hAnsi="Cambria Math"/>
                <w:i/>
                <w:sz w:val="28"/>
                <w:szCs w:val="28"/>
              </w:rPr>
              <m:t xml:space="preserve">j</m:t>
            </m:r>
          </m:sub>
        </m:sSub>
      </m:oMath>
      <w:r>
        <w:rPr>
          <w:rFonts w:ascii="Times New Roman" w:cs="Times New Roman" w:eastAsia="Times New Roman" w:hAnsi="Times New Roman"/>
          <w:sz w:val="28"/>
          <w:szCs w:val="28"/>
        </w:rPr>
        <w:t xml:space="preserve">	(2.21)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g</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g</w:t>
      </w:r>
      <w:r>
        <w:rPr>
          <w:rFonts w:ascii="Times New Roman" w:cs="Times New Roman" w:eastAsia="Times New Roman" w:hAnsi="Times New Roman"/>
          <w:b w:val="false"/>
          <w:bCs w:val="false"/>
          <w:i w:val="false"/>
          <w:iCs w:val="false"/>
          <w:sz w:val="28"/>
          <w:szCs w:val="28"/>
          <w:vertAlign w:val="subscript"/>
        </w:rPr>
        <w:t xml:space="preserve">j</w:t>
      </w:r>
      <w:r>
        <w:rPr>
          <w:rFonts w:ascii="Times New Roman" w:cs="Times New Roman" w:eastAsia="Times New Roman" w:hAnsi="Times New Roman"/>
          <w:b w:val="false"/>
          <w:bCs w:val="false"/>
          <w:i w:val="false"/>
          <w:iCs w:val="false"/>
          <w:sz w:val="28"/>
          <w:szCs w:val="28"/>
        </w:rPr>
        <w:t xml:space="preserve"> — выгоды участников при взаимном участии; f</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f</w:t>
      </w:r>
      <w:r>
        <w:rPr>
          <w:rFonts w:ascii="Times New Roman" w:cs="Times New Roman" w:eastAsia="Times New Roman" w:hAnsi="Times New Roman"/>
          <w:b w:val="false"/>
          <w:bCs w:val="false"/>
          <w:i w:val="false"/>
          <w:iCs w:val="false"/>
          <w:sz w:val="28"/>
          <w:szCs w:val="28"/>
          <w:vertAlign w:val="subscript"/>
        </w:rPr>
        <w:t xml:space="preserve">j</w:t>
      </w:r>
      <w:r>
        <w:rPr>
          <w:rFonts w:ascii="Times New Roman" w:cs="Times New Roman" w:eastAsia="Times New Roman" w:hAnsi="Times New Roman"/>
          <w:b w:val="false"/>
          <w:bCs w:val="false"/>
          <w:i w:val="false"/>
          <w:iCs w:val="false"/>
          <w:sz w:val="28"/>
          <w:szCs w:val="28"/>
        </w:rPr>
        <w:t xml:space="preserve"> — выгоды от одностороннего уклонения при участии партнёра; ∧ — логическое «и».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Если условие (2.21) выполнено, а затраты одностороннего участия c положительны, игра имеет два равновесия — взаимное участие и взаимный отказ — и представляет собой игру координации. Участники предпочли бы взаимное участие, но каждый опасается оказаться единственным, кто понёс затраты. Если же f &gt; g, то есть уклонение выгоднее участия, игра превращается в дилемму заключённого, и единственное равновесие — взаимный отказ, хотя оба выиграли бы от сотрудничества.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Различие принципиально для выбора инструмента. В игре координации достаточно снять неопределённость: публичное обязательство якорного участника, гарантия возврата затрат подготовки при несостоявшемся обмене, синхронное подписание договоров через платформу. В дилемме заключённого этого мало, и нужно менять сами выигрыши: уменьшать f за счёт ограничения доступа к данным и увеличивать g за счёт дивиденда. Автоматическое отнесение симбиотического взаимодействия к дилемме заключённого, распространённое в литературе, ведёт к избыточно жёстким механизмам там, где хватило бы координации. М. Моллика, Л. Фраккашия и А. Настази показали, что выбор предприятия между кооперацией в симбиозе и конкурирующей стратегией разработки нового продукта определяется рыночными условиями — объёмом рынка, готовностью покупателей платить и необходимыми вложениями </w:t>
      </w:r>
      <w:r>
        <w:rPr>
          <w:rFonts w:ascii="Times New Roman" w:cs="Times New Roman" w:eastAsia="Times New Roman" w:hAnsi="Times New Roman"/>
          <w:b w:val="false"/>
          <w:bCs w:val="false"/>
          <w:i w:val="false"/>
          <w:iCs w:val="false"/>
          <w:sz w:val="28"/>
          <w:szCs w:val="28"/>
        </w:rPr>
        <w:t xml:space="preserve">[24]</w:t>
      </w:r>
      <w:r>
        <w:rPr>
          <w:rFonts w:ascii="Times New Roman" w:cs="Times New Roman" w:eastAsia="Times New Roman" w:hAnsi="Times New Roman"/>
          <w:b w:val="false"/>
          <w:bCs w:val="false"/>
          <w:i w:val="false"/>
          <w:iCs w:val="false"/>
          <w:sz w:val="28"/>
          <w:szCs w:val="28"/>
        </w:rPr>
        <w:t xml:space="preserve">, то есть тип игры для каждой пары нужно устанавливать по данным, а не постулировать.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экоплатформы Невинномысска большинство пар относится к игре координации. ГРЭС и тепличный резидент не конкурируют, «Азот» и потребитель CO₂ работают на разных рынках, и выгода f от уклонения у них близка к нулю. Дилемма заключённого возникает в парах резидентов одной отрасли, например двух переработчиков полимеров, получающих вторичное сырьё от ЭПП, где раскрытие объёмов закупки сообщает конкуренту о загрузке мощностей.</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2.6.2. Повторяющееся взаимодействие и порог дальновидности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Обмены в экоплатформе повторяются из года в год, и это меняет стимулы. В повторяющейся игре участник сравнивает выигрыш от сотрудничества во всех будущих периодах с разовым выигрышем от уклонения и последующей потерей доступа к платформе. Р. Аксельрод показал, что в повторяющейся дилемме заключённого сотрудничество устойчиво, если будущее достаточно важно для участников</w:t>
      </w:r>
      <w:r>
        <w:rPr>
          <w:rStyle w:val="FootnoteReference"/>
        </w:rPr>
        <w:footnoteReference w:id="21"/>
      </w:r>
      <w:r>
        <w:rPr>
          <w:rFonts w:ascii="Times New Roman" w:cs="Times New Roman" w:eastAsia="Times New Roman" w:hAnsi="Times New Roman"/>
          <w:b w:val="false"/>
          <w:bCs w:val="false"/>
          <w:i w:val="false"/>
          <w:iCs w:val="false"/>
          <w:sz w:val="28"/>
          <w:szCs w:val="28"/>
        </w:rPr>
        <w:t xml:space="preserve">, а Д. Фуденберг и Э. Маскин дали этому условию строгую форму</w:t>
      </w:r>
      <w:r>
        <w:rPr>
          <w:rStyle w:val="FootnoteReference"/>
        </w:rPr>
        <w:footnoteReference w:id="22"/>
      </w:r>
      <w:r>
        <w:rPr>
          <w:rFonts w:ascii="Times New Roman" w:cs="Times New Roman" w:eastAsia="Times New Roman" w:hAnsi="Times New Roman"/>
          <w:b w:val="false"/>
          <w:bCs w:val="false"/>
          <w:i w:val="false"/>
          <w:iCs w:val="false"/>
          <w:sz w:val="28"/>
          <w:szCs w:val="28"/>
        </w:rPr>
        <w:t xml:space="preserve">. Если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чистая выгода участия за период,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разовый выигрыш от уклонения, а уклонившийся участник исключается из распределения, сотрудничество устойчиво при условии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/(1 − δ</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откуда:</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δ</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Sup>
          <m:e>
            <m:r>
              <w:rPr>
                <w:rFonts w:ascii="Cambria Math" w:hAnsi="Cambria Math"/>
                <w:i/>
                <w:sz w:val="28"/>
                <w:szCs w:val="28"/>
              </w:rPr>
              <m:t xml:space="preserve">δ</m:t>
            </m:r>
          </m:e>
          <m:sub>
            <m:r>
              <w:rPr>
                <w:rFonts w:ascii="Cambria Math" w:hAnsi="Cambria Math"/>
                <w:i/>
                <w:sz w:val="28"/>
                <w:szCs w:val="28"/>
              </w:rPr>
              <m:t xml:space="preserve">i</m:t>
            </m:r>
          </m:sub>
          <m:sup>
            <m:r>
              <m:rPr>
                <m:sty m:val="p"/>
              </m:rPr>
              <w:rPr>
                <w:rFonts w:ascii="Cambria Math" w:hAnsi="Cambria Math"/>
                <w:i w:val="0"/>
                <w:sz w:val="28"/>
                <w:szCs w:val="28"/>
              </w:rPr>
              <m:t xml:space="preserve">*</m:t>
            </m:r>
          </m:sup>
        </m:sSubSup>
        <m:r>
          <m:rPr>
            <m:sty m:val="p"/>
          </m:rPr>
          <w:rPr>
            <w:rFonts w:ascii="Cambria Math" w:hAnsi="Cambria Math"/>
            <w:i w:val="0"/>
            <w:sz w:val="28"/>
            <w:szCs w:val="28"/>
          </w:rPr>
          <m:t xml:space="preserve"> = </m:t>
        </m:r>
        <m:f>
          <m:num>
            <m:sSub>
              <m:e>
                <m:r>
                  <w:rPr>
                    <w:rFonts w:ascii="Cambria Math" w:hAnsi="Cambria Math"/>
                    <w:i/>
                    <w:sz w:val="28"/>
                    <w:szCs w:val="28"/>
                  </w:rPr>
                  <m:t xml:space="preserve">c</m:t>
                </m:r>
              </m:e>
              <m:sub>
                <m:r>
                  <w:rPr>
                    <w:rFonts w:ascii="Cambria Math" w:hAnsi="Cambria Math"/>
                    <w:i/>
                    <w:sz w:val="28"/>
                    <w:szCs w:val="28"/>
                  </w:rPr>
                  <m:t xml:space="preserve">i</m:t>
                </m:r>
              </m:sub>
            </m:sSub>
          </m:num>
          <m:den>
            <m:sSub>
              <m:e>
                <m:r>
                  <w:rPr>
                    <w:rFonts w:ascii="Cambria Math" w:hAnsi="Cambria Math"/>
                    <w:i/>
                    <w:sz w:val="28"/>
                    <w:szCs w:val="28"/>
                  </w:rPr>
                  <m:t xml:space="preserve">c</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D</m:t>
                </m:r>
              </m:e>
              <m:sub>
                <m:r>
                  <w:rPr>
                    <w:rFonts w:ascii="Cambria Math" w:hAnsi="Cambria Math"/>
                    <w:i/>
                    <w:sz w:val="28"/>
                    <w:szCs w:val="28"/>
                  </w:rPr>
                  <m:t xml:space="preserve">i</m:t>
                </m:r>
              </m:sub>
            </m:sSub>
          </m:den>
        </m:f>
      </m:oMath>
      <w:r>
        <w:rPr>
          <w:rFonts w:ascii="Times New Roman" w:cs="Times New Roman" w:eastAsia="Times New Roman" w:hAnsi="Times New Roman"/>
          <w:sz w:val="28"/>
          <w:szCs w:val="28"/>
        </w:rPr>
        <w:t xml:space="preserve">	(2.22)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δ</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коэффициент дисконтирования участника i, отражающий его оценку будущих периодов и вероятность продолжения взаимодействия; δ</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пороговое значение, выше которого сотрудничество устойчиво;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разовый выигрыш от уклонения;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чистая выгода участия за период.</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Порог (2.22) низок, когда выгода участия велика по сравнению с выигрышем от уклонения. При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1,0 млн руб. и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0,3 млн руб. δ\* = 0,23; при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0,6 млн руб. порог возрастает до 0,33, а при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0,5 млн руб. — до 0,45. Для сравнения: коэффициент дисконтирования предприятия, применяющего ставку 10 % и оценивающего вероятность продолжения сотрудничества в 0,9, составляет 0,9 / 1,1 ≈ 0,82, что многократно превышает пороги. Отсюда следует вывод, расходящийся с распространённым мнением: проблема кооперации в экоплатформе не в краткосрочной ориентации участников, а в достоверности угрозы исключения. Исключение возможно, только если уклонение наблюдаемо, то есть если оператор располагает данными учёта, по которым видно, что участник получил выгоду, не выполнив обязательств.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требует оговорки. При конечном и известном горизонте сотрудничества (договор на пять лет без продления) обратная индукция разрушает кооперацию с последнего периода, и Д. Крепс с соавторами показали, что её поддерживает лишь неполная информация о типе партнёра</w:t>
      </w:r>
      <w:r>
        <w:rPr>
          <w:rStyle w:val="FootnoteReference"/>
        </w:rPr>
        <w:footnoteReference w:id="23"/>
      </w:r>
      <w:r>
        <w:rPr>
          <w:rFonts w:ascii="Times New Roman" w:cs="Times New Roman" w:eastAsia="Times New Roman" w:hAnsi="Times New Roman"/>
          <w:b w:val="false"/>
          <w:bCs w:val="false"/>
          <w:i w:val="false"/>
          <w:iCs w:val="false"/>
          <w:sz w:val="28"/>
          <w:szCs w:val="28"/>
        </w:rPr>
        <w:t xml:space="preserve">. Поэтому договоры экоплатформы целесообразно заключать с автоматической пролонгацией и без фиксированной даты прекращения всей 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Применим формулы (2.20) и (2.22) к базовому сценарию. По схеме А группа резидентов получает 2,94 млн руб. в год. Если обмены ведут пять резидентов с равным вкладом, каждый получает около 0,59 млн руб. При затратах участия 0,3–0,5 млн руб. в год чистая выгода от дивиденда составляет лишь 0,09–0,29 млн руб., и сам по себе дивиденд едва окупает участие. Решающим оказывается не дивиденд, а выигрыш в цене обмена: потребитель CO₂, покупающий его посередине коридора таблицы 2.9, экономит около 2450 руб. на тонне, и при закупке 2 тыс. т в год его выгода составляет 4,9 млн руб. Дивиденд в этой структуре стимулов — премия, а не основа. По схеме В, где поставщики и резиденты вместе получают 2,0 млн руб., дивиденд на одного резидента ещё меньше, и условие индивидуальной рациональности для малых резидентов без ценового выигрыша не выполняется.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Агентное моделирование подтверждает значение контрактов для устойчивости сетей. В. Альбино, Л. Фраккашия и И. Джанноккаро показали, что договоры о разделе выгод способствуют возникновению самоорганизующихся сетей симбиоза</w:t>
      </w:r>
      <w:r>
        <w:rPr>
          <w:rStyle w:val="FootnoteReference"/>
        </w:rPr>
        <w:footnoteReference w:id="24"/>
      </w:r>
      <w:r>
        <w:rPr>
          <w:rFonts w:ascii="Times New Roman" w:cs="Times New Roman" w:eastAsia="Times New Roman" w:hAnsi="Times New Roman"/>
          <w:b w:val="false"/>
          <w:bCs w:val="false"/>
          <w:i w:val="false"/>
          <w:iCs w:val="false"/>
          <w:sz w:val="28"/>
          <w:szCs w:val="28"/>
        </w:rPr>
        <w:t xml:space="preserve">, а Д. Язан, В. Язданпанах и Л. Фраккашия — что предприятия, многократно взаимодействующие в сети, обучаются кооперативной стратегии, если правила раздела выгод стабильны</w:t>
      </w:r>
      <w:r>
        <w:rPr>
          <w:rStyle w:val="FootnoteReference"/>
        </w:rPr>
        <w:footnoteReference w:id="25"/>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2.6.3. Типология резидентов и доверительное управление данными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Резиденты различаются по двум признакам: комплементарности ресурсов с другими участниками и остроте конкуренции на товарных рынках. Сочетание признаков даёт четыре типа, для каждого из которых платформа должна применять собственный инструмент вовлечения (таблица 2.12).</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Типология резидентов экоплатформы по профилю кооперации и конкуренции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93"/>
        <w:gridCol w:w="1593"/>
        <w:gridCol w:w="1355"/>
        <w:gridCol w:w="1441"/>
        <w:gridCol w:w="1761"/>
        <w:gridCol w:w="1612"/>
      </w:tblGrid>
      <w:tr>
        <w:trPr>
          <w:cantSplit/>
          <w:tblHeader/>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Тип</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Комплементарность ресурсов</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Конкуренция на рынке продукции</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Тип игры</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Инструмент вовлечения</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Пример для Невинномысска</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 Естественные партнёры</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Низкая</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Координация</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Типовой договор, синхронное подписание</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 и тепличный резидент</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 Партнёры-конкуренты</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Дилемма заключённого</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Ограничение доступа к данным, дивиденд</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Два переработчика полимеров у ЭПП</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 Осторожные</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Средняя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 чувствительные данные</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Дилемма с асимметрией информации</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Доверительное управление данными</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Производитель с закрытой технологией</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Безразличные</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Низкая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Любая</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Вовлечение нецелесообразно</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Информирование без затрат</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 сферы услуг</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[24, 25, 26]</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2.12 следует, что универсального инструмента вовлечения нет. Для типа A дивиденд почти не нужен, достаточно снять координационный риск. Для типа B нужен и дивиденд, и ограничение доступа к данным. Тип D не следует вовлекать вовсе: затраты его подключения превысят выгоду и снизят чистый результат сети, что прямо следует из анализа оптимальной связности в § 2.3.3. Л. Харфельдт-Берг, С. Броберг и К. Эрикссон показали, что для продвижения сетей симбиоза важны индивидуальные характеристики участников и контекст, а не только технологическая совместимость </w:t>
      </w:r>
      <w:r>
        <w:rPr>
          <w:rFonts w:ascii="Times New Roman" w:cs="Times New Roman" w:eastAsia="Times New Roman" w:hAnsi="Times New Roman"/>
          <w:b w:val="false"/>
          <w:bCs w:val="false"/>
          <w:i w:val="false"/>
          <w:iCs w:val="false"/>
          <w:sz w:val="28"/>
          <w:szCs w:val="28"/>
        </w:rPr>
        <w:t xml:space="preserve">[26]</w:t>
      </w:r>
      <w:r>
        <w:rPr>
          <w:rFonts w:ascii="Times New Roman" w:cs="Times New Roman" w:eastAsia="Times New Roman" w:hAnsi="Times New Roman"/>
          <w:b w:val="false"/>
          <w:bCs w:val="false"/>
          <w:i w:val="false"/>
          <w:iCs w:val="false"/>
          <w:sz w:val="28"/>
          <w:szCs w:val="28"/>
        </w:rPr>
        <w:t xml:space="preserve">; Ж. Энрикеш и соавторы выявили устойчивые отраслевые различия в движущих силах и барьерах симбиоза </w:t>
      </w:r>
      <w:r>
        <w:rPr>
          <w:rFonts w:ascii="Times New Roman" w:cs="Times New Roman" w:eastAsia="Times New Roman" w:hAnsi="Times New Roman"/>
          <w:b w:val="false"/>
          <w:bCs w:val="false"/>
          <w:i w:val="false"/>
          <w:iCs w:val="false"/>
          <w:sz w:val="28"/>
          <w:szCs w:val="28"/>
        </w:rPr>
        <w:t xml:space="preserve">[25]</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типа C предлагается механизм доверительного управления данными (Data Trust). Участник передаёт сведения о потоках не оператору и не партнёрам, а доверительному управляющему, который обязан использовать их только для расчёта совместимости и эффекта и раскрывает партнёру лишь результат: есть ли совместимый поток, каков его объём в агрегированном виде, какова расчётная цена. С. Делакруа и Н. Лоуренс обосновали такие «восходящие» трасты данных как альтернативу единой модели управления данными, позволяющую участникам коллективно задавать условия использования своих сведений</w:t>
      </w:r>
      <w:r>
        <w:rPr>
          <w:rStyle w:val="FootnoteReference"/>
        </w:rPr>
        <w:footnoteReference w:id="26"/>
      </w:r>
      <w:r>
        <w:rPr>
          <w:rFonts w:ascii="Times New Roman" w:cs="Times New Roman" w:eastAsia="Times New Roman" w:hAnsi="Times New Roman"/>
          <w:b w:val="false"/>
          <w:bCs w:val="false"/>
          <w:i w:val="false"/>
          <w:iCs w:val="false"/>
          <w:sz w:val="28"/>
          <w:szCs w:val="28"/>
        </w:rPr>
        <w:t xml:space="preserve">. В российском праве основой для подобного режима служит законодательство о коммерческой тайне </w:t>
      </w:r>
      <w:r>
        <w:rPr>
          <w:rFonts w:ascii="Times New Roman" w:cs="Times New Roman" w:eastAsia="Times New Roman" w:hAnsi="Times New Roman"/>
          <w:b w:val="false"/>
          <w:bCs w:val="false"/>
          <w:i w:val="false"/>
          <w:iCs w:val="false"/>
          <w:sz w:val="28"/>
          <w:szCs w:val="28"/>
        </w:rPr>
        <w:t xml:space="preserve">[27]</w:t>
      </w:r>
      <w:r>
        <w:rPr>
          <w:rFonts w:ascii="Times New Roman" w:cs="Times New Roman" w:eastAsia="Times New Roman" w:hAnsi="Times New Roman"/>
          <w:b w:val="false"/>
          <w:bCs w:val="false"/>
          <w:i w:val="false"/>
          <w:iCs w:val="false"/>
          <w:sz w:val="28"/>
          <w:szCs w:val="28"/>
        </w:rPr>
        <w:t xml:space="preserve">: доверительный управляющий становится лицом, которому сведения переданы по договору с обязательством сохранения конфиденциальности. Механизм уменьшает f в матрице таблицы 2.11, поскольку партнёр не получает сведений, которые мог бы использовать в конкуренции.</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2.6.4. Интегральный алгоритм и переменные для имитационного исследования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Изложенные в главе процедуры складываются в последовательный алгоритм оценки экоплатформы. На первом шаге устанавливаются состав участников и границы системы (§ 2.1). На втором отбираются допустимые связи по признаку реализуемости (2.2). На третьем рассчитываются доступные объёмы, валовая экономия и дополнительный эффект с проверкой двойного счёта (2.1), (2.7)–(2.9). На четвёртом определяются ценовые коридоры и методы цены (2.14), (2.15). На пятом начисляется и распределяется дивиденд (2.11), (2.16)–(2.20). На шестом проверяются индивидуальная рациональность и устойчивость кооперации (2.21), (2.22). Каждый шаг имеет собственный критерий отказа: связь с z = 0 не переходит на третий шаг, обмен с пустым коридором — на пятый, отрицательный ΔE даёт нулевой дивиденд. Механическое суммирование всех технологически возможных потоков этим исключается.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 Демартини, Ф. Тонелли и К. Говиндан, систематизировав подходы к моделированию симбиоза, отметили преимущества гибридных моделей, сочетающих системную динамику с агентным описанием поведения участников </w:t>
      </w:r>
      <w:r>
        <w:rPr>
          <w:rFonts w:ascii="Times New Roman" w:cs="Times New Roman" w:eastAsia="Times New Roman" w:hAnsi="Times New Roman"/>
          <w:b w:val="false"/>
          <w:bCs w:val="false"/>
          <w:i w:val="false"/>
          <w:iCs w:val="false"/>
          <w:sz w:val="28"/>
          <w:szCs w:val="28"/>
        </w:rPr>
        <w:t xml:space="preserve">[28]</w:t>
      </w:r>
      <w:r>
        <w:rPr>
          <w:rFonts w:ascii="Times New Roman" w:cs="Times New Roman" w:eastAsia="Times New Roman" w:hAnsi="Times New Roman"/>
          <w:b w:val="false"/>
          <w:bCs w:val="false"/>
          <w:i w:val="false"/>
          <w:iCs w:val="false"/>
          <w:sz w:val="28"/>
          <w:szCs w:val="28"/>
        </w:rPr>
        <w:t xml:space="preserve">. Симулятор, используемый в главе 3, относится к системно-динамическому классу; агентная составляющая представлена в нём режимами распределения, а не поведением отдельных участников. Связь методики главы 2 с симулятором задаётся набором переменных, перечисленных в таблице 2.13.</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2.13</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Переменные методики, передаваемые в имитационное исследование главы 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26"/>
        <w:gridCol w:w="1726"/>
        <w:gridCol w:w="1494"/>
        <w:gridCol w:w="1756"/>
        <w:gridCol w:w="2653"/>
      </w:tblGrid>
      <w:tr>
        <w:trPr>
          <w:cantSplit/>
          <w:tblHeader/>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Блок</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Переменная главы 2</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Параметр симулятора</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Значение в главе 2</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Проверяемая гипотеза</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Связность</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(2.3), φ (2.5)</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investment, kScenario</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 = 0,10–0,25; k = 3, 5, 7</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k во времени при институциональных мерах</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Эффект</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 (2.7)</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w:t>
            </w:r>
            <w:r>
              <w:rPr>
                <w:rFonts w:ascii="Times New Roman" w:cs="Times New Roman" w:eastAsia="Times New Roman" w:hAnsi="Times New Roman"/>
                <w:b w:val="false"/>
                <w:bCs w:val="false"/>
                <w:i w:val="false"/>
                <w:iCs w:val="false"/>
                <w:sz w:val="24"/>
                <w:szCs w:val="24"/>
                <w:vertAlign w:val="subscript"/>
              </w:rPr>
              <w:t xml:space="preserve">base</w:t>
            </w:r>
            <w:r>
              <w:rPr>
                <w:rFonts w:ascii="Times New Roman" w:cs="Times New Roman" w:eastAsia="Times New Roman" w:hAnsi="Times New Roman"/>
                <w:b w:val="false"/>
                <w:bCs w:val="false"/>
                <w:i w:val="false"/>
                <w:iCs w:val="false"/>
                <w:sz w:val="24"/>
                <w:szCs w:val="24"/>
              </w:rPr>
              <w:t xml:space="preserve">, ΔE(t)</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 млн руб. (база), диапазон −51,8…289,4</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w:t>
            </w:r>
            <w:r>
              <w:rPr>
                <w:rFonts w:ascii="Times New Roman" w:cs="Times New Roman" w:eastAsia="Times New Roman" w:hAnsi="Times New Roman"/>
                <w:b w:val="false"/>
                <w:bCs w:val="false"/>
                <w:i w:val="false"/>
                <w:iCs w:val="false"/>
                <w:sz w:val="24"/>
                <w:szCs w:val="24"/>
                <w:vertAlign w:val="subscript"/>
              </w:rPr>
              <w:t xml:space="preserve">base</w:t>
            </w:r>
            <w:r>
              <w:rPr>
                <w:rFonts w:ascii="Times New Roman" w:cs="Times New Roman" w:eastAsia="Times New Roman" w:hAnsi="Times New Roman"/>
                <w:b w:val="false"/>
                <w:bCs w:val="false"/>
                <w:i w:val="false"/>
                <w:iCs w:val="false"/>
                <w:sz w:val="24"/>
                <w:szCs w:val="24"/>
              </w:rPr>
              <w:t xml:space="preserve"> = 250 соответствует валовому, а не чистому эффекту</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Оптимум</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 (2.13)</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0,19 без платформы, 0,23 с платформой</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Сдвиг C\* вправо при внедрении платформы</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Дивиденд</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 (2.11), α</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alpha</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 млн руб. при α = 0,10</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Чувствительность SD к α в пределах 0,08–0,12</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Распределение</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(2.16)–(2.18)</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distRegime, β, ecofund</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Схемы А, Б, В (таблица 2.10)</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Различие исходов режимов при одинаковом SD</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Бюджетное ограничение</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w:t>
            </w:r>
            <w:r>
              <w:rPr>
                <w:rFonts w:ascii="Times New Roman" w:cs="Times New Roman" w:eastAsia="Times New Roman" w:hAnsi="Times New Roman"/>
                <w:b w:val="false"/>
                <w:bCs w:val="false"/>
                <w:i w:val="false"/>
                <w:iCs w:val="false"/>
                <w:sz w:val="24"/>
                <w:szCs w:val="24"/>
                <w:vertAlign w:val="subscript"/>
              </w:rPr>
              <w:t xml:space="preserve">б</w:t>
            </w:r>
            <w:r>
              <w:rPr>
                <w:rFonts w:ascii="Times New Roman" w:cs="Times New Roman" w:eastAsia="Times New Roman" w:hAnsi="Times New Roman"/>
                <w:b w:val="false"/>
                <w:bCs w:val="false"/>
                <w:i w:val="false"/>
                <w:iCs w:val="false"/>
                <w:sz w:val="24"/>
                <w:szCs w:val="24"/>
              </w:rPr>
              <w:t xml:space="preserve"> ≥ C</w:t>
            </w:r>
            <w:r>
              <w:rPr>
                <w:rFonts w:ascii="Times New Roman" w:cs="Times New Roman" w:eastAsia="Times New Roman" w:hAnsi="Times New Roman"/>
                <w:b w:val="false"/>
                <w:bCs w:val="false"/>
                <w:i w:val="false"/>
                <w:iCs w:val="false"/>
                <w:sz w:val="24"/>
                <w:szCs w:val="24"/>
                <w:vertAlign w:val="subscript"/>
              </w:rPr>
              <w:t xml:space="preserve">ликв</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liq</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3,6–3,9 млн руб. против 15,5</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Ограничение не выполняется без отдельного источника</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Стимулы</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 (2.22), D</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(2.20)</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0,23–0,45</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Участие малых резидентов определяется ценой, а не дивидендом</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параметры симулятора — по исходному коду программной модели.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таблице 2.13 видно, что часть переменных главы 2 в симуляторе представлена напрямую, а часть отсутствует. Оптимальная связность и стимулы отдельных участников в симуляторе не моделируются; их проверка в главе 3 возможна только косвенно, через сравнение режимов. Наиболее существенное расхождение касается параметра ΔE</w:t>
      </w:r>
      <w:r>
        <w:rPr>
          <w:rFonts w:ascii="Times New Roman" w:cs="Times New Roman" w:eastAsia="Times New Roman" w:hAnsi="Times New Roman"/>
          <w:b w:val="false"/>
          <w:bCs w:val="false"/>
          <w:i w:val="false"/>
          <w:iCs w:val="false"/>
          <w:sz w:val="28"/>
          <w:szCs w:val="28"/>
          <w:vertAlign w:val="subscript"/>
        </w:rPr>
        <w:t xml:space="preserve">base</w:t>
      </w:r>
      <w:r>
        <w:rPr>
          <w:rFonts w:ascii="Times New Roman" w:cs="Times New Roman" w:eastAsia="Times New Roman" w:hAnsi="Times New Roman"/>
          <w:b w:val="false"/>
          <w:bCs w:val="false"/>
          <w:i w:val="false"/>
          <w:iCs w:val="false"/>
          <w:sz w:val="28"/>
          <w:szCs w:val="28"/>
        </w:rPr>
        <w:t xml:space="preserve">: в симуляторе он равен 250 млн руб. и умножается на φ, что при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0,15 даёт около 101 млн руб. чистой экономии при параметрах по умолчанию. Величина того же порядка, что и чистый эффект прозрачного расчёта (117,4 млн руб.), что подтверждает согласованность моделей, но при калибровке симулятора по данным участников параметр ΔE</w:t>
      </w:r>
      <w:r>
        <w:rPr>
          <w:rFonts w:ascii="Times New Roman" w:cs="Times New Roman" w:eastAsia="Times New Roman" w:hAnsi="Times New Roman"/>
          <w:b w:val="false"/>
          <w:bCs w:val="false"/>
          <w:i w:val="false"/>
          <w:iCs w:val="false"/>
          <w:sz w:val="28"/>
          <w:szCs w:val="28"/>
          <w:vertAlign w:val="subscript"/>
        </w:rPr>
        <w:t xml:space="preserve">base</w:t>
      </w:r>
      <w:r>
        <w:rPr>
          <w:rFonts w:ascii="Times New Roman" w:cs="Times New Roman" w:eastAsia="Times New Roman" w:hAnsi="Times New Roman"/>
          <w:b w:val="false"/>
          <w:bCs w:val="false"/>
          <w:i w:val="false"/>
          <w:iCs w:val="false"/>
          <w:sz w:val="28"/>
          <w:szCs w:val="28"/>
        </w:rPr>
        <w:t xml:space="preserve"> должен быть пересчитан по формулам (2.7)–(2.9).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главе 3 предстоит сопоставить три режима: отсутствие платформы, координацию без распределения дивиденда и координацию с распределением по одной из схем. Только такое сравнение позволит отделить вклад организационно-экономического механизма от влияния цен и технологических параметров.</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Выводы по главе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 Промышленный комплекс Невинномысска обладает технологическими предпосылками симбиоза: энергетическое, химическое и перерабатывающее ядро на компактной территории, экопромышленный парк мощностью 190 тыс. т и 52 резидента ТОСЭР. Ни один из пяти выделенных классов связей по открытым данным не может быть отнесена к действующим. Введено различение потенциальной, подготовленной и действующей связи и контрфактическое правило «с платформой — без платформы», без которых технологический потенциал выдаётся за состоявшийся результат.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 Низкая связность объяснена пятью институциональными препятствиями — информационным, контрактным, распределительным, регуляторным и стратегическим, — для каждого из которых в механизме экоплатформы предусмотрен отдельный инструмент и измеримый показатель. Механизм не увеличивает физический объём ресурсов, а переводит потенциальные связи в действующие; его эффективность измеряется ростом организационной составляющей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что делает основной тезис главы опровержимым.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 Разработана архитектура экоплатформы из четырёх контуров с обратной связью и принципом разделения функций измерения и получения эффекта. Предложены показатели доступного объёма (2.1), реализуемости (2.2), структурной (2.3) и стоимостной (2.4) связности. Функция синергетической реализуемости (2.5) получила статус проверяемой гипотезы и процедуру калибровки параметра k по наблюдаемым данным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 Методика расчёта дополнительного эффекта (2.7)–(2.10) исключает внутренние трансферты и вычитает затраты на создание и поддержание связей. В демонстрационном сценарии валовая экономия составляет 239,7 млн руб. в год, чистый эффект — 117,4 млн руб., симбиотический дивиденд при α = 0,10 — 11,7 млн руб.; NPV проекта за 10 лет — 676 млн руб. при внутренней норме доходности около 36 %. Затраты платформы и сделок поглощают 29 % валовой экономии, а тепловой поток из-за вложений в теплотрассу даёт наименьший чистый вклад.</w:t>
      </w:r>
      <w:r>
        <w:rPr>
          <w:rFonts w:ascii="Times New Roman" w:cs="Times New Roman" w:eastAsia="Times New Roman" w:hAnsi="Times New Roman"/>
          <w:b w:val="false"/>
          <w:bCs w:val="false"/>
          <w:i w:val="false"/>
          <w:iCs w:val="false"/>
          <w:sz w:val="28"/>
          <w:szCs w:val="28"/>
        </w:rPr>
        <w:t xml:space="preserve"> Поток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засчитан только как прирост сверх действующих с 2018 г. продаж пищевой углекислоты (32 тыс. т); если половина поставок резидентам окажется переключением прежних покупателей, чистый эффект снизится до 81,4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5. Оптимальная связность сети определяется равенством предельной выгоды и предельных издержек (2.13). В условной постановке платформа смещает оптимум с 0,19 до 0,23 и увеличивает максимальный чистый результат со 143 до 227 млн руб. в год. Направление сдвига устойчиво к параметрам, величина — нет. Вероятностный анализ показал, что при принятых диапазонах параметров вероятность положительного эффекта превышает 0,96 даже при сильной корреляции параметров, а наибольшее влияние на результат оказывают экономия на вторичном сырье, доступность тепла и затраты 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6. Обоснован ценовой механизм, включающий коридор взаимной выгоды (2.14), пять методов цены, гибридный метод с правилом выбора веса по качеству данных (2.15) и дерево выбора метода. Для всех четырёх потоков базового сценария коридоры непусты. Для теплового потока положение коридора зависит от того, кто финансирует теплотрассу, а договорный статус цены должен быть согласован с органом тарифного регулирования.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7. Сопоставлены три схемы распределения дивиденда (2.16)–(2.18), соответствующие разным экономическим ролям государства. Все удовлетворяют условиям полноты и неотрицательности. Проверка вектором Шепли показала, что вклад оператора зависит от эффективности прямых обменов без платформы, а резиденты как группа вносят наибольший вклад, тогда как схема симулятора отводит им наименьшую долю. Дивиденд не может служить источником возврата капитала ни для оператора, ни для публичного партнёра: сервисный платёж оператора должен покрывать затраты и возврат вложений, а публичный интерес оценивается неденежными показателями. Ограничение симулятора SD</w:t>
      </w:r>
      <w:r>
        <w:rPr>
          <w:rFonts w:ascii="Times New Roman" w:cs="Times New Roman" w:eastAsia="Times New Roman" w:hAnsi="Times New Roman"/>
          <w:b w:val="false"/>
          <w:bCs w:val="false"/>
          <w:i w:val="false"/>
          <w:iCs w:val="false"/>
          <w:sz w:val="28"/>
          <w:szCs w:val="28"/>
          <w:vertAlign w:val="subscript"/>
        </w:rPr>
        <w:t xml:space="preserve">б</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b w:val="false"/>
          <w:bCs w:val="false"/>
          <w:i w:val="false"/>
          <w:iCs w:val="false"/>
          <w:sz w:val="28"/>
          <w:szCs w:val="28"/>
          <w:vertAlign w:val="subscript"/>
        </w:rPr>
        <w:t xml:space="preserve">ликв</w:t>
      </w:r>
      <w:r>
        <w:rPr>
          <w:rFonts w:ascii="Times New Roman" w:cs="Times New Roman" w:eastAsia="Times New Roman" w:hAnsi="Times New Roman"/>
          <w:b w:val="false"/>
          <w:bCs w:val="false"/>
          <w:i w:val="false"/>
          <w:iCs w:val="false"/>
          <w:sz w:val="28"/>
          <w:szCs w:val="28"/>
        </w:rPr>
        <w:t xml:space="preserve"> в базовом сценарии не выполняется.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8. Показано, что большинство пар участников экоплатформы играет в игру координации, а не в дилемму заключённого, и порог дальновидности (2.22) многократно ниже реального коэффициента дисконтирования предприятий. Устойчивость кооперации определяется наблюдаемостью уклонения и достоверностью исключения, то есть качеством учёта. Для малых резидентов решающий стимул создаёт выигрыш в цене обмена, а дивиденд играет роль премии. Предложена типология резидентов и механизм доверительного управления данными для участников с чувствительной информацией.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9. Сформирован набор переменных и проверяемых гипотез для имитационного исследования главы 3. Обязательными условиями перехода от сценарной модели к эмпирическим выводам остаются обследование участников, оценка параметров k, s и затрат платформы по фактическим данным и пересчёт параметра ΔE</w:t>
      </w:r>
      <w:r>
        <w:rPr>
          <w:rFonts w:ascii="Times New Roman" w:cs="Times New Roman" w:eastAsia="Times New Roman" w:hAnsi="Times New Roman"/>
          <w:b w:val="false"/>
          <w:bCs w:val="false"/>
          <w:i w:val="false"/>
          <w:iCs w:val="false"/>
          <w:sz w:val="28"/>
          <w:szCs w:val="28"/>
          <w:vertAlign w:val="subscript"/>
        </w:rPr>
        <w:t xml:space="preserve">base</w:t>
      </w:r>
      <w:r>
        <w:rPr>
          <w:rFonts w:ascii="Times New Roman" w:cs="Times New Roman" w:eastAsia="Times New Roman" w:hAnsi="Times New Roman"/>
          <w:b w:val="false"/>
          <w:bCs w:val="false"/>
          <w:i w:val="false"/>
          <w:iCs w:val="false"/>
          <w:sz w:val="28"/>
          <w:szCs w:val="28"/>
        </w:rPr>
        <w:t xml:space="preserve"> симулятора по формулам главы.</w:t>
      </w:r>
    </w:p>
    <w:p>
      <w:r>
        <w:br w:type="page"/>
      </w:r>
    </w:p>
    <w:p>
      <w:pPr>
        <w:pStyle w:val="Heading2"/>
        <w:keepNext/>
        <w:spacing w:after="0" w:before="0" w:line="360" w:lineRule="auto"/>
        <w:ind w:firstLine="0"/>
        <w:jc w:val="center"/>
      </w:pPr>
      <w:r>
        <w:rPr>
          <w:rFonts w:ascii="Times New Roman" w:cs="Times New Roman" w:eastAsia="Times New Roman" w:hAnsi="Times New Roman"/>
          <w:b/>
          <w:bCs/>
          <w:i w:val="false"/>
          <w:iCs w:val="false"/>
          <w:sz w:val="28"/>
          <w:szCs w:val="28"/>
        </w:rPr>
        <w:t xml:space="preserve">СПИСОК ИСТОЧНИКОВ К ГЛАВЕ 2</w:t>
      </w:r>
    </w:p>
    <w:p>
      <w:pPr>
        <w:spacing w:after="0" w:before="0" w:line="360" w:lineRule="auto"/>
      </w:pP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 Информация о социально-экономическом развитии города Невинномысска по итогам 2023 года / Администрация г. Невинномысска. URL: nevinnomyssk-r07.gosweb.gosuslugi.ru (дата обращения: 11.10.2026).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 Переработке дадут свет // Российская газета. 2025. 15 апр. URL: rg.ru/2025/04/15/reg-skfo/pererabotke-dadut-svet.html (дата обращения: 11.10.2026).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 О создании территории опережающего социально-экономического развития «Невинномысск»: Постановление Правительства РФ от 22.12.2017 № 1606.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 Дорогу резиденту // Российская газета. 2026. 15 апр. URL: rg.ru/2026/04/15/reg-skfo/dorogu-rezidentu.html (дата обращения: 11.10.2026).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5. Cisi M., Napoli R. Economic evaluation framework for Industrial Symbiosis through network lenses: a systematic literature review // European Journal of Social Impact and Circular Economy. 2024. Vol. 5, no. 3. P. 1–27. DOI: 10.13135/2704-9906/10926.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6. Об охране окружающей среды: Федеральный закон от 10.01.2002 № 7-ФЗ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7. Об исчислении и взимании платы за негативное воздействие на окружающую среду: Постановление Правительства РФ от 03.03.2017 № 255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8. UNIDO, World Bank Group, GIZ. An International Framework for Eco-Industrial Parks. Version 2.0. Washington, DC: World Bank, 2021.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9. О теплоснабжении: Федеральный закон от 27.07.2010 № 190-ФЗ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10. Об отходах производства и потребления: Федеральный закон от 24.06.1998 № 89-ФЗ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11. Налоговый кодекс Российской Федерации (часть первая) от 31.07.1998 № 146-ФЗ. Раздел V.1 «Взаимозависимые лица. Общие положения о ценах и налогообложении. Налоговый контроль в связи с совершением сделок между взаимозависимыми лицами»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12. Глухов В.В., Бабкин А.В., Шкарупета Е.В., Плотников В.А. Стратегическое управление промышленными экосистемами на основе платформенной концепции // Экономика и управление. 2021. Т. 27, № 10. С. 751–765. DOI: 10.35854/1998-1627-2021-10-751-765.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13. Белых А.Л. Модели формирования промышленного симбиоза // Управление. 2023. Т. 11, № 1. С. 51–63. DOI: 10.26425/2309-3633-2023-11-1-51-63.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14. Krom P., Piscicelli L., Frenken K. Digital platforms for industrial symbiosis // Journal of Innovation Economics &amp; Management. 2022. No. 39. P. 215–240. DOI: 10.3917/jie.pr1.0124.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15. Grimmel P., Tan C.F., Niemeyer J.F. et al. Collaboration platform for enabling industrial symbiosis: integrated knowledge graph database // Procedia CIRP. 2024. Vol. 122. P. 395–400. DOI: 10.1016/j.procir.2024.01.057.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16. Sgambaro L., Chiaroni D., Urbinati A. Unpacking the enabling role of digital technologies in industrial symbiosis: a novel framework on digital functions and industrial symbiosis life-cycle // Journal of Innovation &amp; Knowledge. 2026. Vol. 15. Art. 100995. DOI: 10.1016/j.jik.2026.100995.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17. Ценина Е.В., Репникова В.М. Промышленный симбиоз как стратегия устойчивого развития: интеллектуальные технологии и лучшие мировые практики // Экономика, предпринимательство и право. 2025. Т. 15, № 2. С. 911–934. DOI: 10.18334/epp.15.2.122674.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18. О ставках платы за негативное воздействие на окружающую среду и дополнительных коэффициентах: Постановление Правительства РФ от 13.09.2016 № 913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19. Блам И.Ю., Ковалев С.Ю. Промышленный симбиоз как инструмент декарбонизации // ЭКО. 2022. № 7. С. 67–79. DOI: 10.30680/ECO0131-7652-2022-7-67-79.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20. Dias R.N., Serralha M.F., Pinheiro C.I.C. Achieving Net-Zero Emissions in Industrial Parks Through Optimized Symbiotic Exchanges and Carbon Capture Utilization // Systems and Control Transactions. 2026. Vol. 5. P. 143–151. DOI: 10.69997/sct.111884.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21. OECD Transfer Pricing Guidelines for Multinational Enterprises and Tax Administrations 2022. Paris: OECD Publishing, 2022. DOI: 10.1787/0e655865-en.</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22. Oqbi M., Al-Mohannadi D.M. An integrated optimization-blockchain framework for transparent and fair eco-industrial park design under carbon constraints // Computers &amp; Chemical Engineering. 2026. Vol. 214. Art. 109786. DOI: 10.1016/j.compchemeng.2026.109786.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23. Fadzil F.A., Andiappan V., Ng D.K.S., Ng L.Y., Hamid A. Sharing carbon permits in industrial symbiosis: A game theory-based optimisation model // Journal of Cleaner Production. 2022. Vol. 357. Art. 131820. DOI: 10.1016/j.jclepro.2022.131820.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24. Mollica M., Fraccascia L., Nastasi A. To cooperate, or not to cooperate, that is the question. Strategic analysis for the implementation of industrial symbiosis // Resources, Conservation and Recycling. 2024. Vol. 211. Art. 107893. DOI: 10.1016/j.resconrec.2024.107893.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25. Henriques J., Ferrão P., Castro R., Azevedo J. Industrial Symbiosis: A Sectoral Analysis on Enablers and Barriers // Sustainability. 2021. Vol. 13, no. 4. Art. 1723. DOI: 10.3390/su13041723.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26. Harfeldt-Berg L., Broberg S., Ericsson K. The importance of individual actor characteristics and contextual aspects for promoting industrial symbiosis networks // Sustainability. 2022. Vol. 14, no. 9. Art. 4927. DOI: 10.3390/su14094927.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27. О коммерческой тайне: Федеральный закон от 29.07.2004 № 98-ФЗ (ред. действующая).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28. Demartini M., Tonelli F., Govindan K. An investigation into modelling approaches for industrial symbiosis: A literature review and research agenda // Cleaner Logistics and Supply Chain. 2022. Vol. 3. Art. 100020. DOI: 10.1016/j.clscn.2021.100020.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29. Regulation (EU) 2023/956 of the European Parliament and of the Council of 10 May 2023 establishing a carbon border adjustment mechanism // Official Journal of the European Union. 2023. L 130. P. 52–104.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30. Commission Implementing Regulation (EU) 2023/1773 of 17 August 2023 laying down the rules for the application of Regulation (EU) 2023/956 as regards reporting obligations for the purposes of the carbon border adjustment mechanism during the transitional period // Official Journal of the European Union. 2023. L 228. URL: https://eur-lex.europa.eu/eli/reg_impl/2023/1773/oj (дата обращения: 13.10.2026).</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Lombardi D.R. Quantifying Economic and Environmental Benefits of Co-located Firms // Environmental Science &amp; Technology. 2005. Vol. 39, no. 17. P. 6535–6541.</w:t>
      </w:r>
    </w:p>
  </w:footnote>
  <w:footnote w:id="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 EuroChem начал производство пищевой жидкой углекислоты в Невинномысске: пресс-релиз от 21.12.2018 // RCCnews. 2019. 21 янв. URL: https://rccnews.ru/en/news/103512/ (дата обращения: 13.10.2026).</w:t>
      </w:r>
    </w:p>
  </w:footnote>
  <w:footnote w:id="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Fraccascia L., Yazan D.M. The role of online information-sharing platforms on the performance of industrial symbiosis networks // Resources, Conservation and Recycling. 2018. Vol. 136. P. 473–485. DOI: 10.1016/j.resconrec.2018.03.009.</w:t>
      </w:r>
    </w:p>
  </w:footnote>
  <w:footnote w:id="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Klein B., Crawford R.G., Alchian A.A. Vertical Integration, Appropriable Rents, and the Competitive Contracting Process // The Journal of Law and Economics. 1978. Vol. 21, no. 2. P. 297–326.</w:t>
      </w:r>
    </w:p>
  </w:footnote>
  <w:footnote w:id="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Paquin R.L., Howard-Grenville J. The Evolution of Facilitated Industrial Symbiosis // Journal of Industrial Ecology. 2012. Vol. 16, no. 1. P. 83–93. DOI: 10.1111/j.1530-9290.2011.00437.x.</w:t>
      </w:r>
    </w:p>
  </w:footnote>
  <w:footnote w:id="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 w:id="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Van Berkel R., Fujita T., Hashimoto S., Fujii M. Quantitative Assessment of Urban and Industrial Symbiosis in Kawasaki, Japan // Environmental Science &amp; Technology. 2009. Vol. 43, no. 5. P. 1271–1281. DOI: 10.1021/es803319r.</w:t>
      </w:r>
    </w:p>
  </w:footnote>
  <w:footnote w:id="1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Saltelli A., Ratto M., Andres T., Campolongo F., Cariboni J., Gatelli D., Saisana M., Tarantola S. Global Sensitivity Analysis: The Primer. Chichester: Wiley, 2008.</w:t>
      </w:r>
    </w:p>
  </w:footnote>
  <w:footnote w:id="1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Hirshleifer J. On the Economics of Transfer Pricing // The Journal of Business. 1956. Vol. 29, no. 3. P. 172–184.</w:t>
      </w:r>
    </w:p>
  </w:footnote>
  <w:footnote w:id="1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Nash J.F. The Bargaining Problem // Econometrica. 1950. Vol. 18, no. 2. P. 155–162.</w:t>
      </w:r>
    </w:p>
  </w:footnote>
  <w:footnote w:id="1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Sacchi R., Ramsheva Y.K. The effect of price regulation on the performances of industrial symbiosis: a case study on district heating // International Journal of Sustainable Energy Planning and Management. 2017. Vol. 14. P. 39–56. DOI: 10.5278/ijsepm.2017.14.4.</w:t>
      </w:r>
    </w:p>
  </w:footnote>
  <w:footnote w:id="1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Hart O., Moore J. Property Rights and the Nature of the Firm // Journal of Political Economy. 1990. Vol. 98, no. 6. P. 1119–1158.</w:t>
      </w:r>
    </w:p>
  </w:footnote>
  <w:footnote w:id="1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Shapley L.S. A Value for n-Person Games // Contributions to the Theory of Games. Vol. II / ed. by H.W. Kuhn, A.W. Tucker. Princeton: Princeton University Press, 1953. P. 307–317.</w:t>
      </w:r>
    </w:p>
  </w:footnote>
  <w:footnote w:id="1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Tan R.R., Andiappan V., Wan Y.K., Ng R.T.L., Ng D.K.S. An optimization-based cooperative game approach for systematic allocation of costs and benefits in interplant process integration // Chemical Engineering Research and Design. 2016. Vol. 106. P. 43–58. DOI: 10.1016/j.cherd.2015.11.009.</w:t>
      </w:r>
    </w:p>
  </w:footnote>
  <w:footnote w:id="1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Hiete M., Ludwig J., Schultmann F. Intercompany Energy Integration: Adaptation of Thermal Pinch Analysis and Allocation of Savings // Journal of Industrial Ecology. 2012. Vol. 16, no. 5. P. 689–698. DOI: 10.1111/j.1530-9290.2012.00462.x.</w:t>
      </w:r>
    </w:p>
  </w:footnote>
  <w:footnote w:id="1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Engel E., Fischer R.D., Galetovic A. The Economics of Public-Private Partnerships: A Basic Guide. Cambridge: Cambridge University Press, 2014.</w:t>
      </w:r>
    </w:p>
  </w:footnote>
  <w:footnote w:id="1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Brandenburger A.M., Nalebuff B.J. Co-opetition. New York: Currency Doubleday, 1996.</w:t>
      </w:r>
    </w:p>
  </w:footnote>
  <w:footnote w:id="2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Bengtsson M., Kock S. «Coopetition» in Business Networks — to Cooperate and Compete Simultaneously // Industrial Marketing Management. 2000. Vol. 29, no. 5. P. 411–426. DOI: 10.1016/S0019-8501(99)00067-X.</w:t>
      </w:r>
    </w:p>
  </w:footnote>
  <w:footnote w:id="2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Axelrod R. The Evolution of Cooperation. New York: Basic Books, 1984.</w:t>
      </w:r>
    </w:p>
  </w:footnote>
  <w:footnote w:id="2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Fudenberg D., Maskin E. The Folk Theorem in Repeated Games with Discounting or with Incomplete Information // Econometrica. 1986. Vol. 54, no. 3. P. 533–554.</w:t>
      </w:r>
    </w:p>
  </w:footnote>
  <w:footnote w:id="2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Kreps D.M., Milgrom P., Roberts J., Wilson R. Rational Cooperation in the Finitely Repeated Prisoners’ Dilemma // Journal of Economic Theory. 1982. Vol. 27, no. 2. P. 245–252.</w:t>
      </w:r>
    </w:p>
  </w:footnote>
  <w:footnote w:id="2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Albino V., Fraccascia L., Giannoccaro I. Exploring the role of contracts to support the emergence of self-organized industrial symbiosis networks: an agent-based simulation study // Journal of Cleaner Production. 2016. Vol. 112. P. 4353–4366. DOI: 10.1016/j.jclepro.2015.06.070.</w:t>
      </w:r>
    </w:p>
  </w:footnote>
  <w:footnote w:id="2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Yazan D.M., Yazdanpanah V., Fraccascia L. Learning strategic cooperative behavior in industrial symbiosis: A game-theoretic approach integrated with agent-based simulation // Business Strategy and the Environment. 2020. Vol. 29, no. 5. P. 2078–2091. DOI: 10.1002/bse.2488.</w:t>
      </w:r>
    </w:p>
  </w:footnote>
  <w:footnote w:id="2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Delacroix S., Lawrence N.D. Bottom-up data Trusts: disturbing the ‘one size fits all’ approach to data governance // International Data Privacy Law. 2019. Vol. 9, no. 4. P. 236–252. DOI: 10.1093/idpl/ipz014.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0" w:before="0" w:line="360"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0" w:before="0" w:line="360" w:lineRule="auto"/>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77d713dd2ad3d8a2f0c2d236e7c2468edbe3aa.svg"/><Relationship Id="rId9" Type="http://schemas.openxmlformats.org/officeDocument/2006/relationships/image" Target="media/9014835bdd48f7d1d78ccb8a74a904f08ba8045f.png"/><Relationship Id="rId10" Type="http://schemas.openxmlformats.org/officeDocument/2006/relationships/image" Target="media/2dc932945818c9583170845b12a38b8f97378e63.svg"/><Relationship Id="rId11" Type="http://schemas.openxmlformats.org/officeDocument/2006/relationships/image" Target="media/c055897ae0c81878bb82ffcceafaf50c9f2b7aa4.png"/><Relationship Id="rId12" Type="http://schemas.openxmlformats.org/officeDocument/2006/relationships/image" Target="media/a21e1c4ef592320aa63806bb1641481fd3fc8e50.svg"/><Relationship Id="rId13" Type="http://schemas.openxmlformats.org/officeDocument/2006/relationships/image" Target="media/8e598ef20a00fd1530243ca504ef29729484f6be.png"/><Relationship Id="rId14" Type="http://schemas.openxmlformats.org/officeDocument/2006/relationships/image" Target="media/eac01cc9249f90b5c4df6f7df3864ab09c785943.svg"/><Relationship Id="rId15" Type="http://schemas.openxmlformats.org/officeDocument/2006/relationships/image" Target="media/c10c79201175517adcb1cf903fc72ff0cdcde618.png"/><Relationship Id="rId16" Type="http://schemas.openxmlformats.org/officeDocument/2006/relationships/image" Target="media/9a237b98cf7579ef7940626e8fd56315565a89b3.svg"/><Relationship Id="rId17" Type="http://schemas.openxmlformats.org/officeDocument/2006/relationships/image" Target="media/6085218c2ed15a4296c2f22bf3273b8fc856e36c.png"/><Relationship Id="rId18" Type="http://schemas.openxmlformats.org/officeDocument/2006/relationships/image" Target="media/2a879a6a031dfccc97ebcafd89fa17b94a3a8c07.svg"/><Relationship Id="rId19" Type="http://schemas.openxmlformats.org/officeDocument/2006/relationships/image" Target="media/84f5df84b5a56bb4f52dfcd5db4976e8eea45cd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2026-10-12T04:29:31.518Z</dcterms:created>
  <dcterms:modified xsi:type="dcterms:W3CDTF">2026-10-12T04:29:31.518Z</dcterms:modified>
</cp:coreProperties>
</file>

<file path=docProps/custom.xml><?xml version="1.0" encoding="utf-8"?>
<Properties xmlns="http://schemas.openxmlformats.org/officeDocument/2006/custom-properties" xmlns:vt="http://schemas.openxmlformats.org/officeDocument/2006/docPropsVTypes"/>
</file>