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spacing w:after="0" w:before="0" w:line="360" w:lineRule="auto"/>
        <w:ind w:firstLine="0"/>
        <w:jc w:val="center"/>
      </w:pPr>
      <w:r>
        <w:rPr>
          <w:rFonts w:ascii="Times New Roman" w:cs="Times New Roman" w:eastAsia="Times New Roman" w:hAnsi="Times New Roman"/>
          <w:b/>
          <w:bCs/>
          <w:i w:val="false"/>
          <w:iCs w:val="false"/>
          <w:sz w:val="28"/>
          <w:szCs w:val="28"/>
        </w:rPr>
        <w:t xml:space="preserve">ГЛАВА 2. ОРГАНИЗАЦИОННО-ЭКОНОМИЧЕСКИЙ МЕХАНИЗМ ФОРМИРОВАНИЯ И ОЦЕНКИ ЭФФЕКТИВНОСТИ ПРОМЫШЛЕННОЙ ЭКОПЛАТФОРМЫ Г. НЕВИННОМЫССКА</w:t>
      </w:r>
    </w:p>
    <w:p>
      <w:pPr>
        <w:spacing w:after="0" w:before="0" w:line="360" w:lineRule="auto"/>
      </w:pP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Первая глава закончилась выводом, который задаёт программу всей второй. Дефицит промышленного симбиоза в Невинномысске объясняется не нехваткой ресурсов и не отсутствием инфраструктуры, а тем, что на территории нет институтов измерения и распределения межфирменного эффекта. Режим ТОСЭР, плата за негативное воздействие и государственное финансирование экопромышленного парка увеличивают число потенциальных обменов, но не меняют долю тех из них, которые доходят до договора. Если этот вывод верен, механизм экоплатформы должен воздействовать именно на организационную составляющую η</w:t>
      </w:r>
      <w:r>
        <w:rPr>
          <w:rFonts w:ascii="Times New Roman" w:cs="Times New Roman" w:eastAsia="Times New Roman" w:hAnsi="Times New Roman"/>
          <w:b w:val="false"/>
          <w:bCs w:val="false"/>
          <w:i w:val="false"/>
          <w:iCs w:val="false"/>
          <w:sz w:val="28"/>
          <w:szCs w:val="28"/>
          <w:vertAlign w:val="subscript"/>
        </w:rPr>
        <w:t xml:space="preserve">орг</w:t>
      </w:r>
      <w:r>
        <w:rPr>
          <w:rFonts w:ascii="Times New Roman" w:cs="Times New Roman" w:eastAsia="Times New Roman" w:hAnsi="Times New Roman"/>
          <w:b w:val="false"/>
          <w:bCs w:val="false"/>
          <w:i w:val="false"/>
          <w:iCs w:val="false"/>
          <w:sz w:val="28"/>
          <w:szCs w:val="28"/>
        </w:rPr>
        <w:t xml:space="preserve"> разложения (1.4), а его эффективность должна оцениваться по приросту действующих, а не возможных связей.</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Отсюда вытекают требования к методике, которые выдерживаются во всех параграфах главы. Первое: эффект оценивается относительно явно заданного контрфактического состояния «без платформы», а не относительно нуля. Второе: платежи между участниками не считаются выгодой системы, поскольку выручка поставщика равна затратам покупателя. Третье: каждое числовое значение помечается статусом — измерено, рассчитано по допущению или взято из внешнего источника. Четвёртое: любой параметр, от которого зависит знак результата, проверяется на чувствительность. Без этих требований оценка экоплатформы превращается в сложение технологических потенциалов, а такая сумма всегда положительна и ничего не доказывает.</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Числовые расчёты главы выполнены для демонстрационного сценария. Все исходные величины перечислены в таблицах, их источник указан, а расчёт воспроизводим по приведённым формулам без обращения к программному коду. Производственные данные предприятий Невинномысска в открытом доступе отсутствуют, поэтому сценарий служит проверкой работоспособности методики и определяет, какие данные необходимо получить при обследовании участников; подтверждённой оценкой экономики города он не является.</w:t>
      </w:r>
    </w:p>
    <w:p>
      <w:pPr>
        <w:keepNext/>
        <w:spacing w:after="0" w:before="0" w:line="360" w:lineRule="auto"/>
      </w:pPr>
    </w:p>
    <w:p>
      <w:pPr>
        <w:pStyle w:val="Heading2"/>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2.1. Промышленный комплекс Невинномысска как объект формирования экоплатформы</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2.1.1. Участники, ресурсные потоки и границы экономической системы</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Невинномысск принадлежит к немногим городам Северного Кавказа, где химическое, энергетическое и перерабатывающее производство сосредоточены на компактной территории. В 2023 г. на город приходилось 28,53 % промышленного производства Ставропольского края </w:t>
      </w:r>
      <w:r>
        <w:rPr>
          <w:rFonts w:ascii="Times New Roman" w:cs="Times New Roman" w:eastAsia="Times New Roman" w:hAnsi="Times New Roman"/>
          <w:b w:val="false"/>
          <w:bCs w:val="false"/>
          <w:i w:val="false"/>
          <w:iCs w:val="false"/>
          <w:sz w:val="28"/>
          <w:szCs w:val="28"/>
        </w:rPr>
        <w:t xml:space="preserve">[25]</w:t>
      </w:r>
      <w:r>
        <w:rPr>
          <w:rFonts w:ascii="Times New Roman" w:cs="Times New Roman" w:eastAsia="Times New Roman" w:hAnsi="Times New Roman"/>
          <w:b w:val="false"/>
          <w:bCs w:val="false"/>
          <w:i w:val="false"/>
          <w:iCs w:val="false"/>
          <w:sz w:val="28"/>
          <w:szCs w:val="28"/>
        </w:rPr>
        <w:t xml:space="preserve">. Ядро комплекса образуют Невинномысская ГРЭС и АО «Невинномысский Азот». К ним добавляются строящийся экопромышленный парк проектной мощностью 190 тыс. т переработки отходов в год стоимостью около 930 млн руб. </w:t>
      </w:r>
      <w:r>
        <w:rPr>
          <w:rFonts w:ascii="Times New Roman" w:cs="Times New Roman" w:eastAsia="Times New Roman" w:hAnsi="Times New Roman"/>
          <w:b w:val="false"/>
          <w:bCs w:val="false"/>
          <w:i w:val="false"/>
          <w:iCs w:val="false"/>
          <w:sz w:val="28"/>
          <w:szCs w:val="28"/>
        </w:rPr>
        <w:t xml:space="preserve">[30]</w:t>
      </w:r>
      <w:r>
        <w:rPr>
          <w:rFonts w:ascii="Times New Roman" w:cs="Times New Roman" w:eastAsia="Times New Roman" w:hAnsi="Times New Roman"/>
          <w:b w:val="false"/>
          <w:bCs w:val="false"/>
          <w:i w:val="false"/>
          <w:iCs w:val="false"/>
          <w:sz w:val="28"/>
          <w:szCs w:val="28"/>
        </w:rPr>
        <w:t xml:space="preserve"> и резиденты ТОСЭР «Невинномысск», созданной в 2017 г. </w:t>
      </w:r>
      <w:r>
        <w:rPr>
          <w:rFonts w:ascii="Times New Roman" w:cs="Times New Roman" w:eastAsia="Times New Roman" w:hAnsi="Times New Roman"/>
          <w:b w:val="false"/>
          <w:bCs w:val="false"/>
          <w:i w:val="false"/>
          <w:iCs w:val="false"/>
          <w:sz w:val="28"/>
          <w:szCs w:val="28"/>
        </w:rPr>
        <w:t xml:space="preserve">[12]</w:t>
      </w:r>
      <w:r>
        <w:rPr>
          <w:rFonts w:ascii="Times New Roman" w:cs="Times New Roman" w:eastAsia="Times New Roman" w:hAnsi="Times New Roman"/>
          <w:b w:val="false"/>
          <w:bCs w:val="false"/>
          <w:i w:val="false"/>
          <w:iCs w:val="false"/>
          <w:sz w:val="28"/>
          <w:szCs w:val="28"/>
        </w:rPr>
        <w:t xml:space="preserve">; в апреле 2026 г. их число составляло 52 </w:t>
      </w:r>
      <w:r>
        <w:rPr>
          <w:rFonts w:ascii="Times New Roman" w:cs="Times New Roman" w:eastAsia="Times New Roman" w:hAnsi="Times New Roman"/>
          <w:b w:val="false"/>
          <w:bCs w:val="false"/>
          <w:i w:val="false"/>
          <w:iCs w:val="false"/>
          <w:sz w:val="28"/>
          <w:szCs w:val="28"/>
        </w:rPr>
        <w:t xml:space="preserve">[22]</w:t>
      </w:r>
      <w:r>
        <w:rPr>
          <w:rFonts w:ascii="Times New Roman" w:cs="Times New Roman" w:eastAsia="Times New Roman" w:hAnsi="Times New Roman"/>
          <w:b w:val="false"/>
          <w:bCs w:val="false"/>
          <w:i w:val="false"/>
          <w:iCs w:val="false"/>
          <w:sz w:val="28"/>
          <w:szCs w:val="28"/>
        </w:rPr>
        <w:t xml:space="preserve">. Предприятия ГК «Арнест» и концерна «Энергомера» включены в перечень как потенциальные потребители ресурсов и участники информационного обмена.</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Для экономической оценки этот перечень нужно превратить в систему с явными границами. Единицей наблюдения в работе принято самостоятельное предприятие, единицей обмена — направленный ресурсный поток определённого качества от одного предприятия к другому, единицей результата — изменение денежных потоков участников относительно контрфактического состояния. Такая тройка единиц соответствует подходу М. Чертоу и Д. Ломбарди, которые оценивали выгоды совместно расположенных предприятий по разнице издержек «в симбиозе» и «вне симбиоза» для каждого участника отдельно</w:t>
      </w:r>
      <w:r>
        <w:rPr>
          <w:rStyle w:val="FootnoteReference"/>
        </w:rPr>
        <w:footnoteReference w:id="1"/>
      </w:r>
      <w:r>
        <w:rPr>
          <w:rFonts w:ascii="Times New Roman" w:cs="Times New Roman" w:eastAsia="Times New Roman" w:hAnsi="Times New Roman"/>
          <w:b w:val="false"/>
          <w:bCs w:val="false"/>
          <w:i w:val="false"/>
          <w:iCs w:val="false"/>
          <w:sz w:val="28"/>
          <w:szCs w:val="28"/>
        </w:rPr>
        <w:t xml:space="preserve">. Обзор 61 работы за 2019–2023 гг., выполненный М. Чизи и Р. Наполи, показал, что затраты и выгоды симбиоза в большинстве исследований не идентифицируются и не измеряются, хотя экономическая сторона и признаётся решающей </w:t>
      </w:r>
      <w:r>
        <w:rPr>
          <w:rFonts w:ascii="Times New Roman" w:cs="Times New Roman" w:eastAsia="Times New Roman" w:hAnsi="Times New Roman"/>
          <w:b w:val="false"/>
          <w:bCs w:val="false"/>
          <w:i w:val="false"/>
          <w:iCs w:val="false"/>
          <w:sz w:val="28"/>
          <w:szCs w:val="28"/>
        </w:rPr>
        <w:t xml:space="preserve">[41]</w:t>
      </w:r>
      <w:r>
        <w:rPr>
          <w:rFonts w:ascii="Times New Roman" w:cs="Times New Roman" w:eastAsia="Times New Roman" w:hAnsi="Times New Roman"/>
          <w:b w:val="false"/>
          <w:bCs w:val="false"/>
          <w:i w:val="false"/>
          <w:iCs w:val="false"/>
          <w:sz w:val="28"/>
          <w:szCs w:val="28"/>
        </w:rPr>
        <w:t xml:space="preserve">. Задание границ до расчёта — первое условие, без которого этот пробел не закрыть.</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 границы системы включены предприятия-участники и оператор платформы. Бюджеты бюджетной системы и население остаются внешними контрагентами. Это решение имеет прямые последствия для учёта: снижение платы за негативное воздействие на окружающую среду (НВОС) засчитывается как предотвращённые затраты участников, хотя для бюджета то же самое означает уменьшение поступлений. Противоречия здесь нет, поскольку плата за НВОС задумана как компенсационный платёж, сокращение которого при уменьшении размещения отходов и есть цель регулирования </w:t>
      </w:r>
      <w:r>
        <w:rPr>
          <w:rFonts w:ascii="Times New Roman" w:cs="Times New Roman" w:eastAsia="Times New Roman" w:hAnsi="Times New Roman"/>
          <w:b w:val="false"/>
          <w:bCs w:val="false"/>
          <w:i w:val="false"/>
          <w:iCs w:val="false"/>
          <w:sz w:val="28"/>
          <w:szCs w:val="28"/>
        </w:rPr>
        <w:t xml:space="preserve">[3, 11]</w:t>
      </w:r>
      <w:r>
        <w:rPr>
          <w:rFonts w:ascii="Times New Roman" w:cs="Times New Roman" w:eastAsia="Times New Roman" w:hAnsi="Times New Roman"/>
          <w:b w:val="false"/>
          <w:bCs w:val="false"/>
          <w:i w:val="false"/>
          <w:iCs w:val="false"/>
          <w:sz w:val="28"/>
          <w:szCs w:val="28"/>
        </w:rPr>
        <w:t xml:space="preserve">. Однако при оценке выгоды публичного партнёра (§ 2.5) этот трансферт придётся учесть с обратным знаком.</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Разделение уровней описания связи — второй элемент постановки. Потенциальной связью считается пара «поставщик — потребитель», для которой ресурс одного технологически пригоден для другого. Подготовленная связь, кроме того, имеет подтверждённые технические условия и положительный расчётный эффект. Действующая связь подтверждена договором, показаниями приборов учёта и платёжными документами. Трём уровням соответствуют три вопроса — возможно ли, выгодно ли, происходит ли, — и смешение их ведёт к тому, что технологический потенциал выдаётся за состоявшийся результат. Индекс связности, вычисленный по потенциальным связям, неизбежно завышен; рассчитанный по действующим — может оказаться близким к нулю, но только он описывает фактическое состояние.</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Классы связей, которые рассматриваются в модели экоплатформы, сведены в таблицу 2.1. Для каждого класса указаны условие технической осуществимости и документ, которым подтверждается переход связи на следующий уровень.</w:t>
      </w:r>
    </w:p>
    <w:p>
      <w:pPr>
        <w:keepNext/>
        <w:spacing w:after="0" w:before="0" w:line="360" w:lineRule="auto"/>
        <w:ind w:firstLine="0"/>
        <w:jc w:val="right"/>
      </w:pPr>
      <w:r>
        <w:rPr>
          <w:rFonts w:ascii="Times New Roman" w:cs="Times New Roman" w:eastAsia="Times New Roman" w:hAnsi="Times New Roman"/>
          <w:b w:val="false"/>
          <w:bCs w:val="false"/>
          <w:i w:val="false"/>
          <w:iCs w:val="false"/>
          <w:sz w:val="28"/>
          <w:szCs w:val="28"/>
        </w:rPr>
        <w:t xml:space="preserve">Таблица 2.1</w:t>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8"/>
          <w:szCs w:val="28"/>
        </w:rPr>
        <w:t xml:space="preserve">Классы потенциальных ресурсных связей промышленного комплекса Невинномысска</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382"/>
        <w:gridCol w:w="2003"/>
        <w:gridCol w:w="2193"/>
        <w:gridCol w:w="1857"/>
        <w:gridCol w:w="1920"/>
      </w:tblGrid>
      <w:tr>
        <w:trPr>
          <w:cantSplit/>
          <w:tblHeader/>
        </w:trPr>
        <w:tc>
          <w:tcPr>
            <w:tcW w:type="dxa" w:w="138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Поставщик → потребитель</w:t>
            </w:r>
          </w:p>
        </w:tc>
        <w:tc>
          <w:tcPr>
            <w:tcW w:type="dxa" w:w="200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Ресурс</w:t>
            </w:r>
          </w:p>
        </w:tc>
        <w:tc>
          <w:tcPr>
            <w:tcW w:type="dxa" w:w="219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Условие осуществимости</w:t>
            </w:r>
          </w:p>
        </w:tc>
        <w:tc>
          <w:tcPr>
            <w:tcW w:type="dxa" w:w="185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Подтверждение действующей связи</w:t>
            </w:r>
          </w:p>
        </w:tc>
        <w:tc>
          <w:tcPr>
            <w:tcW w:type="dxa" w:w="19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Уровень на 2026 г.</w:t>
            </w:r>
          </w:p>
        </w:tc>
      </w:tr>
      <w:tr>
        <w:trPr>
          <w:cantSplit/>
          <w:tblHeader w:val="false"/>
        </w:trPr>
        <w:tc>
          <w:tcPr>
            <w:tcW w:type="dxa" w:w="13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ГРЭС → резиденты ТОСЭР</w:t>
            </w:r>
          </w:p>
        </w:tc>
        <w:tc>
          <w:tcPr>
            <w:tcW w:type="dxa" w:w="200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Низкопотенциальное тепло, пар</w:t>
            </w:r>
          </w:p>
        </w:tc>
        <w:tc>
          <w:tcPr>
            <w:tcW w:type="dxa" w:w="219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Температура, расстояние, график загрузки, сезонность спроса</w:t>
            </w:r>
          </w:p>
        </w:tc>
        <w:tc>
          <w:tcPr>
            <w:tcW w:type="dxa" w:w="185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Технические условия, договор, показания теплосчётчика</w:t>
            </w:r>
          </w:p>
        </w:tc>
        <w:tc>
          <w:tcPr>
            <w:tcW w:type="dxa" w:w="192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Потенциальная</w:t>
            </w:r>
          </w:p>
        </w:tc>
      </w:tr>
      <w:tr>
        <w:trPr>
          <w:cantSplit/>
          <w:tblHeader w:val="false"/>
        </w:trPr>
        <w:tc>
          <w:tcPr>
            <w:tcW w:type="dxa" w:w="13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«Азот» → потребители CO₂</w:t>
            </w:r>
          </w:p>
        </w:tc>
        <w:tc>
          <w:tcPr>
            <w:tcW w:type="dxa" w:w="200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Диоксид углерода</w:t>
            </w:r>
          </w:p>
        </w:tc>
        <w:tc>
          <w:tcPr>
            <w:tcW w:type="dxa" w:w="219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Очистка до пищевого или технического сорта, сжижение, транспорт</w:t>
            </w:r>
          </w:p>
        </w:tc>
        <w:tc>
          <w:tcPr>
            <w:tcW w:type="dxa" w:w="185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Паспорт потока, контракт, акты приёмки</w:t>
            </w:r>
          </w:p>
        </w:tc>
        <w:tc>
          <w:tcPr>
            <w:tcW w:type="dxa" w:w="192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Действующая: пищевой CO</w:t>
            </w:r>
            <w:r>
              <w:rPr>
                <w:rFonts w:ascii="Times New Roman" w:cs="Times New Roman" w:eastAsia="Times New Roman" w:hAnsi="Times New Roman"/>
                <w:b w:val="false"/>
                <w:bCs w:val="false"/>
                <w:i w:val="false"/>
                <w:iCs w:val="false"/>
                <w:sz w:val="24"/>
                <w:szCs w:val="24"/>
                <w:vertAlign w:val="subscript"/>
              </w:rPr>
              <w:t xml:space="preserve">2</w:t>
            </w:r>
            <w:r>
              <w:rPr>
                <w:rFonts w:ascii="Times New Roman" w:cs="Times New Roman" w:eastAsia="Times New Roman" w:hAnsi="Times New Roman"/>
                <w:b w:val="false"/>
                <w:bCs w:val="false"/>
                <w:i w:val="false"/>
                <w:iCs w:val="false"/>
                <w:sz w:val="24"/>
                <w:szCs w:val="24"/>
              </w:rPr>
              <w:t xml:space="preserve">, 32 тыс. т/год с 2018 г.; к резидентам ТОСЭР — потенциальная</w:t>
            </w:r>
          </w:p>
        </w:tc>
      </w:tr>
      <w:tr>
        <w:trPr>
          <w:cantSplit/>
          <w:tblHeader w:val="false"/>
        </w:trPr>
        <w:tc>
          <w:tcPr>
            <w:tcW w:type="dxa" w:w="13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ЭПП → резиденты</w:t>
            </w:r>
          </w:p>
        </w:tc>
        <w:tc>
          <w:tcPr>
            <w:tcW w:type="dxa" w:w="200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Вторичное сырьё (ПЭТ, стеклобой, металл)</w:t>
            </w:r>
          </w:p>
        </w:tc>
        <w:tc>
          <w:tcPr>
            <w:tcW w:type="dxa" w:w="219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Сортировка, стабильность качества и объёма</w:t>
            </w:r>
          </w:p>
        </w:tc>
        <w:tc>
          <w:tcPr>
            <w:tcW w:type="dxa" w:w="185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Акты приёмки, спецификации, счета</w:t>
            </w:r>
          </w:p>
        </w:tc>
        <w:tc>
          <w:tcPr>
            <w:tcW w:type="dxa" w:w="192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Подготавливаемая (парк строится)</w:t>
            </w:r>
          </w:p>
        </w:tc>
      </w:tr>
      <w:tr>
        <w:trPr>
          <w:cantSplit/>
          <w:tblHeader w:val="false"/>
        </w:trPr>
        <w:tc>
          <w:tcPr>
            <w:tcW w:type="dxa" w:w="13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Участники → полигон / ЭПП</w:t>
            </w:r>
          </w:p>
        </w:tc>
        <w:tc>
          <w:tcPr>
            <w:tcW w:type="dxa" w:w="200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Отходы IV–V классов</w:t>
            </w:r>
          </w:p>
        </w:tc>
        <w:tc>
          <w:tcPr>
            <w:tcW w:type="dxa" w:w="219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Возможность переработки вместо размещения</w:t>
            </w:r>
          </w:p>
        </w:tc>
        <w:tc>
          <w:tcPr>
            <w:tcW w:type="dxa" w:w="185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Расчёт платы за НВОС, данные учёта отходов</w:t>
            </w:r>
          </w:p>
        </w:tc>
        <w:tc>
          <w:tcPr>
            <w:tcW w:type="dxa" w:w="192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Потенциальная</w:t>
            </w:r>
          </w:p>
        </w:tc>
      </w:tr>
      <w:tr>
        <w:trPr>
          <w:cantSplit/>
          <w:tblHeader w:val="false"/>
        </w:trPr>
        <w:tc>
          <w:tcPr>
            <w:tcW w:type="dxa" w:w="13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Оператор → участники</w:t>
            </w:r>
          </w:p>
        </w:tc>
        <w:tc>
          <w:tcPr>
            <w:tcW w:type="dxa" w:w="200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Данные, подбор контрагентов</w:t>
            </w:r>
          </w:p>
        </w:tc>
        <w:tc>
          <w:tcPr>
            <w:tcW w:type="dxa" w:w="219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Согласие на доступ, защита коммерческой тайны</w:t>
            </w:r>
          </w:p>
        </w:tc>
        <w:tc>
          <w:tcPr>
            <w:tcW w:type="dxa" w:w="185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Регламент, журнал аудита</w:t>
            </w:r>
          </w:p>
        </w:tc>
        <w:tc>
          <w:tcPr>
            <w:tcW w:type="dxa" w:w="192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Отсутствует</w:t>
            </w:r>
          </w:p>
        </w:tc>
      </w:tr>
    </w:tbl>
    <w:p>
      <w:pPr>
        <w:keepNext w:val="false"/>
        <w:spacing w:after="0" w:before="0" w:line="360" w:lineRule="auto"/>
        <w:ind w:firstLine="0"/>
        <w:jc w:val="left"/>
      </w:pPr>
      <w:r>
        <w:rPr>
          <w:rFonts w:ascii="Times New Roman" w:cs="Times New Roman" w:eastAsia="Times New Roman" w:hAnsi="Times New Roman"/>
          <w:b w:val="false"/>
          <w:bCs w:val="false"/>
          <w:i w:val="false"/>
          <w:iCs w:val="false"/>
          <w:sz w:val="24"/>
          <w:szCs w:val="24"/>
        </w:rPr>
        <w:t xml:space="preserve">Источник: составлено автором по </w:t>
      </w:r>
      <w:r>
        <w:rPr>
          <w:rFonts w:ascii="Times New Roman" w:cs="Times New Roman" w:eastAsia="Times New Roman" w:hAnsi="Times New Roman"/>
          <w:b w:val="false"/>
          <w:bCs w:val="false"/>
          <w:i w:val="false"/>
          <w:iCs w:val="false"/>
          <w:sz w:val="24"/>
          <w:szCs w:val="24"/>
        </w:rPr>
        <w:t xml:space="preserve">[11, 22, 25, 30]</w:t>
      </w:r>
      <w:r>
        <w:rPr>
          <w:rFonts w:ascii="Times New Roman" w:cs="Times New Roman" w:eastAsia="Times New Roman" w:hAnsi="Times New Roman"/>
          <w:b w:val="false"/>
          <w:bCs w:val="false"/>
          <w:i w:val="false"/>
          <w:iCs w:val="false"/>
          <w:sz w:val="24"/>
          <w:szCs w:val="24"/>
        </w:rPr>
        <w:t xml:space="preserve">.</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По таблице 2.1 из пяти связей действующей по открытым данным подтверждается одна. С декабря 2018 г. «Азот» выпускает пищевую жидкую углекислоту мощностью 32 тыс. т в год; основные покупатели — производители газированных напитков, часть объёма идёт на сухой лёд и подкормку теплиц</w:t>
      </w:r>
      <w:r>
        <w:rPr>
          <w:rStyle w:val="FootnoteReference"/>
        </w:rPr>
        <w:footnoteReference w:id="2"/>
      </w:r>
      <w:r>
        <w:rPr>
          <w:rFonts w:ascii="Times New Roman" w:cs="Times New Roman" w:eastAsia="Times New Roman" w:hAnsi="Times New Roman"/>
          <w:b w:val="false"/>
          <w:bCs w:val="false"/>
          <w:i w:val="false"/>
          <w:iCs w:val="false"/>
          <w:sz w:val="28"/>
          <w:szCs w:val="28"/>
        </w:rPr>
        <w:t xml:space="preserve">. Для модели это означает ненулевую базовую связность: связь «Азот — покупатели CO</w:t>
      </w:r>
      <w:r>
        <w:rPr>
          <w:rFonts w:ascii="Times New Roman" w:cs="Times New Roman" w:eastAsia="Times New Roman" w:hAnsi="Times New Roman"/>
          <w:b w:val="false"/>
          <w:bCs w:val="false"/>
          <w:i w:val="false"/>
          <w:iCs w:val="false"/>
          <w:sz w:val="28"/>
          <w:szCs w:val="28"/>
          <w:vertAlign w:val="subscript"/>
        </w:rPr>
        <w:t xml:space="preserve">2</w:t>
      </w:r>
      <w:r>
        <w:rPr>
          <w:rFonts w:ascii="Times New Roman" w:cs="Times New Roman" w:eastAsia="Times New Roman" w:hAnsi="Times New Roman"/>
          <w:b w:val="false"/>
          <w:bCs w:val="false"/>
          <w:i w:val="false"/>
          <w:iCs w:val="false"/>
          <w:sz w:val="28"/>
          <w:szCs w:val="28"/>
        </w:rPr>
        <w:t xml:space="preserve">» входит в состояние «без платформы», и эффект платформы может давать только её расширение на резидентов ТОСЭР. Остальные связи действующими по открытым данным не являются. Это не доказывает, что межфирменных поставок в Невинномысске больше нет: исторически сложившиеся поставки пара и воды между крупными предприятиями существуют на многих химических площадках и оформляются обычными договорами. Такие поставки не раскрываются в отчётности, и экоплатформа должна начинать с их инвентаризации, а не с допущения об их наличии или отсутствии.</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Контрфактическое состояние задаётся по правилу «с платформой — без платформы» при одинаковых внешних ценах, объёмах выпуска основной продукции и горизонте оценки. Если за период оценки изменился тариф на тепловую энергию или ставка платы за НВОС, вызванное этим изменение затрат участников не относится к эффекту платформы и выделяется отдельно. Правило выглядит очевидным, но его нарушение — наиболее распространённая ошибка в оценках эко-индустриальных парков: экономия, возникшая из-за роста цен на первичные ресурсы, приписывается симбиозу, хотя она возникла бы и без него. Международная рамка эко-индустриальных парков требует сопоставления с базовой линией, установленной до начала программы </w:t>
      </w:r>
      <w:r>
        <w:rPr>
          <w:rFonts w:ascii="Times New Roman" w:cs="Times New Roman" w:eastAsia="Times New Roman" w:hAnsi="Times New Roman"/>
          <w:b w:val="false"/>
          <w:bCs w:val="false"/>
          <w:i w:val="false"/>
          <w:iCs w:val="false"/>
          <w:sz w:val="28"/>
          <w:szCs w:val="28"/>
        </w:rPr>
        <w:t xml:space="preserve">[70]</w:t>
      </w:r>
      <w:r>
        <w:rPr>
          <w:rFonts w:ascii="Times New Roman" w:cs="Times New Roman" w:eastAsia="Times New Roman" w:hAnsi="Times New Roman"/>
          <w:b w:val="false"/>
          <w:bCs w:val="false"/>
          <w:i w:val="false"/>
          <w:iCs w:val="false"/>
          <w:sz w:val="28"/>
          <w:szCs w:val="28"/>
        </w:rPr>
        <w:t xml:space="preserve">.</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2.1.2. Институциональные причины низкой связности промышленного комплекса</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Почему экономически выгодные обмены не заключаются? Ответ, полученный в первой главе, был сформулирован в терминах трёх противоречий. Здесь его нужно перевести на язык конкретных препятствий, каждое из которых экоплатформа должна устранять собственным инструментом, иначе её функции окажутся декларацией.</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Первое препятствие — информационное. Предприятие знает свои побочные потоки, но не знает, кому они нужны и на каких условиях. Потенциальный потребитель, в свою очередь, не имеет сведений о качестве и стабильности ресурса. Поиск контрагента обходится дорого, и по Р. Коузу издержки поиска и согласования объясняют, почему выгодные сделки остаются незаключёнными</w:t>
      </w:r>
      <w:r>
        <w:rPr>
          <w:rStyle w:val="FootnoteReference"/>
        </w:rPr>
        <w:footnoteReference w:id="3"/>
      </w:r>
      <w:r>
        <w:rPr>
          <w:rFonts w:ascii="Times New Roman" w:cs="Times New Roman" w:eastAsia="Times New Roman" w:hAnsi="Times New Roman"/>
          <w:b w:val="false"/>
          <w:bCs w:val="false"/>
          <w:i w:val="false"/>
          <w:iCs w:val="false"/>
          <w:sz w:val="28"/>
          <w:szCs w:val="28"/>
        </w:rPr>
        <w:t xml:space="preserve">. Л. Фраккашия и Д. Язан на агентной модели показали, что платформы обмена информацией повышают экономическую и экологическую результативность сети симбиоза, но лишь при условии, что участники действительно публикуют данные о потоках</w:t>
      </w:r>
      <w:r>
        <w:rPr>
          <w:rStyle w:val="FootnoteReference"/>
        </w:rPr>
        <w:footnoteReference w:id="4"/>
      </w:r>
      <w:r>
        <w:rPr>
          <w:rFonts w:ascii="Times New Roman" w:cs="Times New Roman" w:eastAsia="Times New Roman" w:hAnsi="Times New Roman"/>
          <w:b w:val="false"/>
          <w:bCs w:val="false"/>
          <w:i w:val="false"/>
          <w:iCs w:val="false"/>
          <w:sz w:val="28"/>
          <w:szCs w:val="28"/>
        </w:rPr>
        <w:t xml:space="preserve">. Иначе говоря, платформа без данных не снижает издержки поиска.</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Второе препятствие — контрактное. Симбиотический обмен почти всегда требует специфических инвестиций: теплотрассы к конкретному потребителю, узла очистки CO₂ под конкретного покупателя, сортировочной линии под конкретную спецификацию. После вложений сторона, которая их сделала, оказывается в зависимости от партнёра, и тот получает возможность пересмотреть цену. Б. Клейн, Р. Кроуфорд и А. Алчиан описали эту проблему вымогательства как главную причину отказа от сделок со специфическими активами</w:t>
      </w:r>
      <w:r>
        <w:rPr>
          <w:rStyle w:val="FootnoteReference"/>
        </w:rPr>
        <w:footnoteReference w:id="5"/>
      </w:r>
      <w:r>
        <w:rPr>
          <w:rFonts w:ascii="Times New Roman" w:cs="Times New Roman" w:eastAsia="Times New Roman" w:hAnsi="Times New Roman"/>
          <w:b w:val="false"/>
          <w:bCs w:val="false"/>
          <w:i w:val="false"/>
          <w:iCs w:val="false"/>
          <w:sz w:val="28"/>
          <w:szCs w:val="28"/>
        </w:rPr>
        <w:t xml:space="preserve">; О. Уильямсон показал, что решением служат долгосрочные контракты с механизмами разрешения споров или вертикальная интеграция</w:t>
      </w:r>
      <w:r>
        <w:rPr>
          <w:rStyle w:val="FootnoteReference"/>
        </w:rPr>
        <w:footnoteReference w:id="6"/>
      </w:r>
      <w:r>
        <w:rPr>
          <w:rFonts w:ascii="Times New Roman" w:cs="Times New Roman" w:eastAsia="Times New Roman" w:hAnsi="Times New Roman"/>
          <w:b w:val="false"/>
          <w:bCs w:val="false"/>
          <w:i w:val="false"/>
          <w:iCs w:val="false"/>
          <w:sz w:val="28"/>
          <w:szCs w:val="28"/>
        </w:rPr>
        <w:t xml:space="preserve">. Для Невинномысска вертикальная интеграция ГРЭС, «Азота» и резидентов исключена, поэтому остаётся контрактный путь, и экоплатформа должна предлагать стандартные формы таких контрактов.</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Третье препятствие — распределительное. Даже при выгодном обмене каждая сторона стремится получить большую часть выигрыша. Без правила раздела переговоры затягиваются, а сильная сторона, как правило крупное предприятие, присваивает почти всю выгоду; слабой стороне участие становится безразличным. Если же совокупный эффект включает экологическую составляющую, которая достаётся территории, а не участникам, частный выигрыш может оказаться меньше затрат подготовки, и сделка не состоится вовсе. Р. Пакен и Дж. Ховард-Гренвиль на материале британской национальной программы промышленного симбиоза показали, что фасилитатор со временем переходит от случайного сведения партнёров к целенаправленному формированию сети обменов, беря на себя согласование условий</w:t>
      </w:r>
      <w:r>
        <w:rPr>
          <w:rStyle w:val="FootnoteReference"/>
        </w:rPr>
        <w:footnoteReference w:id="7"/>
      </w:r>
      <w:r>
        <w:rPr>
          <w:rFonts w:ascii="Times New Roman" w:cs="Times New Roman" w:eastAsia="Times New Roman" w:hAnsi="Times New Roman"/>
          <w:b w:val="false"/>
          <w:bCs w:val="false"/>
          <w:i w:val="false"/>
          <w:iCs w:val="false"/>
          <w:sz w:val="28"/>
          <w:szCs w:val="28"/>
        </w:rPr>
        <w:t xml:space="preserve">.</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Четвёртое препятствие — регуляторное. Передача тепла сторонним потребителям подпадает под регулирование теплоснабжения </w:t>
      </w:r>
      <w:r>
        <w:rPr>
          <w:rFonts w:ascii="Times New Roman" w:cs="Times New Roman" w:eastAsia="Times New Roman" w:hAnsi="Times New Roman"/>
          <w:b w:val="false"/>
          <w:bCs w:val="false"/>
          <w:i w:val="false"/>
          <w:iCs w:val="false"/>
          <w:sz w:val="28"/>
          <w:szCs w:val="28"/>
        </w:rPr>
        <w:t xml:space="preserve">[5]</w:t>
      </w:r>
      <w:r>
        <w:rPr>
          <w:rFonts w:ascii="Times New Roman" w:cs="Times New Roman" w:eastAsia="Times New Roman" w:hAnsi="Times New Roman"/>
          <w:b w:val="false"/>
          <w:bCs w:val="false"/>
          <w:i w:val="false"/>
          <w:iCs w:val="false"/>
          <w:sz w:val="28"/>
          <w:szCs w:val="28"/>
        </w:rPr>
        <w:t xml:space="preserve">, передача отходов требует соблюдения обязательных требований к обращению с ними </w:t>
      </w:r>
      <w:r>
        <w:rPr>
          <w:rFonts w:ascii="Times New Roman" w:cs="Times New Roman" w:eastAsia="Times New Roman" w:hAnsi="Times New Roman"/>
          <w:b w:val="false"/>
          <w:bCs w:val="false"/>
          <w:i w:val="false"/>
          <w:iCs w:val="false"/>
          <w:sz w:val="28"/>
          <w:szCs w:val="28"/>
        </w:rPr>
        <w:t xml:space="preserve">[2]</w:t>
      </w:r>
      <w:r>
        <w:rPr>
          <w:rFonts w:ascii="Times New Roman" w:cs="Times New Roman" w:eastAsia="Times New Roman" w:hAnsi="Times New Roman"/>
          <w:b w:val="false"/>
          <w:bCs w:val="false"/>
          <w:i w:val="false"/>
          <w:iCs w:val="false"/>
          <w:sz w:val="28"/>
          <w:szCs w:val="28"/>
        </w:rPr>
        <w:t xml:space="preserve">, а сделки между взаимозависимыми лицами контролируются налоговыми органами по правилам раздела V.1 Налогового кодекса </w:t>
      </w:r>
      <w:r>
        <w:rPr>
          <w:rFonts w:ascii="Times New Roman" w:cs="Times New Roman" w:eastAsia="Times New Roman" w:hAnsi="Times New Roman"/>
          <w:b w:val="false"/>
          <w:bCs w:val="false"/>
          <w:i w:val="false"/>
          <w:iCs w:val="false"/>
          <w:sz w:val="28"/>
          <w:szCs w:val="28"/>
        </w:rPr>
        <w:t xml:space="preserve">[1]</w:t>
      </w:r>
      <w:r>
        <w:rPr>
          <w:rFonts w:ascii="Times New Roman" w:cs="Times New Roman" w:eastAsia="Times New Roman" w:hAnsi="Times New Roman"/>
          <w:b w:val="false"/>
          <w:bCs w:val="false"/>
          <w:i w:val="false"/>
          <w:iCs w:val="false"/>
          <w:sz w:val="28"/>
          <w:szCs w:val="28"/>
        </w:rPr>
        <w:t xml:space="preserve">. Каждое из этих требований обоснованно, но вместе они делают подготовку обмена делом юристов, а не технологов, и небольшой резидент ТОСЭР на это, как правило, не идёт.</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Соотношение препятствий и инструментов экоплатформы показано в таблице 2.2. Её задача — проверить полноту механизма: если для какого-либо препятствия инструмента нет, механизм неполон, и его эффективность нельзя оценивать как сумму эффектов отдельных инструментов.</w:t>
      </w:r>
    </w:p>
    <w:p>
      <w:pPr>
        <w:keepNext/>
        <w:spacing w:after="0" w:before="0" w:line="360" w:lineRule="auto"/>
        <w:ind w:firstLine="0"/>
        <w:jc w:val="right"/>
      </w:pPr>
      <w:r>
        <w:rPr>
          <w:rFonts w:ascii="Times New Roman" w:cs="Times New Roman" w:eastAsia="Times New Roman" w:hAnsi="Times New Roman"/>
          <w:b w:val="false"/>
          <w:bCs w:val="false"/>
          <w:i w:val="false"/>
          <w:iCs w:val="false"/>
          <w:sz w:val="28"/>
          <w:szCs w:val="28"/>
        </w:rPr>
        <w:t xml:space="preserve">Таблица 2.2</w:t>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8"/>
          <w:szCs w:val="28"/>
        </w:rPr>
        <w:t xml:space="preserve">Институциональные препятствия межфирменного обмена и инструменты экоплатформы</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109"/>
        <w:gridCol w:w="2427"/>
        <w:gridCol w:w="1910"/>
        <w:gridCol w:w="1116"/>
        <w:gridCol w:w="1793"/>
      </w:tblGrid>
      <w:tr>
        <w:trPr>
          <w:cantSplit/>
          <w:tblHeader/>
        </w:trPr>
        <w:tc>
          <w:tcPr>
            <w:tcW w:type="dxa" w:w="210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Препятствие</w:t>
            </w:r>
          </w:p>
        </w:tc>
        <w:tc>
          <w:tcPr>
            <w:tcW w:type="dxa" w:w="242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Проявление в Невинномысске</w:t>
            </w:r>
          </w:p>
        </w:tc>
        <w:tc>
          <w:tcPr>
            <w:tcW w:type="dxa" w:w="19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Инструмент экоплатформы</w:t>
            </w:r>
          </w:p>
        </w:tc>
        <w:tc>
          <w:tcPr>
            <w:tcW w:type="dxa" w:w="111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Параграф главы</w:t>
            </w:r>
          </w:p>
        </w:tc>
        <w:tc>
          <w:tcPr>
            <w:tcW w:type="dxa" w:w="179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Показатель воздействия</w:t>
            </w:r>
          </w:p>
        </w:tc>
      </w:tr>
      <w:tr>
        <w:trPr>
          <w:cantSplit/>
          <w:tblHeader w:val="false"/>
        </w:trPr>
        <w:tc>
          <w:tcPr>
            <w:tcW w:type="dxa" w:w="210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Информационное</w:t>
            </w:r>
          </w:p>
        </w:tc>
        <w:tc>
          <w:tcPr>
            <w:tcW w:type="dxa" w:w="242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Потоки не раскрыты, потребители не знают о ресурсе</w:t>
            </w:r>
          </w:p>
        </w:tc>
        <w:tc>
          <w:tcPr>
            <w:tcW w:type="dxa" w:w="191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Реестр потоков, телеметрия, подбор пар</w:t>
            </w:r>
          </w:p>
        </w:tc>
        <w:tc>
          <w:tcPr>
            <w:tcW w:type="dxa" w:w="111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2.2</w:t>
            </w:r>
          </w:p>
        </w:tc>
        <w:tc>
          <w:tcPr>
            <w:tcW w:type="dxa" w:w="179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Рост N</w:t>
            </w:r>
            <w:r>
              <w:rPr>
                <w:rFonts w:ascii="Times New Roman" w:cs="Times New Roman" w:eastAsia="Times New Roman" w:hAnsi="Times New Roman"/>
                <w:b w:val="false"/>
                <w:bCs w:val="false"/>
                <w:i w:val="false"/>
                <w:iCs w:val="false"/>
                <w:sz w:val="24"/>
                <w:szCs w:val="24"/>
                <w:vertAlign w:val="subscript"/>
              </w:rPr>
              <w:t xml:space="preserve">доп</w:t>
            </w:r>
            <w:r>
              <w:rPr>
                <w:rFonts w:ascii="Times New Roman" w:cs="Times New Roman" w:eastAsia="Times New Roman" w:hAnsi="Times New Roman"/>
                <w:b w:val="false"/>
                <w:bCs w:val="false"/>
                <w:i w:val="false"/>
                <w:iCs w:val="false"/>
                <w:sz w:val="24"/>
                <w:szCs w:val="24"/>
              </w:rPr>
              <w:t xml:space="preserve"> и снижение затрат поиска</w:t>
            </w:r>
          </w:p>
        </w:tc>
      </w:tr>
      <w:tr>
        <w:trPr>
          <w:cantSplit/>
          <w:tblHeader w:val="false"/>
        </w:trPr>
        <w:tc>
          <w:tcPr>
            <w:tcW w:type="dxa" w:w="210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Контрактное</w:t>
            </w:r>
          </w:p>
        </w:tc>
        <w:tc>
          <w:tcPr>
            <w:tcW w:type="dxa" w:w="242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Специфические инвестиции без гарантий цены</w:t>
            </w:r>
          </w:p>
        </w:tc>
        <w:tc>
          <w:tcPr>
            <w:tcW w:type="dxa" w:w="191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Типовой долгосрочный договор, ценовой коридор</w:t>
            </w:r>
          </w:p>
        </w:tc>
        <w:tc>
          <w:tcPr>
            <w:tcW w:type="dxa" w:w="111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2.4</w:t>
            </w:r>
          </w:p>
        </w:tc>
        <w:tc>
          <w:tcPr>
            <w:tcW w:type="dxa" w:w="179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Доля подготовленных связей, перешедших в действующие</w:t>
            </w:r>
          </w:p>
        </w:tc>
      </w:tr>
      <w:tr>
        <w:trPr>
          <w:cantSplit/>
          <w:tblHeader w:val="false"/>
        </w:trPr>
        <w:tc>
          <w:tcPr>
            <w:tcW w:type="dxa" w:w="210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Распределительное</w:t>
            </w:r>
          </w:p>
        </w:tc>
        <w:tc>
          <w:tcPr>
            <w:tcW w:type="dxa" w:w="242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Крупный участник присваивает выгоду, экологический эффект не компенсируется</w:t>
            </w:r>
          </w:p>
        </w:tc>
        <w:tc>
          <w:tcPr>
            <w:tcW w:type="dxa" w:w="191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Симбиотический дивиденд, правило долей</w:t>
            </w:r>
          </w:p>
        </w:tc>
        <w:tc>
          <w:tcPr>
            <w:tcW w:type="dxa" w:w="111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2.3, 2.5</w:t>
            </w:r>
          </w:p>
        </w:tc>
        <w:tc>
          <w:tcPr>
            <w:tcW w:type="dxa" w:w="179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Условие индивидуальной рациональности</w:t>
            </w:r>
          </w:p>
        </w:tc>
      </w:tr>
      <w:tr>
        <w:trPr>
          <w:cantSplit/>
          <w:tblHeader w:val="false"/>
        </w:trPr>
        <w:tc>
          <w:tcPr>
            <w:tcW w:type="dxa" w:w="210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Регуляторное</w:t>
            </w:r>
          </w:p>
        </w:tc>
        <w:tc>
          <w:tcPr>
            <w:tcW w:type="dxa" w:w="242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Тарифное регулирование тепла, режим отходов, налоговый контроль цен</w:t>
            </w:r>
          </w:p>
        </w:tc>
        <w:tc>
          <w:tcPr>
            <w:tcW w:type="dxa" w:w="191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Методика цены, согласование с регулятором</w:t>
            </w:r>
          </w:p>
        </w:tc>
        <w:tc>
          <w:tcPr>
            <w:tcW w:type="dxa" w:w="111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2.4</w:t>
            </w:r>
          </w:p>
        </w:tc>
        <w:tc>
          <w:tcPr>
            <w:tcW w:type="dxa" w:w="179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Число связей с z</w:t>
            </w:r>
            <w:r>
              <w:rPr>
                <w:rFonts w:ascii="Times New Roman" w:cs="Times New Roman" w:eastAsia="Times New Roman" w:hAnsi="Times New Roman"/>
                <w:b w:val="false"/>
                <w:bCs w:val="false"/>
                <w:i w:val="false"/>
                <w:iCs w:val="false"/>
                <w:sz w:val="24"/>
                <w:szCs w:val="24"/>
                <w:vertAlign w:val="subscript"/>
              </w:rPr>
              <w:t xml:space="preserve">ijk</w:t>
            </w:r>
            <w:r>
              <w:rPr>
                <w:rFonts w:ascii="Times New Roman" w:cs="Times New Roman" w:eastAsia="Times New Roman" w:hAnsi="Times New Roman"/>
                <w:b w:val="false"/>
                <w:bCs w:val="false"/>
                <w:i w:val="false"/>
                <w:iCs w:val="false"/>
                <w:sz w:val="24"/>
                <w:szCs w:val="24"/>
              </w:rPr>
              <w:t xml:space="preserve"> = 1</w:t>
            </w:r>
          </w:p>
        </w:tc>
      </w:tr>
      <w:tr>
        <w:trPr>
          <w:cantSplit/>
          <w:tblHeader w:val="false"/>
        </w:trPr>
        <w:tc>
          <w:tcPr>
            <w:tcW w:type="dxa" w:w="210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Стратегическое</w:t>
            </w:r>
          </w:p>
        </w:tc>
        <w:tc>
          <w:tcPr>
            <w:tcW w:type="dxa" w:w="242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Конкуренция участников на товарных рынках, риск утечки данных</w:t>
            </w:r>
          </w:p>
        </w:tc>
        <w:tc>
          <w:tcPr>
            <w:tcW w:type="dxa" w:w="191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Доверительное управление данными, ограничение доступа</w:t>
            </w:r>
          </w:p>
        </w:tc>
        <w:tc>
          <w:tcPr>
            <w:tcW w:type="dxa" w:w="111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2.6</w:t>
            </w:r>
          </w:p>
        </w:tc>
        <w:tc>
          <w:tcPr>
            <w:tcW w:type="dxa" w:w="179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Порог δ\* и доля участников типа C</w:t>
            </w:r>
          </w:p>
        </w:tc>
      </w:tr>
    </w:tbl>
    <w:p>
      <w:pPr>
        <w:keepNext w:val="false"/>
        <w:spacing w:after="0" w:before="0" w:line="360" w:lineRule="auto"/>
        <w:ind w:firstLine="0"/>
        <w:jc w:val="left"/>
      </w:pPr>
      <w:r>
        <w:rPr>
          <w:rFonts w:ascii="Times New Roman" w:cs="Times New Roman" w:eastAsia="Times New Roman" w:hAnsi="Times New Roman"/>
          <w:b w:val="false"/>
          <w:bCs w:val="false"/>
          <w:i w:val="false"/>
          <w:iCs w:val="false"/>
          <w:sz w:val="24"/>
          <w:szCs w:val="24"/>
        </w:rPr>
        <w:t xml:space="preserve">Источник: составлено автором.</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Из таблицы 2.2 видно, что каждому препятствию поставлен в соответствие отдельный инструмент и измеримый показатель. Пятая строка добавлена к четырём препятствиям, рассмотренным выше: стратегическое препятствие возникает тогда, когда участники одновременно конкурируют на рынке готовой продукции и опасаются, что сведения о потоках раскроют их технологию. Его разбор отнесён к § 2.6, поскольку он требует игровой постановки.</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Важно и то, чего в таблице нет. Ни один инструмент не направлен на увеличение физического объёма ресурсов: экоплатформа не строит ГРЭС и не наращивает выпуск аммиака. Её вклад состоит в переводе уже существующих потенциальных связей в действующие, и именно этот вклад подлежит измерению. Если в результате работы платформы число действующих связей не выросло, экономия, отражённая в отчётности участников, вызвана другими причинами и платформе не приписывается. В этом состоит фальсифицируемость основного тезиса главы: он может быть опровергнут наблюдением, при котором платформа работает, а η</w:t>
      </w:r>
      <w:r>
        <w:rPr>
          <w:rFonts w:ascii="Times New Roman" w:cs="Times New Roman" w:eastAsia="Times New Roman" w:hAnsi="Times New Roman"/>
          <w:b w:val="false"/>
          <w:bCs w:val="false"/>
          <w:i w:val="false"/>
          <w:iCs w:val="false"/>
          <w:sz w:val="28"/>
          <w:szCs w:val="28"/>
          <w:vertAlign w:val="subscript"/>
        </w:rPr>
        <w:t xml:space="preserve">орг</w:t>
      </w:r>
      <w:r>
        <w:rPr>
          <w:rFonts w:ascii="Times New Roman" w:cs="Times New Roman" w:eastAsia="Times New Roman" w:hAnsi="Times New Roman"/>
          <w:b w:val="false"/>
          <w:bCs w:val="false"/>
          <w:i w:val="false"/>
          <w:iCs w:val="false"/>
          <w:sz w:val="28"/>
          <w:szCs w:val="28"/>
        </w:rPr>
        <w:t xml:space="preserve"> не растёт.</w:t>
      </w:r>
    </w:p>
    <w:p>
      <w:pPr>
        <w:keepNext/>
        <w:spacing w:after="0" w:before="0" w:line="360" w:lineRule="auto"/>
      </w:pPr>
    </w:p>
    <w:p>
      <w:pPr>
        <w:pStyle w:val="Heading2"/>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2.2. Архитектура экоплатформы и измерение межфирменных ресурсных потоков</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2.2.1. Четыре контура координации</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Экоплатформа определяется в работе как институт координации экономически самостоятельных организаций. Она не владеет их мощностями, не покупает и не перепродаёт ресурсы, а создаёт условия, при которых двусторонний договор между поставщиком и потребителем становится выгоднее отказа от него. Это определение отличает экоплатформу от управляющей компании индустриального парка и от биржевой площадки и одновременно задаёт границы её ответственности: оператор отвечает за точность данных и расчётов, но не за исполнение поставок. В отечественной литературе платформенная трактовка управления промышленными экосистемами развита В.В. Глуховым и соавторами </w:t>
      </w:r>
      <w:r>
        <w:rPr>
          <w:rFonts w:ascii="Times New Roman" w:cs="Times New Roman" w:eastAsia="Times New Roman" w:hAnsi="Times New Roman"/>
          <w:b w:val="false"/>
          <w:bCs w:val="false"/>
          <w:i w:val="false"/>
          <w:iCs w:val="false"/>
          <w:sz w:val="28"/>
          <w:szCs w:val="28"/>
        </w:rPr>
        <w:t xml:space="preserve">[21]</w:t>
      </w:r>
      <w:r>
        <w:rPr>
          <w:rFonts w:ascii="Times New Roman" w:cs="Times New Roman" w:eastAsia="Times New Roman" w:hAnsi="Times New Roman"/>
          <w:b w:val="false"/>
          <w:bCs w:val="false"/>
          <w:i w:val="false"/>
          <w:iCs w:val="false"/>
          <w:sz w:val="28"/>
          <w:szCs w:val="28"/>
        </w:rPr>
        <w:t xml:space="preserve">, а А.Л. Белых систематизировал модели формирования промышленного симбиоза, различающиеся ролью координирующего центра </w:t>
      </w:r>
      <w:r>
        <w:rPr>
          <w:rFonts w:ascii="Times New Roman" w:cs="Times New Roman" w:eastAsia="Times New Roman" w:hAnsi="Times New Roman"/>
          <w:b w:val="false"/>
          <w:bCs w:val="false"/>
          <w:i w:val="false"/>
          <w:iCs w:val="false"/>
          <w:sz w:val="28"/>
          <w:szCs w:val="28"/>
        </w:rPr>
        <w:t xml:space="preserve">[17]</w:t>
      </w:r>
      <w:r>
        <w:rPr>
          <w:rFonts w:ascii="Times New Roman" w:cs="Times New Roman" w:eastAsia="Times New Roman" w:hAnsi="Times New Roman"/>
          <w:b w:val="false"/>
          <w:bCs w:val="false"/>
          <w:i w:val="false"/>
          <w:iCs w:val="false"/>
          <w:sz w:val="28"/>
          <w:szCs w:val="28"/>
        </w:rPr>
        <w:t xml:space="preserve">. Экоплатформа в предлагаемом понимании относится к моделям с координатором, но координатор не наделён правом распоряжаться ресурсами участников.</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Архитектура экоплатформы включает четыре контура. Физический контур описывает потоки, которые существуют на площадках участников, и инфраструктуру, которая связывает или могла бы связать площадки. Информационный контур содержит минимально достаточные сведения о количестве, качестве, графике и местоположении ресурса. Расчётный контур сопоставляет альтернативные способы использования ресурса и вычисляет эффект обмена. Институциональный контур закрепляет права на данные, порядок проверки результата, правила ценообразования и распределения, процедуры разрешения споров.</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Последовательность работы контуров показана на рисунке 2.1. Существенна обратная связь: результат каждой сделки возвращается в физический контур и уточняет перечень допустимых связей.</w:t>
      </w:r>
    </w:p>
    <w:p>
      <w:pPr>
        <w:keepNext/>
        <w:jc w:val="center"/>
      </w:pPr>
      <w:r>
        <w:drawing>
          <wp:inline distT="0" distB="0" distL="0" distR="0">
            <wp:extent cx="5715000" cy="2905125"/>
            <wp:effectExtent t="0" r="0" b="0" l="0"/>
            <wp:docPr id="1" name="fig2_1.svg" descr="fig2_1.svg" title="fig2_1.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extLst>
                        <a:ext uri="{96DAC541-7B7A-43D3-8B79-37D633B846F1}">
                          <asvg:svgBlip xmlns:asvg="http://schemas.microsoft.com/office/drawing/2016/SVG/main" r:embed="rId8"/>
                        </a:ext>
                      </a:extLst>
                    </a:blip>
                    <a:srcRect/>
                    <a:stretch>
                      <a:fillRect/>
                    </a:stretch>
                  </pic:blipFill>
                  <pic:spPr bwMode="auto">
                    <a:xfrm>
                      <a:off x="0" y="0"/>
                      <a:ext cx="5715000" cy="2905125"/>
                    </a:xfrm>
                    <a:prstGeom prst="rect">
                      <a:avLst/>
                    </a:prstGeom>
                  </pic:spPr>
                </pic:pic>
              </a:graphicData>
            </a:graphic>
          </wp:inline>
        </w:drawing>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8"/>
          <w:szCs w:val="28"/>
        </w:rPr>
        <w:t xml:space="preserve">Рисунок 2.1 – Контуры экоплатформы и последовательность формирования подтверждённого симбиотического обмена</w:t>
      </w:r>
    </w:p>
    <w:p>
      <w:pPr>
        <w:keepNext w:val="false"/>
        <w:spacing w:after="0" w:before="0" w:line="360" w:lineRule="auto"/>
        <w:ind w:firstLine="0"/>
        <w:jc w:val="center"/>
      </w:pPr>
      <w:r>
        <w:rPr>
          <w:rFonts w:ascii="Times New Roman" w:cs="Times New Roman" w:eastAsia="Times New Roman" w:hAnsi="Times New Roman"/>
          <w:b w:val="false"/>
          <w:bCs w:val="false"/>
          <w:i w:val="false"/>
          <w:iCs w:val="false"/>
          <w:sz w:val="24"/>
          <w:szCs w:val="24"/>
        </w:rPr>
        <w:t xml:space="preserve">Источник: составлено автором.</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Рисунок 2.1 объясняет, почему цифровой подбор контрагентов сам по себе эффекта не создаёт. Подбор относится к информационному контуру и сокращает затраты поиска, но не отменяет капитальных вложений, требований к качеству и риска остановки поставки. Обмен становится подтверждённым только после прохождения всех четырёх контуров, а связь, оказавшаяся неработоспособной, исключается из расчётной модели и не увеличивает потенциал, на который начисляется эффект. П. Кром, Л. Пишичелли и К. Френкен отметили эту слабость существующих цифровых платформ симбиоза: они хорошо справляются с подбором и плохо доводят обмен до устойчивого контракта </w:t>
      </w:r>
      <w:r>
        <w:rPr>
          <w:rFonts w:ascii="Times New Roman" w:cs="Times New Roman" w:eastAsia="Times New Roman" w:hAnsi="Times New Roman"/>
          <w:b w:val="false"/>
          <w:bCs w:val="false"/>
          <w:i w:val="false"/>
          <w:iCs w:val="false"/>
          <w:sz w:val="28"/>
          <w:szCs w:val="28"/>
        </w:rPr>
        <w:t xml:space="preserve">[59]</w:t>
      </w:r>
      <w:r>
        <w:rPr>
          <w:rFonts w:ascii="Times New Roman" w:cs="Times New Roman" w:eastAsia="Times New Roman" w:hAnsi="Times New Roman"/>
          <w:b w:val="false"/>
          <w:bCs w:val="false"/>
          <w:i w:val="false"/>
          <w:iCs w:val="false"/>
          <w:sz w:val="28"/>
          <w:szCs w:val="28"/>
        </w:rPr>
        <w:t xml:space="preserve">.</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Состав функций каждого контура и данные, которые для него необходимы, приведены в таблице 2.3. Таблица одновременно служит спецификацией требований к информационной системе оператора.</w:t>
      </w:r>
    </w:p>
    <w:p>
      <w:pPr>
        <w:keepNext/>
        <w:spacing w:after="0" w:before="0" w:line="360" w:lineRule="auto"/>
        <w:ind w:firstLine="0"/>
        <w:jc w:val="right"/>
      </w:pPr>
      <w:r>
        <w:rPr>
          <w:rFonts w:ascii="Times New Roman" w:cs="Times New Roman" w:eastAsia="Times New Roman" w:hAnsi="Times New Roman"/>
          <w:b w:val="false"/>
          <w:bCs w:val="false"/>
          <w:i w:val="false"/>
          <w:iCs w:val="false"/>
          <w:sz w:val="28"/>
          <w:szCs w:val="28"/>
        </w:rPr>
        <w:t xml:space="preserve">Таблица 2.3</w:t>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8"/>
          <w:szCs w:val="28"/>
        </w:rPr>
        <w:t xml:space="preserve">Функции и информационное обеспечение контуров экоплатформы</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931"/>
        <w:gridCol w:w="1643"/>
        <w:gridCol w:w="2442"/>
        <w:gridCol w:w="1696"/>
        <w:gridCol w:w="1643"/>
      </w:tblGrid>
      <w:tr>
        <w:trPr>
          <w:cantSplit/>
          <w:tblHeader/>
        </w:trPr>
        <w:tc>
          <w:tcPr>
            <w:tcW w:type="dxa" w:w="193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Контур</w:t>
            </w:r>
          </w:p>
        </w:tc>
        <w:tc>
          <w:tcPr>
            <w:tcW w:type="dxa" w:w="164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Функция</w:t>
            </w:r>
          </w:p>
        </w:tc>
        <w:tc>
          <w:tcPr>
            <w:tcW w:type="dxa" w:w="244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Входные данные</w:t>
            </w:r>
          </w:p>
        </w:tc>
        <w:tc>
          <w:tcPr>
            <w:tcW w:type="dxa" w:w="16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Выход</w:t>
            </w:r>
          </w:p>
        </w:tc>
        <w:tc>
          <w:tcPr>
            <w:tcW w:type="dxa" w:w="164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Ответственный</w:t>
            </w:r>
          </w:p>
        </w:tc>
      </w:tr>
      <w:tr>
        <w:trPr>
          <w:cantSplit/>
          <w:tblHeader w:val="false"/>
        </w:trPr>
        <w:tc>
          <w:tcPr>
            <w:tcW w:type="dxa" w:w="193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Физический</w:t>
            </w:r>
          </w:p>
        </w:tc>
        <w:tc>
          <w:tcPr>
            <w:tcW w:type="dxa" w:w="16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Инвентаризация потоков и инфраструктуры</w:t>
            </w:r>
          </w:p>
        </w:tc>
        <w:tc>
          <w:tcPr>
            <w:tcW w:type="dxa" w:w="244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Технологические регламенты, схемы сетей, расстояния</w:t>
            </w:r>
          </w:p>
        </w:tc>
        <w:tc>
          <w:tcPr>
            <w:tcW w:type="dxa" w:w="169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Перечень потенциальных связей, коэффициенты a</w:t>
            </w:r>
            <w:r>
              <w:rPr>
                <w:rFonts w:ascii="Times New Roman" w:cs="Times New Roman" w:eastAsia="Times New Roman" w:hAnsi="Times New Roman"/>
                <w:b w:val="false"/>
                <w:bCs w:val="false"/>
                <w:i w:val="false"/>
                <w:iCs w:val="false"/>
                <w:sz w:val="24"/>
                <w:szCs w:val="24"/>
                <w:vertAlign w:val="subscript"/>
              </w:rPr>
              <w:t xml:space="preserve">ijk</w:t>
            </w:r>
          </w:p>
        </w:tc>
        <w:tc>
          <w:tcPr>
            <w:tcW w:type="dxa" w:w="16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Участник, проверка оператором</w:t>
            </w:r>
          </w:p>
        </w:tc>
      </w:tr>
      <w:tr>
        <w:trPr>
          <w:cantSplit/>
          <w:tblHeader w:val="false"/>
        </w:trPr>
        <w:tc>
          <w:tcPr>
            <w:tcW w:type="dxa" w:w="193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Информационный</w:t>
            </w:r>
          </w:p>
        </w:tc>
        <w:tc>
          <w:tcPr>
            <w:tcW w:type="dxa" w:w="16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Сбор и обезличивание данных о потоках</w:t>
            </w:r>
          </w:p>
        </w:tc>
        <w:tc>
          <w:tcPr>
            <w:tcW w:type="dxa" w:w="244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Показания приборов учёта, паспорта отходов, графики ремонтов</w:t>
            </w:r>
          </w:p>
        </w:tc>
        <w:tc>
          <w:tcPr>
            <w:tcW w:type="dxa" w:w="169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Доступный объём Q</w:t>
            </w:r>
            <w:r>
              <w:rPr>
                <w:rFonts w:ascii="Times New Roman" w:cs="Times New Roman" w:eastAsia="Times New Roman" w:hAnsi="Times New Roman"/>
                <w:b w:val="false"/>
                <w:bCs w:val="false"/>
                <w:i w:val="false"/>
                <w:iCs w:val="false"/>
                <w:sz w:val="24"/>
                <w:szCs w:val="24"/>
                <w:vertAlign w:val="subscript"/>
              </w:rPr>
              <w:t xml:space="preserve">ijk</w:t>
            </w:r>
            <w:r>
              <w:rPr>
                <w:rFonts w:ascii="Times New Roman" w:cs="Times New Roman" w:eastAsia="Times New Roman" w:hAnsi="Times New Roman"/>
                <w:b w:val="false"/>
                <w:bCs w:val="false"/>
                <w:i w:val="false"/>
                <w:iCs w:val="false"/>
                <w:sz w:val="24"/>
                <w:szCs w:val="24"/>
              </w:rPr>
              <w:t xml:space="preserve">, профиль качества</w:t>
            </w:r>
          </w:p>
        </w:tc>
        <w:tc>
          <w:tcPr>
            <w:tcW w:type="dxa" w:w="16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Оператор</w:t>
            </w:r>
          </w:p>
        </w:tc>
      </w:tr>
      <w:tr>
        <w:trPr>
          <w:cantSplit/>
          <w:tblHeader w:val="false"/>
        </w:trPr>
        <w:tc>
          <w:tcPr>
            <w:tcW w:type="dxa" w:w="193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Расчётный</w:t>
            </w:r>
          </w:p>
        </w:tc>
        <w:tc>
          <w:tcPr>
            <w:tcW w:type="dxa" w:w="16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Оценка альтернатив, цены и эффекта</w:t>
            </w:r>
          </w:p>
        </w:tc>
        <w:tc>
          <w:tcPr>
            <w:tcW w:type="dxa" w:w="244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Альтернативные цены, затраты передачи, капитальные затраты</w:t>
            </w:r>
          </w:p>
        </w:tc>
        <w:tc>
          <w:tcPr>
            <w:tcW w:type="dxa" w:w="169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ΔE, NPV, ценовой коридор</w:t>
            </w:r>
          </w:p>
        </w:tc>
        <w:tc>
          <w:tcPr>
            <w:tcW w:type="dxa" w:w="16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Оператор, независимый аудитор</w:t>
            </w:r>
          </w:p>
        </w:tc>
      </w:tr>
      <w:tr>
        <w:trPr>
          <w:cantSplit/>
          <w:tblHeader w:val="false"/>
        </w:trPr>
        <w:tc>
          <w:tcPr>
            <w:tcW w:type="dxa" w:w="193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Институциональный</w:t>
            </w:r>
          </w:p>
        </w:tc>
        <w:tc>
          <w:tcPr>
            <w:tcW w:type="dxa" w:w="16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Договор, проверка, распределение</w:t>
            </w:r>
          </w:p>
        </w:tc>
        <w:tc>
          <w:tcPr>
            <w:tcW w:type="dxa" w:w="244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Типовые договоры, соглашение о распределении, регламент доступа</w:t>
            </w:r>
          </w:p>
        </w:tc>
        <w:tc>
          <w:tcPr>
            <w:tcW w:type="dxa" w:w="169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Подтверждённый ΔE</w:t>
            </w:r>
            <w:r>
              <w:rPr>
                <w:rFonts w:ascii="Times New Roman" w:cs="Times New Roman" w:eastAsia="Times New Roman" w:hAnsi="Times New Roman"/>
                <w:b w:val="false"/>
                <w:bCs w:val="false"/>
                <w:i w:val="false"/>
                <w:iCs w:val="false"/>
                <w:sz w:val="24"/>
                <w:szCs w:val="24"/>
                <w:vertAlign w:val="subscript"/>
              </w:rPr>
              <w:t xml:space="preserve">подтв</w:t>
            </w:r>
            <w:r>
              <w:rPr>
                <w:rFonts w:ascii="Times New Roman" w:cs="Times New Roman" w:eastAsia="Times New Roman" w:hAnsi="Times New Roman"/>
                <w:b w:val="false"/>
                <w:bCs w:val="false"/>
                <w:i w:val="false"/>
                <w:iCs w:val="false"/>
                <w:sz w:val="24"/>
                <w:szCs w:val="24"/>
              </w:rPr>
              <w:t xml:space="preserve">, начисленный SD</w:t>
            </w:r>
          </w:p>
        </w:tc>
        <w:tc>
          <w:tcPr>
            <w:tcW w:type="dxa" w:w="16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Наблюдательный совет, аудитор</w:t>
            </w:r>
          </w:p>
        </w:tc>
      </w:tr>
    </w:tbl>
    <w:p>
      <w:pPr>
        <w:keepNext w:val="false"/>
        <w:spacing w:after="0" w:before="0" w:line="360" w:lineRule="auto"/>
        <w:ind w:firstLine="0"/>
        <w:jc w:val="left"/>
      </w:pPr>
      <w:r>
        <w:rPr>
          <w:rFonts w:ascii="Times New Roman" w:cs="Times New Roman" w:eastAsia="Times New Roman" w:hAnsi="Times New Roman"/>
          <w:b w:val="false"/>
          <w:bCs w:val="false"/>
          <w:i w:val="false"/>
          <w:iCs w:val="false"/>
          <w:sz w:val="24"/>
          <w:szCs w:val="24"/>
        </w:rPr>
        <w:t xml:space="preserve">Источник: составлено автором на основе </w:t>
      </w:r>
      <w:r>
        <w:rPr>
          <w:rFonts w:ascii="Times New Roman" w:cs="Times New Roman" w:eastAsia="Times New Roman" w:hAnsi="Times New Roman"/>
          <w:b w:val="false"/>
          <w:bCs w:val="false"/>
          <w:i w:val="false"/>
          <w:iCs w:val="false"/>
          <w:sz w:val="24"/>
          <w:szCs w:val="24"/>
        </w:rPr>
        <w:t xml:space="preserve">[52, 59, 68]</w:t>
      </w:r>
      <w:r>
        <w:rPr>
          <w:rFonts w:ascii="Times New Roman" w:cs="Times New Roman" w:eastAsia="Times New Roman" w:hAnsi="Times New Roman"/>
          <w:b w:val="false"/>
          <w:bCs w:val="false"/>
          <w:i w:val="false"/>
          <w:iCs w:val="false"/>
          <w:sz w:val="24"/>
          <w:szCs w:val="24"/>
        </w:rPr>
        <w:t xml:space="preserve">.</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Таблица 2.3 фиксирует принцип разделения функций: тот, кто измеряет эффект, не получает от него долю напрямую, а тот, кто получает долю, не измеряет. Оператор рассчитывает эффект, но подтверждает его независимый аудитор. Л. Сгамбаро, Д. Кьярони и А. Урбинати по результатам обзора отметили, что исследования цифровых технологий симбиоза сосредоточены на стадии подбора пар, тогда как стадии мониторинга и оценки результата изучены слабо </w:t>
      </w:r>
      <w:r>
        <w:rPr>
          <w:rFonts w:ascii="Times New Roman" w:cs="Times New Roman" w:eastAsia="Times New Roman" w:hAnsi="Times New Roman"/>
          <w:b w:val="false"/>
          <w:bCs w:val="false"/>
          <w:i w:val="false"/>
          <w:iCs w:val="false"/>
          <w:sz w:val="28"/>
          <w:szCs w:val="28"/>
        </w:rPr>
        <w:t xml:space="preserve">[68]</w:t>
      </w:r>
      <w:r>
        <w:rPr>
          <w:rFonts w:ascii="Times New Roman" w:cs="Times New Roman" w:eastAsia="Times New Roman" w:hAnsi="Times New Roman"/>
          <w:b w:val="false"/>
          <w:bCs w:val="false"/>
          <w:i w:val="false"/>
          <w:iCs w:val="false"/>
          <w:sz w:val="28"/>
          <w:szCs w:val="28"/>
        </w:rPr>
        <w:t xml:space="preserve">. В предлагаемой архитектуре эти слабо изученные стадии несут основную экономическую нагрузку. Е.В. Ценина и В.М. Репникова, обобщая мировую практику, также рассматривают интеллектуальные технологии как одно из условий результативности симбиоза </w:t>
      </w:r>
      <w:r>
        <w:rPr>
          <w:rFonts w:ascii="Times New Roman" w:cs="Times New Roman" w:eastAsia="Times New Roman" w:hAnsi="Times New Roman"/>
          <w:b w:val="false"/>
          <w:bCs w:val="false"/>
          <w:i w:val="false"/>
          <w:iCs w:val="false"/>
          <w:sz w:val="28"/>
          <w:szCs w:val="28"/>
        </w:rPr>
        <w:t xml:space="preserve">[37]</w:t>
      </w:r>
      <w:r>
        <w:rPr>
          <w:rFonts w:ascii="Times New Roman" w:cs="Times New Roman" w:eastAsia="Times New Roman" w:hAnsi="Times New Roman"/>
          <w:b w:val="false"/>
          <w:bCs w:val="false"/>
          <w:i w:val="false"/>
          <w:iCs w:val="false"/>
          <w:sz w:val="28"/>
          <w:szCs w:val="28"/>
        </w:rPr>
        <w:t xml:space="preserve">.</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2.2.2. Доступный объём ресурса и реализуемость обмена</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Для каждого направленного потока k от предприятия i к предприятию j вводятся заявленный объём q</w:t>
      </w:r>
      <w:r>
        <w:rPr>
          <w:rFonts w:ascii="Times New Roman" w:cs="Times New Roman" w:eastAsia="Times New Roman" w:hAnsi="Times New Roman"/>
          <w:b w:val="false"/>
          <w:bCs w:val="false"/>
          <w:i w:val="false"/>
          <w:iCs w:val="false"/>
          <w:sz w:val="28"/>
          <w:szCs w:val="28"/>
          <w:vertAlign w:val="subscript"/>
        </w:rPr>
        <w:t xml:space="preserve">ijk</w:t>
      </w:r>
      <w:r>
        <w:rPr>
          <w:rFonts w:ascii="Times New Roman" w:cs="Times New Roman" w:eastAsia="Times New Roman" w:hAnsi="Times New Roman"/>
          <w:b w:val="false"/>
          <w:bCs w:val="false"/>
          <w:i w:val="false"/>
          <w:iCs w:val="false"/>
          <w:sz w:val="28"/>
          <w:szCs w:val="28"/>
        </w:rPr>
        <w:t xml:space="preserve">(t) и коэффициент технической доступности a</w:t>
      </w:r>
      <w:r>
        <w:rPr>
          <w:rFonts w:ascii="Times New Roman" w:cs="Times New Roman" w:eastAsia="Times New Roman" w:hAnsi="Times New Roman"/>
          <w:b w:val="false"/>
          <w:bCs w:val="false"/>
          <w:i w:val="false"/>
          <w:iCs w:val="false"/>
          <w:sz w:val="28"/>
          <w:szCs w:val="28"/>
          <w:vertAlign w:val="subscript"/>
        </w:rPr>
        <w:t xml:space="preserve">ijk</w:t>
      </w:r>
      <w:r>
        <w:rPr>
          <w:rFonts w:ascii="Times New Roman" w:cs="Times New Roman" w:eastAsia="Times New Roman" w:hAnsi="Times New Roman"/>
          <w:b w:val="false"/>
          <w:bCs w:val="false"/>
          <w:i w:val="false"/>
          <w:iCs w:val="false"/>
          <w:sz w:val="28"/>
          <w:szCs w:val="28"/>
        </w:rPr>
        <w:t xml:space="preserve">(t), лежащий в интервале от нуля до единицы. Коэффициент учитывает потери при передаче, сезонность, плановые ремонты и долю ресурса, не отвечающую требованиям потребителя по качеству. Технически доступный объём определяется произведением:</w:t>
      </w:r>
    </w:p>
    <w:p>
      <w:pPr>
        <w:tabs>
          <w:tab w:val="center" w:pos="4678"/>
          <w:tab w:val="right" w:pos="9355"/>
        </w:tabs>
        <w:spacing w:after="0" w:before="0" w:line="360" w:lineRule="auto"/>
        <w:ind w:firstLine="0"/>
        <w:jc w:val="left"/>
      </w:pPr>
      <w:r>
        <w:rPr>
          <w:rFonts w:ascii="Times New Roman" w:cs="Times New Roman" w:eastAsia="Times New Roman" w:hAnsi="Times New Roman"/>
          <w:sz w:val="28"/>
          <w:szCs w:val="28"/>
        </w:rPr>
        <w:t xml:space="preserve">	</w:t>
      </w:r>
      <m:oMath xmlns:m="http://schemas.openxmlformats.org/officeDocument/2006/math" xmlns:w="http://schemas.openxmlformats.org/wordprocessingml/2006/main">
        <m:sSub>
          <m:e>
            <m:r>
              <w:rPr>
                <w:rFonts w:ascii="Cambria Math" w:hAnsi="Cambria Math"/>
                <w:i/>
                <w:sz w:val="28"/>
                <w:szCs w:val="28"/>
              </w:rPr>
              <m:t xml:space="preserve">Q</m:t>
            </m:r>
          </m:e>
          <m:sub>
            <m:r>
              <w:rPr>
                <w:rFonts w:ascii="Cambria Math" w:hAnsi="Cambria Math"/>
                <w:i/>
                <w:sz w:val="28"/>
                <w:szCs w:val="28"/>
              </w:rPr>
              <m:t xml:space="preserve">ijk</m:t>
            </m:r>
          </m:sub>
        </m:sSub>
        <m:d>
          <m:dPr>
            <m:begChr m:val="("/>
            <m:endChr m:val=")"/>
          </m:dPr>
          <m:e>
            <m:r>
              <w:rPr>
                <w:rFonts w:ascii="Cambria Math" w:hAnsi="Cambria Math"/>
                <w:i/>
                <w:sz w:val="28"/>
                <w:szCs w:val="28"/>
              </w:rPr>
              <m:t xml:space="preserve">t</m:t>
            </m:r>
          </m:e>
        </m:d>
        <m:r>
          <m:rPr>
            <m:sty m:val="p"/>
          </m:rPr>
          <w:rPr>
            <w:rFonts w:ascii="Cambria Math" w:hAnsi="Cambria Math"/>
            <w:i w:val="0"/>
            <w:sz w:val="28"/>
            <w:szCs w:val="28"/>
          </w:rPr>
          <m:t xml:space="preserve"> = </m:t>
        </m:r>
        <m:sSub>
          <m:e>
            <m:r>
              <w:rPr>
                <w:rFonts w:ascii="Cambria Math" w:hAnsi="Cambria Math"/>
                <w:i/>
                <w:sz w:val="28"/>
                <w:szCs w:val="28"/>
              </w:rPr>
              <m:t xml:space="preserve">q</m:t>
            </m:r>
          </m:e>
          <m:sub>
            <m:r>
              <w:rPr>
                <w:rFonts w:ascii="Cambria Math" w:hAnsi="Cambria Math"/>
                <w:i/>
                <w:sz w:val="28"/>
                <w:szCs w:val="28"/>
              </w:rPr>
              <m:t xml:space="preserve">ijk</m:t>
            </m:r>
          </m:sub>
        </m:sSub>
        <m:d>
          <m:dPr>
            <m:begChr m:val="("/>
            <m:endChr m:val=")"/>
          </m:dPr>
          <m:e>
            <m:r>
              <w:rPr>
                <w:rFonts w:ascii="Cambria Math" w:hAnsi="Cambria Math"/>
                <w:i/>
                <w:sz w:val="28"/>
                <w:szCs w:val="28"/>
              </w:rPr>
              <m:t xml:space="preserve">t</m:t>
            </m:r>
          </m:e>
        </m:d>
        <m:r>
          <m:rPr>
            <m:sty m:val="p"/>
          </m:rPr>
          <w:rPr>
            <w:rFonts w:ascii="Cambria Math" w:hAnsi="Cambria Math"/>
            <w:i w:val="0"/>
            <w:sz w:val="28"/>
            <w:szCs w:val="28"/>
          </w:rPr>
          <m:t xml:space="preserve">·</m:t>
        </m:r>
        <m:sSub>
          <m:e>
            <m:r>
              <w:rPr>
                <w:rFonts w:ascii="Cambria Math" w:hAnsi="Cambria Math"/>
                <w:i/>
                <w:sz w:val="28"/>
                <w:szCs w:val="28"/>
              </w:rPr>
              <m:t xml:space="preserve">a</m:t>
            </m:r>
          </m:e>
          <m:sub>
            <m:r>
              <w:rPr>
                <w:rFonts w:ascii="Cambria Math" w:hAnsi="Cambria Math"/>
                <w:i/>
                <w:sz w:val="28"/>
                <w:szCs w:val="28"/>
              </w:rPr>
              <m:t xml:space="preserve">ijk</m:t>
            </m:r>
          </m:sub>
        </m:sSub>
        <m:d>
          <m:dPr>
            <m:begChr m:val="("/>
            <m:endChr m:val=")"/>
          </m:dPr>
          <m:e>
            <m:r>
              <w:rPr>
                <w:rFonts w:ascii="Cambria Math" w:hAnsi="Cambria Math"/>
                <w:i/>
                <w:sz w:val="28"/>
                <w:szCs w:val="28"/>
              </w:rPr>
              <m:t xml:space="preserve">t</m:t>
            </m:r>
          </m:e>
        </m:d>
      </m:oMath>
      <w:r>
        <w:rPr>
          <w:rFonts w:ascii="Times New Roman" w:cs="Times New Roman" w:eastAsia="Times New Roman" w:hAnsi="Times New Roman"/>
          <w:sz w:val="28"/>
          <w:szCs w:val="28"/>
        </w:rPr>
        <w:t xml:space="preserve">	(2.1)</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где Q</w:t>
      </w:r>
      <w:r>
        <w:rPr>
          <w:rFonts w:ascii="Times New Roman" w:cs="Times New Roman" w:eastAsia="Times New Roman" w:hAnsi="Times New Roman"/>
          <w:b w:val="false"/>
          <w:bCs w:val="false"/>
          <w:i w:val="false"/>
          <w:iCs w:val="false"/>
          <w:sz w:val="28"/>
          <w:szCs w:val="28"/>
          <w:vertAlign w:val="subscript"/>
        </w:rPr>
        <w:t xml:space="preserve">ijk</w:t>
      </w:r>
      <w:r>
        <w:rPr>
          <w:rFonts w:ascii="Times New Roman" w:cs="Times New Roman" w:eastAsia="Times New Roman" w:hAnsi="Times New Roman"/>
          <w:b w:val="false"/>
          <w:bCs w:val="false"/>
          <w:i w:val="false"/>
          <w:iCs w:val="false"/>
          <w:sz w:val="28"/>
          <w:szCs w:val="28"/>
        </w:rPr>
        <w:t xml:space="preserve">(t) — технически доступный объём ресурса k, передаваемого от i к j в период t, в натуральных единицах (Гкал, т); q</w:t>
      </w:r>
      <w:r>
        <w:rPr>
          <w:rFonts w:ascii="Times New Roman" w:cs="Times New Roman" w:eastAsia="Times New Roman" w:hAnsi="Times New Roman"/>
          <w:b w:val="false"/>
          <w:bCs w:val="false"/>
          <w:i w:val="false"/>
          <w:iCs w:val="false"/>
          <w:sz w:val="28"/>
          <w:szCs w:val="28"/>
          <w:vertAlign w:val="subscript"/>
        </w:rPr>
        <w:t xml:space="preserve">ijk</w:t>
      </w:r>
      <w:r>
        <w:rPr>
          <w:rFonts w:ascii="Times New Roman" w:cs="Times New Roman" w:eastAsia="Times New Roman" w:hAnsi="Times New Roman"/>
          <w:b w:val="false"/>
          <w:bCs w:val="false"/>
          <w:i w:val="false"/>
          <w:iCs w:val="false"/>
          <w:sz w:val="28"/>
          <w:szCs w:val="28"/>
        </w:rPr>
        <w:t xml:space="preserve">(t) — заявленный поставщиком объём ресурса; a</w:t>
      </w:r>
      <w:r>
        <w:rPr>
          <w:rFonts w:ascii="Times New Roman" w:cs="Times New Roman" w:eastAsia="Times New Roman" w:hAnsi="Times New Roman"/>
          <w:b w:val="false"/>
          <w:bCs w:val="false"/>
          <w:i w:val="false"/>
          <w:iCs w:val="false"/>
          <w:sz w:val="28"/>
          <w:szCs w:val="28"/>
          <w:vertAlign w:val="subscript"/>
        </w:rPr>
        <w:t xml:space="preserve">ijk</w:t>
      </w:r>
      <w:r>
        <w:rPr>
          <w:rFonts w:ascii="Times New Roman" w:cs="Times New Roman" w:eastAsia="Times New Roman" w:hAnsi="Times New Roman"/>
          <w:b w:val="false"/>
          <w:bCs w:val="false"/>
          <w:i w:val="false"/>
          <w:iCs w:val="false"/>
          <w:sz w:val="28"/>
          <w:szCs w:val="28"/>
        </w:rPr>
        <w:t xml:space="preserve">(t) — коэффициент технической доступности, 0 ≤ a</w:t>
      </w:r>
      <w:r>
        <w:rPr>
          <w:rFonts w:ascii="Times New Roman" w:cs="Times New Roman" w:eastAsia="Times New Roman" w:hAnsi="Times New Roman"/>
          <w:b w:val="false"/>
          <w:bCs w:val="false"/>
          <w:i w:val="false"/>
          <w:iCs w:val="false"/>
          <w:sz w:val="28"/>
          <w:szCs w:val="28"/>
          <w:vertAlign w:val="subscript"/>
        </w:rPr>
        <w:t xml:space="preserve">ijk</w:t>
      </w:r>
      <w:r>
        <w:rPr>
          <w:rFonts w:ascii="Times New Roman" w:cs="Times New Roman" w:eastAsia="Times New Roman" w:hAnsi="Times New Roman"/>
          <w:b w:val="false"/>
          <w:bCs w:val="false"/>
          <w:i w:val="false"/>
          <w:iCs w:val="false"/>
          <w:sz w:val="28"/>
          <w:szCs w:val="28"/>
        </w:rPr>
        <w:t xml:space="preserve"> ≤ 1.</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Формула (2.1) проста, но её применение требует дисциплины. Объём q и коэффициент a должны относиться к одному периоду и измеряться в одних единицах, а их происхождение — замер, проектный показатель или экспертная оценка — фиксируется в реестре. Для тепловой энергии ГРЭС значение a определяется прежде всего тем, совпадает ли график выработки с графиком потребления: летом спрос на тепло падает, а располагаемая мощность остаётся. В демонстрационном сценарии a для теплового потока принят равным 0,5 с диапазоном 0,3–0,7; этот параметр, как будет показано в § 2.3.4, вторым по значимости влияет на итоговый эффект.</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Технически доступный поток ещё не означает реализуемого обмена. Нужны право распоряжаться побочным продуктом, согласованные требования к качеству, разрешительная документация и финансовая выгода для обеих сторон. Признак реализуемости задаётся произведением трёх двоичных индикаторов:</w:t>
      </w:r>
    </w:p>
    <w:p>
      <w:pPr>
        <w:tabs>
          <w:tab w:val="center" w:pos="4678"/>
          <w:tab w:val="right" w:pos="9355"/>
        </w:tabs>
        <w:spacing w:after="0" w:before="0" w:line="360" w:lineRule="auto"/>
        <w:ind w:firstLine="0"/>
        <w:jc w:val="left"/>
      </w:pPr>
      <w:r>
        <w:rPr>
          <w:rFonts w:ascii="Times New Roman" w:cs="Times New Roman" w:eastAsia="Times New Roman" w:hAnsi="Times New Roman"/>
          <w:sz w:val="28"/>
          <w:szCs w:val="28"/>
        </w:rPr>
        <w:t xml:space="preserve">	</w:t>
      </w:r>
      <m:oMath xmlns:m="http://schemas.openxmlformats.org/officeDocument/2006/math" xmlns:w="http://schemas.openxmlformats.org/wordprocessingml/2006/main">
        <m:sSub>
          <m:e>
            <m:r>
              <w:rPr>
                <w:rFonts w:ascii="Cambria Math" w:hAnsi="Cambria Math"/>
                <w:i/>
                <w:sz w:val="28"/>
                <w:szCs w:val="28"/>
              </w:rPr>
              <m:t xml:space="preserve">z</m:t>
            </m:r>
          </m:e>
          <m:sub>
            <m:r>
              <w:rPr>
                <w:rFonts w:ascii="Cambria Math" w:hAnsi="Cambria Math"/>
                <w:i/>
                <w:sz w:val="28"/>
                <w:szCs w:val="28"/>
              </w:rPr>
              <m:t xml:space="preserve">ijk</m:t>
            </m:r>
          </m:sub>
        </m:sSub>
        <m:r>
          <m:rPr>
            <m:sty m:val="p"/>
          </m:rPr>
          <w:rPr>
            <w:rFonts w:ascii="Cambria Math" w:hAnsi="Cambria Math"/>
            <w:i w:val="0"/>
            <w:sz w:val="28"/>
            <w:szCs w:val="28"/>
          </w:rPr>
          <m:t xml:space="preserve"> = </m:t>
        </m:r>
        <m:sSub>
          <m:e>
            <m:r>
              <w:rPr>
                <w:rFonts w:ascii="Cambria Math" w:hAnsi="Cambria Math"/>
                <w:i/>
                <w:sz w:val="28"/>
                <w:szCs w:val="28"/>
              </w:rPr>
              <m:t xml:space="preserve">I</m:t>
            </m:r>
          </m:e>
          <m:sub>
            <m:r>
              <m:rPr>
                <m:sty m:val="p"/>
              </m:rPr>
              <w:rPr>
                <w:rFonts w:ascii="Cambria Math" w:hAnsi="Cambria Math"/>
                <w:i w:val="0"/>
                <w:sz w:val="28"/>
                <w:szCs w:val="28"/>
              </w:rPr>
              <m:t xml:space="preserve">тех</m:t>
            </m:r>
          </m:sub>
        </m:sSub>
        <m:r>
          <m:rPr>
            <m:sty m:val="p"/>
          </m:rPr>
          <w:rPr>
            <w:rFonts w:ascii="Cambria Math" w:hAnsi="Cambria Math"/>
            <w:i w:val="0"/>
            <w:sz w:val="28"/>
            <w:szCs w:val="28"/>
          </w:rPr>
          <m:t xml:space="preserve">·</m:t>
        </m:r>
        <m:sSub>
          <m:e>
            <m:r>
              <w:rPr>
                <w:rFonts w:ascii="Cambria Math" w:hAnsi="Cambria Math"/>
                <w:i/>
                <w:sz w:val="28"/>
                <w:szCs w:val="28"/>
              </w:rPr>
              <m:t xml:space="preserve">I</m:t>
            </m:r>
          </m:e>
          <m:sub>
            <m:r>
              <m:rPr>
                <m:sty m:val="p"/>
              </m:rPr>
              <w:rPr>
                <w:rFonts w:ascii="Cambria Math" w:hAnsi="Cambria Math"/>
                <w:i w:val="0"/>
                <w:sz w:val="28"/>
                <w:szCs w:val="28"/>
              </w:rPr>
              <m:t xml:space="preserve">прав</m:t>
            </m:r>
          </m:sub>
        </m:sSub>
        <m:r>
          <m:rPr>
            <m:sty m:val="p"/>
          </m:rPr>
          <w:rPr>
            <w:rFonts w:ascii="Cambria Math" w:hAnsi="Cambria Math"/>
            <w:i w:val="0"/>
            <w:sz w:val="28"/>
            <w:szCs w:val="28"/>
          </w:rPr>
          <m:t xml:space="preserve">·</m:t>
        </m:r>
        <m:sSub>
          <m:e>
            <m:r>
              <w:rPr>
                <w:rFonts w:ascii="Cambria Math" w:hAnsi="Cambria Math"/>
                <w:i/>
                <w:sz w:val="28"/>
                <w:szCs w:val="28"/>
              </w:rPr>
              <m:t xml:space="preserve">I</m:t>
            </m:r>
          </m:e>
          <m:sub>
            <m:r>
              <m:rPr>
                <m:sty m:val="p"/>
              </m:rPr>
              <w:rPr>
                <w:rFonts w:ascii="Cambria Math" w:hAnsi="Cambria Math"/>
                <w:i w:val="0"/>
                <w:sz w:val="28"/>
                <w:szCs w:val="28"/>
              </w:rPr>
              <m:t xml:space="preserve">фин</m:t>
            </m:r>
          </m:sub>
        </m:sSub>
      </m:oMath>
      <w:r>
        <w:rPr>
          <w:rFonts w:ascii="Times New Roman" w:cs="Times New Roman" w:eastAsia="Times New Roman" w:hAnsi="Times New Roman"/>
          <w:sz w:val="28"/>
          <w:szCs w:val="28"/>
        </w:rPr>
        <w:t xml:space="preserve">	(2.2)</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где z</w:t>
      </w:r>
      <w:r>
        <w:rPr>
          <w:rFonts w:ascii="Times New Roman" w:cs="Times New Roman" w:eastAsia="Times New Roman" w:hAnsi="Times New Roman"/>
          <w:b w:val="false"/>
          <w:bCs w:val="false"/>
          <w:i w:val="false"/>
          <w:iCs w:val="false"/>
          <w:sz w:val="28"/>
          <w:szCs w:val="28"/>
          <w:vertAlign w:val="subscript"/>
        </w:rPr>
        <w:t xml:space="preserve">ijk</w:t>
      </w:r>
      <w:r>
        <w:rPr>
          <w:rFonts w:ascii="Times New Roman" w:cs="Times New Roman" w:eastAsia="Times New Roman" w:hAnsi="Times New Roman"/>
          <w:b w:val="false"/>
          <w:bCs w:val="false"/>
          <w:i w:val="false"/>
          <w:iCs w:val="false"/>
          <w:sz w:val="28"/>
          <w:szCs w:val="28"/>
        </w:rPr>
        <w:t xml:space="preserve"> — признак реализуемости обмена ресурсом k между i и j; I</w:t>
      </w:r>
      <w:r>
        <w:rPr>
          <w:rFonts w:ascii="Times New Roman" w:cs="Times New Roman" w:eastAsia="Times New Roman" w:hAnsi="Times New Roman"/>
          <w:b w:val="false"/>
          <w:bCs w:val="false"/>
          <w:i w:val="false"/>
          <w:iCs w:val="false"/>
          <w:sz w:val="28"/>
          <w:szCs w:val="28"/>
          <w:vertAlign w:val="subscript"/>
        </w:rPr>
        <w:t xml:space="preserve">тех</w:t>
      </w:r>
      <w:r>
        <w:rPr>
          <w:rFonts w:ascii="Times New Roman" w:cs="Times New Roman" w:eastAsia="Times New Roman" w:hAnsi="Times New Roman"/>
          <w:b w:val="false"/>
          <w:bCs w:val="false"/>
          <w:i w:val="false"/>
          <w:iCs w:val="false"/>
          <w:sz w:val="28"/>
          <w:szCs w:val="28"/>
        </w:rPr>
        <w:t xml:space="preserve"> — индикатор технической совместимости (1, если ресурс отвечает требованиям потребителя и может быть доставлен); I</w:t>
      </w:r>
      <w:r>
        <w:rPr>
          <w:rFonts w:ascii="Times New Roman" w:cs="Times New Roman" w:eastAsia="Times New Roman" w:hAnsi="Times New Roman"/>
          <w:b w:val="false"/>
          <w:bCs w:val="false"/>
          <w:i w:val="false"/>
          <w:iCs w:val="false"/>
          <w:sz w:val="28"/>
          <w:szCs w:val="28"/>
          <w:vertAlign w:val="subscript"/>
        </w:rPr>
        <w:t xml:space="preserve">прав</w:t>
      </w:r>
      <w:r>
        <w:rPr>
          <w:rFonts w:ascii="Times New Roman" w:cs="Times New Roman" w:eastAsia="Times New Roman" w:hAnsi="Times New Roman"/>
          <w:b w:val="false"/>
          <w:bCs w:val="false"/>
          <w:i w:val="false"/>
          <w:iCs w:val="false"/>
          <w:sz w:val="28"/>
          <w:szCs w:val="28"/>
        </w:rPr>
        <w:t xml:space="preserve"> — индикатор правовой допустимости (1, если передача не противоречит режиму обращения с ресурсом и регулированию цен); I</w:t>
      </w:r>
      <w:r>
        <w:rPr>
          <w:rFonts w:ascii="Times New Roman" w:cs="Times New Roman" w:eastAsia="Times New Roman" w:hAnsi="Times New Roman"/>
          <w:b w:val="false"/>
          <w:bCs w:val="false"/>
          <w:i w:val="false"/>
          <w:iCs w:val="false"/>
          <w:sz w:val="28"/>
          <w:szCs w:val="28"/>
          <w:vertAlign w:val="subscript"/>
        </w:rPr>
        <w:t xml:space="preserve">фин</w:t>
      </w:r>
      <w:r>
        <w:rPr>
          <w:rFonts w:ascii="Times New Roman" w:cs="Times New Roman" w:eastAsia="Times New Roman" w:hAnsi="Times New Roman"/>
          <w:b w:val="false"/>
          <w:bCs w:val="false"/>
          <w:i w:val="false"/>
          <w:iCs w:val="false"/>
          <w:sz w:val="28"/>
          <w:szCs w:val="28"/>
        </w:rPr>
        <w:t xml:space="preserve"> — индикатор финансовой выгодности (1, если ценовой коридор § 2.4 непуст).</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Мультипликативная форма выражает то, что недостаток по одному условию не компенсируется избытком по другому. Технически идеальный, но запрещённый обмен так же нереализуем, как разрешённый, но убыточный. Двоичная запись упрощает первичный отбор, но не заменяет вероятностной оценки риска срыва поставок; эта оценка входит в расчёт через коэффициент доступности a.</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Препятствия, из-за которых z</w:t>
      </w:r>
      <w:r>
        <w:rPr>
          <w:rFonts w:ascii="Times New Roman" w:cs="Times New Roman" w:eastAsia="Times New Roman" w:hAnsi="Times New Roman"/>
          <w:b w:val="false"/>
          <w:bCs w:val="false"/>
          <w:i w:val="false"/>
          <w:iCs w:val="false"/>
          <w:sz w:val="28"/>
          <w:szCs w:val="28"/>
          <w:vertAlign w:val="subscript"/>
        </w:rPr>
        <w:t xml:space="preserve">ijk</w:t>
      </w:r>
      <w:r>
        <w:rPr>
          <w:rFonts w:ascii="Times New Roman" w:cs="Times New Roman" w:eastAsia="Times New Roman" w:hAnsi="Times New Roman"/>
          <w:b w:val="false"/>
          <w:bCs w:val="false"/>
          <w:i w:val="false"/>
          <w:iCs w:val="false"/>
          <w:sz w:val="28"/>
          <w:szCs w:val="28"/>
        </w:rPr>
        <w:t xml:space="preserve"> = 0, полезно разделить на устранимые договором, устранимые инвестициями и непреодолимые на горизонте оценки. Первые устраняет институциональный контур платформы, вторые — капитальные вложения участников или партнёрство с государством, третьи выводят связь из числа допустимых. Если, например, тепло ГРЭС по условиям регулирования может продаваться резидентам только по тарифу, установленному органом регулирования </w:t>
      </w:r>
      <w:r>
        <w:rPr>
          <w:rFonts w:ascii="Times New Roman" w:cs="Times New Roman" w:eastAsia="Times New Roman" w:hAnsi="Times New Roman"/>
          <w:b w:val="false"/>
          <w:bCs w:val="false"/>
          <w:i w:val="false"/>
          <w:iCs w:val="false"/>
          <w:sz w:val="28"/>
          <w:szCs w:val="28"/>
        </w:rPr>
        <w:t xml:space="preserve">[5]</w:t>
      </w:r>
      <w:r>
        <w:rPr>
          <w:rFonts w:ascii="Times New Roman" w:cs="Times New Roman" w:eastAsia="Times New Roman" w:hAnsi="Times New Roman"/>
          <w:b w:val="false"/>
          <w:bCs w:val="false"/>
          <w:i w:val="false"/>
          <w:iCs w:val="false"/>
          <w:sz w:val="28"/>
          <w:szCs w:val="28"/>
        </w:rPr>
        <w:t xml:space="preserve">, индикатор I</w:t>
      </w:r>
      <w:r>
        <w:rPr>
          <w:rFonts w:ascii="Times New Roman" w:cs="Times New Roman" w:eastAsia="Times New Roman" w:hAnsi="Times New Roman"/>
          <w:b w:val="false"/>
          <w:bCs w:val="false"/>
          <w:i w:val="false"/>
          <w:iCs w:val="false"/>
          <w:sz w:val="28"/>
          <w:szCs w:val="28"/>
          <w:vertAlign w:val="subscript"/>
        </w:rPr>
        <w:t xml:space="preserve">прав</w:t>
      </w:r>
      <w:r>
        <w:rPr>
          <w:rFonts w:ascii="Times New Roman" w:cs="Times New Roman" w:eastAsia="Times New Roman" w:hAnsi="Times New Roman"/>
          <w:b w:val="false"/>
          <w:bCs w:val="false"/>
          <w:i w:val="false"/>
          <w:iCs w:val="false"/>
          <w:sz w:val="28"/>
          <w:szCs w:val="28"/>
        </w:rPr>
        <w:t xml:space="preserve"> для договорной цены равен нулю, но обмен по тарифу остаётся возможным; это меняет не реализуемость, а метод цены.</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2.2.3. Показатели связности и их калибровка</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Структурная связность экосистемы измеряется индексом синергетической плотности, введённым в первой главе формулой (1.1). Для операционного применения его знаменатель ограничивается связями, прошедшими отбор по формуле (2.2):</w:t>
      </w:r>
    </w:p>
    <w:p>
      <w:pPr>
        <w:tabs>
          <w:tab w:val="center" w:pos="4678"/>
          <w:tab w:val="right" w:pos="9355"/>
        </w:tabs>
        <w:spacing w:after="0" w:before="0" w:line="360" w:lineRule="auto"/>
        <w:ind w:firstLine="0"/>
        <w:jc w:val="left"/>
      </w:pPr>
      <w:r>
        <w:rPr>
          <w:rFonts w:ascii="Times New Roman" w:cs="Times New Roman" w:eastAsia="Times New Roman" w:hAnsi="Times New Roman"/>
          <w:sz w:val="28"/>
          <w:szCs w:val="28"/>
        </w:rPr>
        <w:t xml:space="preserve">	</w:t>
      </w:r>
      <m:oMath xmlns:m="http://schemas.openxmlformats.org/officeDocument/2006/math" xmlns:w="http://schemas.openxmlformats.org/wordprocessingml/2006/main">
        <m:sSub>
          <m:e>
            <m:r>
              <w:rPr>
                <w:rFonts w:ascii="Cambria Math" w:hAnsi="Cambria Math"/>
                <w:i/>
                <w:sz w:val="28"/>
                <w:szCs w:val="28"/>
              </w:rPr>
              <m:t xml:space="preserve">C</m:t>
            </m:r>
          </m:e>
          <m:sub>
            <m:r>
              <m:rPr>
                <m:sty m:val="p"/>
              </m:rPr>
              <w:rPr>
                <w:rFonts w:ascii="Cambria Math" w:hAnsi="Cambria Math"/>
                <w:i w:val="0"/>
                <w:sz w:val="28"/>
                <w:szCs w:val="28"/>
              </w:rPr>
              <m:t xml:space="preserve">инд</m:t>
            </m:r>
          </m:sub>
        </m:sSub>
        <m:d>
          <m:dPr>
            <m:begChr m:val="("/>
            <m:endChr m:val=")"/>
          </m:dPr>
          <m:e>
            <m:r>
              <w:rPr>
                <w:rFonts w:ascii="Cambria Math" w:hAnsi="Cambria Math"/>
                <w:i/>
                <w:sz w:val="28"/>
                <w:szCs w:val="28"/>
              </w:rPr>
              <m:t xml:space="preserve">t</m:t>
            </m:r>
          </m:e>
        </m:d>
        <m:r>
          <m:rPr>
            <m:sty m:val="p"/>
          </m:rPr>
          <w:rPr>
            <w:rFonts w:ascii="Cambria Math" w:hAnsi="Cambria Math"/>
            <w:i w:val="0"/>
            <w:sz w:val="28"/>
            <w:szCs w:val="28"/>
          </w:rPr>
          <m:t xml:space="preserve"> = </m:t>
        </m:r>
        <m:f>
          <m:num>
            <m:sSub>
              <m:e>
                <m:r>
                  <w:rPr>
                    <w:rFonts w:ascii="Cambria Math" w:hAnsi="Cambria Math"/>
                    <w:i/>
                    <w:sz w:val="28"/>
                    <w:szCs w:val="28"/>
                  </w:rPr>
                  <m:t xml:space="preserve">N</m:t>
                </m:r>
              </m:e>
              <m:sub>
                <m:r>
                  <m:rPr>
                    <m:sty m:val="p"/>
                  </m:rPr>
                  <w:rPr>
                    <w:rFonts w:ascii="Cambria Math" w:hAnsi="Cambria Math"/>
                    <w:i w:val="0"/>
                    <w:sz w:val="28"/>
                    <w:szCs w:val="28"/>
                  </w:rPr>
                  <m:t xml:space="preserve">действ</m:t>
                </m:r>
              </m:sub>
            </m:sSub>
            <m:d>
              <m:dPr>
                <m:begChr m:val="("/>
                <m:endChr m:val=")"/>
              </m:dPr>
              <m:e>
                <m:r>
                  <w:rPr>
                    <w:rFonts w:ascii="Cambria Math" w:hAnsi="Cambria Math"/>
                    <w:i/>
                    <w:sz w:val="28"/>
                    <w:szCs w:val="28"/>
                  </w:rPr>
                  <m:t xml:space="preserve">t</m:t>
                </m:r>
              </m:e>
            </m:d>
          </m:num>
          <m:den>
            <m:sSub>
              <m:e>
                <m:r>
                  <w:rPr>
                    <w:rFonts w:ascii="Cambria Math" w:hAnsi="Cambria Math"/>
                    <w:i/>
                    <w:sz w:val="28"/>
                    <w:szCs w:val="28"/>
                  </w:rPr>
                  <m:t xml:space="preserve">N</m:t>
                </m:r>
              </m:e>
              <m:sub>
                <m:r>
                  <m:rPr>
                    <m:sty m:val="p"/>
                  </m:rPr>
                  <w:rPr>
                    <w:rFonts w:ascii="Cambria Math" w:hAnsi="Cambria Math"/>
                    <w:i w:val="0"/>
                    <w:sz w:val="28"/>
                    <w:szCs w:val="28"/>
                  </w:rPr>
                  <m:t xml:space="preserve">доп</m:t>
                </m:r>
              </m:sub>
            </m:sSub>
            <m:d>
              <m:dPr>
                <m:begChr m:val="("/>
                <m:endChr m:val=")"/>
              </m:dPr>
              <m:e>
                <m:r>
                  <w:rPr>
                    <w:rFonts w:ascii="Cambria Math" w:hAnsi="Cambria Math"/>
                    <w:i/>
                    <w:sz w:val="28"/>
                    <w:szCs w:val="28"/>
                  </w:rPr>
                  <m:t xml:space="preserve">t</m:t>
                </m:r>
              </m:e>
            </m:d>
          </m:den>
        </m:f>
      </m:oMath>
      <w:r>
        <w:rPr>
          <w:rFonts w:ascii="Times New Roman" w:cs="Times New Roman" w:eastAsia="Times New Roman" w:hAnsi="Times New Roman"/>
          <w:sz w:val="28"/>
          <w:szCs w:val="28"/>
        </w:rPr>
        <w:t xml:space="preserve">	(2.3)</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где C</w:t>
      </w:r>
      <w:r>
        <w:rPr>
          <w:rFonts w:ascii="Times New Roman" w:cs="Times New Roman" w:eastAsia="Times New Roman" w:hAnsi="Times New Roman"/>
          <w:b w:val="false"/>
          <w:bCs w:val="false"/>
          <w:i w:val="false"/>
          <w:iCs w:val="false"/>
          <w:sz w:val="28"/>
          <w:szCs w:val="28"/>
          <w:vertAlign w:val="subscript"/>
        </w:rPr>
        <w:t xml:space="preserve">инд</w:t>
      </w:r>
      <w:r>
        <w:rPr>
          <w:rFonts w:ascii="Times New Roman" w:cs="Times New Roman" w:eastAsia="Times New Roman" w:hAnsi="Times New Roman"/>
          <w:b w:val="false"/>
          <w:bCs w:val="false"/>
          <w:i w:val="false"/>
          <w:iCs w:val="false"/>
          <w:sz w:val="28"/>
          <w:szCs w:val="28"/>
        </w:rPr>
        <w:t xml:space="preserve">(t) — индекс синергетической плотности в период t; N</w:t>
      </w:r>
      <w:r>
        <w:rPr>
          <w:rFonts w:ascii="Times New Roman" w:cs="Times New Roman" w:eastAsia="Times New Roman" w:hAnsi="Times New Roman"/>
          <w:b w:val="false"/>
          <w:bCs w:val="false"/>
          <w:i w:val="false"/>
          <w:iCs w:val="false"/>
          <w:sz w:val="28"/>
          <w:szCs w:val="28"/>
          <w:vertAlign w:val="subscript"/>
        </w:rPr>
        <w:t xml:space="preserve">действ</w:t>
      </w:r>
      <w:r>
        <w:rPr>
          <w:rFonts w:ascii="Times New Roman" w:cs="Times New Roman" w:eastAsia="Times New Roman" w:hAnsi="Times New Roman"/>
          <w:b w:val="false"/>
          <w:bCs w:val="false"/>
          <w:i w:val="false"/>
          <w:iCs w:val="false"/>
          <w:sz w:val="28"/>
          <w:szCs w:val="28"/>
        </w:rPr>
        <w:t xml:space="preserve">(t) — число документально подтверждённых действующих обменов; N</w:t>
      </w:r>
      <w:r>
        <w:rPr>
          <w:rFonts w:ascii="Times New Roman" w:cs="Times New Roman" w:eastAsia="Times New Roman" w:hAnsi="Times New Roman"/>
          <w:b w:val="false"/>
          <w:bCs w:val="false"/>
          <w:i w:val="false"/>
          <w:iCs w:val="false"/>
          <w:sz w:val="28"/>
          <w:szCs w:val="28"/>
          <w:vertAlign w:val="subscript"/>
        </w:rPr>
        <w:t xml:space="preserve">доп</w:t>
      </w:r>
      <w:r>
        <w:rPr>
          <w:rFonts w:ascii="Times New Roman" w:cs="Times New Roman" w:eastAsia="Times New Roman" w:hAnsi="Times New Roman"/>
          <w:b w:val="false"/>
          <w:bCs w:val="false"/>
          <w:i w:val="false"/>
          <w:iCs w:val="false"/>
          <w:sz w:val="28"/>
          <w:szCs w:val="28"/>
        </w:rPr>
        <w:t xml:space="preserve">(t) — число допустимых связей, для которых z</w:t>
      </w:r>
      <w:r>
        <w:rPr>
          <w:rFonts w:ascii="Times New Roman" w:cs="Times New Roman" w:eastAsia="Times New Roman" w:hAnsi="Times New Roman"/>
          <w:b w:val="false"/>
          <w:bCs w:val="false"/>
          <w:i w:val="false"/>
          <w:iCs w:val="false"/>
          <w:sz w:val="28"/>
          <w:szCs w:val="28"/>
          <w:vertAlign w:val="subscript"/>
        </w:rPr>
        <w:t xml:space="preserve">ijk</w:t>
      </w:r>
      <w:r>
        <w:rPr>
          <w:rFonts w:ascii="Times New Roman" w:cs="Times New Roman" w:eastAsia="Times New Roman" w:hAnsi="Times New Roman"/>
          <w:b w:val="false"/>
          <w:bCs w:val="false"/>
          <w:i w:val="false"/>
          <w:iCs w:val="false"/>
          <w:sz w:val="28"/>
          <w:szCs w:val="28"/>
        </w:rPr>
        <w:t xml:space="preserve"> = 1.</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Знаменатель формулы (2.3) зависит от правил отбора, поэтому при сравнении периодов и сценариев перечень классов связей и состав участников должны оставаться неизменными. В первой главе для шести укрупнённых групп участников Невинномысска выявлено 16 потенциальных направлений обмена; при раскрытии группы резидентов число пар превышает 150. Индекс, вычисленный на этих двух базах, различается в несколько раз при одном и том же числе действующих обменов, и сопоставлять такие значения нельзя.</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Второе ограничение индекса — равный вес всех связей. Одна тепловая связь может стоить больше, чем десятки обменов вторичным сырьём, а индекс увеличится на одинаковую величину в обоих случаях. Для устранения этого недостатка вводится стоимостно-взвешенный показатель реализованности:</w:t>
      </w:r>
    </w:p>
    <w:p>
      <w:pPr>
        <w:tabs>
          <w:tab w:val="center" w:pos="4678"/>
          <w:tab w:val="right" w:pos="9355"/>
        </w:tabs>
        <w:spacing w:after="0" w:before="0" w:line="360" w:lineRule="auto"/>
        <w:ind w:firstLine="0"/>
        <w:jc w:val="left"/>
      </w:pPr>
      <w:r>
        <w:rPr>
          <w:rFonts w:ascii="Times New Roman" w:cs="Times New Roman" w:eastAsia="Times New Roman" w:hAnsi="Times New Roman"/>
          <w:sz w:val="28"/>
          <w:szCs w:val="28"/>
        </w:rPr>
        <w:t xml:space="preserve">	</w:t>
      </w:r>
      <m:oMath xmlns:m="http://schemas.openxmlformats.org/officeDocument/2006/math" xmlns:w="http://schemas.openxmlformats.org/wordprocessingml/2006/main">
        <m:sSub>
          <m:e>
            <m:r>
              <w:rPr>
                <w:rFonts w:ascii="Cambria Math" w:hAnsi="Cambria Math"/>
                <w:i/>
                <w:sz w:val="28"/>
                <w:szCs w:val="28"/>
              </w:rPr>
              <m:t xml:space="preserve">C</m:t>
            </m:r>
          </m:e>
          <m:sub>
            <m:r>
              <m:rPr>
                <m:sty m:val="p"/>
              </m:rPr>
              <w:rPr>
                <w:rFonts w:ascii="Cambria Math" w:hAnsi="Cambria Math"/>
                <w:i w:val="0"/>
                <w:sz w:val="28"/>
                <w:szCs w:val="28"/>
              </w:rPr>
              <m:t xml:space="preserve">стоим</m:t>
            </m:r>
          </m:sub>
        </m:sSub>
        <m:d>
          <m:dPr>
            <m:begChr m:val="("/>
            <m:endChr m:val=")"/>
          </m:dPr>
          <m:e>
            <m:r>
              <w:rPr>
                <w:rFonts w:ascii="Cambria Math" w:hAnsi="Cambria Math"/>
                <w:i/>
                <w:sz w:val="28"/>
                <w:szCs w:val="28"/>
              </w:rPr>
              <m:t xml:space="preserve">t</m:t>
            </m:r>
          </m:e>
        </m:d>
        <m:r>
          <m:rPr>
            <m:sty m:val="p"/>
          </m:rPr>
          <w:rPr>
            <w:rFonts w:ascii="Cambria Math" w:hAnsi="Cambria Math"/>
            <w:i w:val="0"/>
            <w:sz w:val="28"/>
            <w:szCs w:val="28"/>
          </w:rPr>
          <m:t xml:space="preserve"> = </m:t>
        </m:r>
        <m:f>
          <m:num>
            <m:nary>
              <m:naryPr>
                <m:chr m:val="∑"/>
                <m:limLoc m:val="undOvr"/>
                <m:supHide m:val="1"/>
              </m:naryPr>
              <m:sub>
                <m:r>
                  <w:rPr>
                    <w:rFonts w:ascii="Cambria Math" w:hAnsi="Cambria Math"/>
                    <w:i/>
                    <w:sz w:val="28"/>
                    <w:szCs w:val="28"/>
                  </w:rPr>
                  <m:t xml:space="preserve">k</m:t>
                </m:r>
              </m:sub>
              <m:sup/>
              <m:e>
                <m:sSub>
                  <m:e>
                    <m:r>
                      <w:rPr>
                        <w:rFonts w:ascii="Cambria Math" w:hAnsi="Cambria Math"/>
                        <w:i/>
                        <w:sz w:val="28"/>
                        <w:szCs w:val="28"/>
                      </w:rPr>
                      <m:t xml:space="preserve">V</m:t>
                    </m:r>
                  </m:e>
                  <m:sub>
                    <m:r>
                      <m:rPr>
                        <m:sty m:val="p"/>
                      </m:rPr>
                      <w:rPr>
                        <w:rFonts w:ascii="Cambria Math" w:hAnsi="Cambria Math"/>
                        <w:i w:val="0"/>
                        <w:sz w:val="28"/>
                        <w:szCs w:val="28"/>
                      </w:rPr>
                      <m:t xml:space="preserve">действ,</m:t>
                    </m:r>
                    <m:r>
                      <w:rPr>
                        <w:rFonts w:ascii="Cambria Math" w:hAnsi="Cambria Math"/>
                        <w:i/>
                        <w:sz w:val="28"/>
                        <w:szCs w:val="28"/>
                      </w:rPr>
                      <m:t xml:space="preserve">k</m:t>
                    </m:r>
                  </m:sub>
                </m:sSub>
                <m:d>
                  <m:dPr>
                    <m:begChr m:val="("/>
                    <m:endChr m:val=")"/>
                  </m:dPr>
                  <m:e>
                    <m:r>
                      <w:rPr>
                        <w:rFonts w:ascii="Cambria Math" w:hAnsi="Cambria Math"/>
                        <w:i/>
                        <w:sz w:val="28"/>
                        <w:szCs w:val="28"/>
                      </w:rPr>
                      <m:t xml:space="preserve">t</m:t>
                    </m:r>
                  </m:e>
                </m:d>
              </m:e>
            </m:nary>
          </m:num>
          <m:den>
            <m:nary>
              <m:naryPr>
                <m:chr m:val="∑"/>
                <m:limLoc m:val="undOvr"/>
                <m:supHide m:val="1"/>
              </m:naryPr>
              <m:sub>
                <m:r>
                  <w:rPr>
                    <w:rFonts w:ascii="Cambria Math" w:hAnsi="Cambria Math"/>
                    <w:i/>
                    <w:sz w:val="28"/>
                    <w:szCs w:val="28"/>
                  </w:rPr>
                  <m:t xml:space="preserve">k</m:t>
                </m:r>
              </m:sub>
              <m:sup/>
              <m:e>
                <m:sSub>
                  <m:e>
                    <m:r>
                      <w:rPr>
                        <w:rFonts w:ascii="Cambria Math" w:hAnsi="Cambria Math"/>
                        <w:i/>
                        <w:sz w:val="28"/>
                        <w:szCs w:val="28"/>
                      </w:rPr>
                      <m:t xml:space="preserve">V</m:t>
                    </m:r>
                  </m:e>
                  <m:sub>
                    <m:r>
                      <m:rPr>
                        <m:sty m:val="p"/>
                      </m:rPr>
                      <w:rPr>
                        <w:rFonts w:ascii="Cambria Math" w:hAnsi="Cambria Math"/>
                        <w:i w:val="0"/>
                        <w:sz w:val="28"/>
                        <w:szCs w:val="28"/>
                      </w:rPr>
                      <m:t xml:space="preserve">доп,</m:t>
                    </m:r>
                    <m:r>
                      <w:rPr>
                        <w:rFonts w:ascii="Cambria Math" w:hAnsi="Cambria Math"/>
                        <w:i/>
                        <w:sz w:val="28"/>
                        <w:szCs w:val="28"/>
                      </w:rPr>
                      <m:t xml:space="preserve">k</m:t>
                    </m:r>
                  </m:sub>
                </m:sSub>
                <m:d>
                  <m:dPr>
                    <m:begChr m:val="("/>
                    <m:endChr m:val=")"/>
                  </m:dPr>
                  <m:e>
                    <m:r>
                      <w:rPr>
                        <w:rFonts w:ascii="Cambria Math" w:hAnsi="Cambria Math"/>
                        <w:i/>
                        <w:sz w:val="28"/>
                        <w:szCs w:val="28"/>
                      </w:rPr>
                      <m:t xml:space="preserve">t</m:t>
                    </m:r>
                  </m:e>
                </m:d>
              </m:e>
            </m:nary>
          </m:den>
        </m:f>
      </m:oMath>
      <w:r>
        <w:rPr>
          <w:rFonts w:ascii="Times New Roman" w:cs="Times New Roman" w:eastAsia="Times New Roman" w:hAnsi="Times New Roman"/>
          <w:sz w:val="28"/>
          <w:szCs w:val="28"/>
        </w:rPr>
        <w:t xml:space="preserve">	(2.4)</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где C</w:t>
      </w:r>
      <w:r>
        <w:rPr>
          <w:rFonts w:ascii="Times New Roman" w:cs="Times New Roman" w:eastAsia="Times New Roman" w:hAnsi="Times New Roman"/>
          <w:b w:val="false"/>
          <w:bCs w:val="false"/>
          <w:i w:val="false"/>
          <w:iCs w:val="false"/>
          <w:sz w:val="28"/>
          <w:szCs w:val="28"/>
          <w:vertAlign w:val="subscript"/>
        </w:rPr>
        <w:t xml:space="preserve">стоим</w:t>
      </w:r>
      <w:r>
        <w:rPr>
          <w:rFonts w:ascii="Times New Roman" w:cs="Times New Roman" w:eastAsia="Times New Roman" w:hAnsi="Times New Roman"/>
          <w:b w:val="false"/>
          <w:bCs w:val="false"/>
          <w:i w:val="false"/>
          <w:iCs w:val="false"/>
          <w:sz w:val="28"/>
          <w:szCs w:val="28"/>
        </w:rPr>
        <w:t xml:space="preserve">(t) — стоимостная реализованность сети; V</w:t>
      </w:r>
      <w:r>
        <w:rPr>
          <w:rFonts w:ascii="Times New Roman" w:cs="Times New Roman" w:eastAsia="Times New Roman" w:hAnsi="Times New Roman"/>
          <w:b w:val="false"/>
          <w:bCs w:val="false"/>
          <w:i w:val="false"/>
          <w:iCs w:val="false"/>
          <w:sz w:val="28"/>
          <w:szCs w:val="28"/>
          <w:vertAlign w:val="subscript"/>
        </w:rPr>
        <w:t xml:space="preserve">действ,k</w:t>
      </w:r>
      <w:r>
        <w:rPr>
          <w:rFonts w:ascii="Times New Roman" w:cs="Times New Roman" w:eastAsia="Times New Roman" w:hAnsi="Times New Roman"/>
          <w:b w:val="false"/>
          <w:bCs w:val="false"/>
          <w:i w:val="false"/>
          <w:iCs w:val="false"/>
          <w:sz w:val="28"/>
          <w:szCs w:val="28"/>
        </w:rPr>
        <w:t xml:space="preserve">(t) — приведённая стоимость положительного чистого эффекта действующего обмена k; V</w:t>
      </w:r>
      <w:r>
        <w:rPr>
          <w:rFonts w:ascii="Times New Roman" w:cs="Times New Roman" w:eastAsia="Times New Roman" w:hAnsi="Times New Roman"/>
          <w:b w:val="false"/>
          <w:bCs w:val="false"/>
          <w:i w:val="false"/>
          <w:iCs w:val="false"/>
          <w:sz w:val="28"/>
          <w:szCs w:val="28"/>
          <w:vertAlign w:val="subscript"/>
        </w:rPr>
        <w:t xml:space="preserve">доп,k</w:t>
      </w:r>
      <w:r>
        <w:rPr>
          <w:rFonts w:ascii="Times New Roman" w:cs="Times New Roman" w:eastAsia="Times New Roman" w:hAnsi="Times New Roman"/>
          <w:b w:val="false"/>
          <w:bCs w:val="false"/>
          <w:i w:val="false"/>
          <w:iCs w:val="false"/>
          <w:sz w:val="28"/>
          <w:szCs w:val="28"/>
        </w:rPr>
        <w:t xml:space="preserve">(t) — то же для допустимого обмена k; суммирование ведётся по всем допустимым обменам.</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Показатель (2.4) имеет смысл только после исключения убыточных и взаимоисключающих проектов: если две связи используют один и тот же поток пара, в знаменатель входит лишь лучшая из них. Структурный и стоимостной показатели дополняют друг друга. Рост C</w:t>
      </w:r>
      <w:r>
        <w:rPr>
          <w:rFonts w:ascii="Times New Roman" w:cs="Times New Roman" w:eastAsia="Times New Roman" w:hAnsi="Times New Roman"/>
          <w:b w:val="false"/>
          <w:bCs w:val="false"/>
          <w:i w:val="false"/>
          <w:iCs w:val="false"/>
          <w:sz w:val="28"/>
          <w:szCs w:val="28"/>
          <w:vertAlign w:val="subscript"/>
        </w:rPr>
        <w:t xml:space="preserve">инд</w:t>
      </w:r>
      <w:r>
        <w:rPr>
          <w:rFonts w:ascii="Times New Roman" w:cs="Times New Roman" w:eastAsia="Times New Roman" w:hAnsi="Times New Roman"/>
          <w:b w:val="false"/>
          <w:bCs w:val="false"/>
          <w:i w:val="false"/>
          <w:iCs w:val="false"/>
          <w:sz w:val="28"/>
          <w:szCs w:val="28"/>
        </w:rPr>
        <w:t xml:space="preserve"> при неизменном C</w:t>
      </w:r>
      <w:r>
        <w:rPr>
          <w:rFonts w:ascii="Times New Roman" w:cs="Times New Roman" w:eastAsia="Times New Roman" w:hAnsi="Times New Roman"/>
          <w:b w:val="false"/>
          <w:bCs w:val="false"/>
          <w:i w:val="false"/>
          <w:iCs w:val="false"/>
          <w:sz w:val="28"/>
          <w:szCs w:val="28"/>
          <w:vertAlign w:val="subscript"/>
        </w:rPr>
        <w:t xml:space="preserve">стоим</w:t>
      </w:r>
      <w:r>
        <w:rPr>
          <w:rFonts w:ascii="Times New Roman" w:cs="Times New Roman" w:eastAsia="Times New Roman" w:hAnsi="Times New Roman"/>
          <w:b w:val="false"/>
          <w:bCs w:val="false"/>
          <w:i w:val="false"/>
          <w:iCs w:val="false"/>
          <w:sz w:val="28"/>
          <w:szCs w:val="28"/>
        </w:rPr>
        <w:t xml:space="preserve"> означает, что сеть расширяется за счёт малозначимых обменов; обратная картина — что заключены немногие, но крупные сделки. Управленческое решение оператора, куда направлять усилия, зависит от того, какой из этих сценариев реализуется.</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Первая глава ввела функцию синергетической реализуемости, связывающую плотность сети с долей потенциального эффекта, которая превращается в фактический (формула 1.7). В операционной записи она имеет вид:</w:t>
      </w:r>
    </w:p>
    <w:p>
      <w:pPr>
        <w:tabs>
          <w:tab w:val="center" w:pos="4678"/>
          <w:tab w:val="right" w:pos="9355"/>
        </w:tabs>
        <w:spacing w:after="0" w:before="0" w:line="360" w:lineRule="auto"/>
        <w:ind w:firstLine="0"/>
        <w:jc w:val="left"/>
      </w:pPr>
      <w:r>
        <w:rPr>
          <w:rFonts w:ascii="Times New Roman" w:cs="Times New Roman" w:eastAsia="Times New Roman" w:hAnsi="Times New Roman"/>
          <w:sz w:val="28"/>
          <w:szCs w:val="28"/>
        </w:rPr>
        <w:t xml:space="preserve">	</w:t>
      </w:r>
      <m:oMath xmlns:m="http://schemas.openxmlformats.org/officeDocument/2006/math" xmlns:w="http://schemas.openxmlformats.org/wordprocessingml/2006/main">
        <m:r>
          <w:rPr>
            <w:rFonts w:ascii="Cambria Math" w:hAnsi="Cambria Math"/>
            <w:i/>
            <w:sz w:val="28"/>
            <w:szCs w:val="28"/>
          </w:rPr>
          <m:t xml:space="preserve">φ</m:t>
        </m:r>
        <m:d>
          <m:dPr>
            <m:begChr m:val="("/>
            <m:endChr m:val=")"/>
          </m:dPr>
          <m:e>
            <m:sSub>
              <m:e>
                <m:r>
                  <w:rPr>
                    <w:rFonts w:ascii="Cambria Math" w:hAnsi="Cambria Math"/>
                    <w:i/>
                    <w:sz w:val="28"/>
                    <w:szCs w:val="28"/>
                  </w:rPr>
                  <m:t xml:space="preserve">C</m:t>
                </m:r>
              </m:e>
              <m:sub>
                <m:r>
                  <m:rPr>
                    <m:sty m:val="p"/>
                  </m:rPr>
                  <w:rPr>
                    <w:rFonts w:ascii="Cambria Math" w:hAnsi="Cambria Math"/>
                    <w:i w:val="0"/>
                    <w:sz w:val="28"/>
                    <w:szCs w:val="28"/>
                  </w:rPr>
                  <m:t xml:space="preserve">инд</m:t>
                </m:r>
              </m:sub>
            </m:sSub>
          </m:e>
        </m:d>
        <m:r>
          <m:rPr>
            <m:sty m:val="p"/>
          </m:rPr>
          <w:rPr>
            <w:rFonts w:ascii="Cambria Math" w:hAnsi="Cambria Math"/>
            <w:i w:val="0"/>
            <w:sz w:val="28"/>
            <w:szCs w:val="28"/>
          </w:rPr>
          <m:t xml:space="preserve"> = 1 − </m:t>
        </m:r>
        <m:sSup>
          <m:e>
            <m:r>
              <m:rPr>
                <m:sty m:val="p"/>
              </m:rPr>
              <w:rPr>
                <w:rFonts w:ascii="Cambria Math" w:hAnsi="Cambria Math"/>
                <w:i w:val="0"/>
                <w:sz w:val="28"/>
                <w:szCs w:val="28"/>
              </w:rPr>
              <m:t xml:space="preserve">e</m:t>
            </m:r>
          </m:e>
          <m:sup>
            <m:r>
              <m:rPr>
                <m:sty m:val="p"/>
              </m:rPr>
              <w:rPr>
                <w:rFonts w:ascii="Cambria Math" w:hAnsi="Cambria Math"/>
                <w:i w:val="0"/>
                <w:sz w:val="28"/>
                <w:szCs w:val="28"/>
              </w:rPr>
              <m:t xml:space="preserve">−</m:t>
            </m:r>
            <m:r>
              <w:rPr>
                <w:rFonts w:ascii="Cambria Math" w:hAnsi="Cambria Math"/>
                <w:i/>
                <w:sz w:val="28"/>
                <w:szCs w:val="28"/>
              </w:rPr>
              <m:t xml:space="preserve">k</m:t>
            </m:r>
            <m:r>
              <m:rPr>
                <m:sty m:val="p"/>
              </m:rPr>
              <w:rPr>
                <w:rFonts w:ascii="Cambria Math" w:hAnsi="Cambria Math"/>
                <w:i w:val="0"/>
                <w:sz w:val="28"/>
                <w:szCs w:val="28"/>
              </w:rPr>
              <m:t xml:space="preserve">·</m:t>
            </m:r>
            <m:sSub>
              <m:e>
                <m:r>
                  <w:rPr>
                    <w:rFonts w:ascii="Cambria Math" w:hAnsi="Cambria Math"/>
                    <w:i/>
                    <w:sz w:val="28"/>
                    <w:szCs w:val="28"/>
                  </w:rPr>
                  <m:t xml:space="preserve">C</m:t>
                </m:r>
              </m:e>
              <m:sub>
                <m:r>
                  <m:rPr>
                    <m:sty m:val="p"/>
                  </m:rPr>
                  <w:rPr>
                    <w:rFonts w:ascii="Cambria Math" w:hAnsi="Cambria Math"/>
                    <w:i w:val="0"/>
                    <w:sz w:val="28"/>
                    <w:szCs w:val="28"/>
                  </w:rPr>
                  <m:t xml:space="preserve">инд</m:t>
                </m:r>
              </m:sub>
            </m:sSub>
          </m:sup>
        </m:sSup>
      </m:oMath>
      <w:r>
        <w:rPr>
          <w:rFonts w:ascii="Times New Roman" w:cs="Times New Roman" w:eastAsia="Times New Roman" w:hAnsi="Times New Roman"/>
          <w:sz w:val="28"/>
          <w:szCs w:val="28"/>
        </w:rPr>
        <w:t xml:space="preserve">	(2.5)</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где φ(C</w:t>
      </w:r>
      <w:r>
        <w:rPr>
          <w:rFonts w:ascii="Times New Roman" w:cs="Times New Roman" w:eastAsia="Times New Roman" w:hAnsi="Times New Roman"/>
          <w:b w:val="false"/>
          <w:bCs w:val="false"/>
          <w:i w:val="false"/>
          <w:iCs w:val="false"/>
          <w:sz w:val="28"/>
          <w:szCs w:val="28"/>
          <w:vertAlign w:val="subscript"/>
        </w:rPr>
        <w:t xml:space="preserve">инд</w:t>
      </w:r>
      <w:r>
        <w:rPr>
          <w:rFonts w:ascii="Times New Roman" w:cs="Times New Roman" w:eastAsia="Times New Roman" w:hAnsi="Times New Roman"/>
          <w:b w:val="false"/>
          <w:bCs w:val="false"/>
          <w:i w:val="false"/>
          <w:iCs w:val="false"/>
          <w:sz w:val="28"/>
          <w:szCs w:val="28"/>
        </w:rPr>
        <w:t xml:space="preserve">) — доля потенциального эффекта, реализуемая при данной плотности сети, 0 ≤ φ &lt; 1; e — основание натурального логарифма; k — параметр институциональной среды, отражающий скорость, с которой рост связности переходит в эффект; C</w:t>
      </w:r>
      <w:r>
        <w:rPr>
          <w:rFonts w:ascii="Times New Roman" w:cs="Times New Roman" w:eastAsia="Times New Roman" w:hAnsi="Times New Roman"/>
          <w:b w:val="false"/>
          <w:bCs w:val="false"/>
          <w:i w:val="false"/>
          <w:iCs w:val="false"/>
          <w:sz w:val="28"/>
          <w:szCs w:val="28"/>
          <w:vertAlign w:val="subscript"/>
        </w:rPr>
        <w:t xml:space="preserve">инд</w:t>
      </w:r>
      <w:r>
        <w:rPr>
          <w:rFonts w:ascii="Times New Roman" w:cs="Times New Roman" w:eastAsia="Times New Roman" w:hAnsi="Times New Roman"/>
          <w:b w:val="false"/>
          <w:bCs w:val="false"/>
          <w:i w:val="false"/>
          <w:iCs w:val="false"/>
          <w:sz w:val="28"/>
          <w:szCs w:val="28"/>
        </w:rPr>
        <w:t xml:space="preserve"> — индекс (2.3).</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Функция (2.5) в работе рассматривается как проверяемая гипотеза, а не как установленный закон. Её форма отражает два предположения: первые связи дают наибольший прирост, поскольку заключаются самые выгодные обмены, а каждая следующая связь добавляет меньше. Оба предположения согласуются с наблюдениями по Калундборгу и японским эко-городам, где первые обмены касались крупных потоков пара и воды, а последующие — всё более мелких</w:t>
      </w:r>
      <w:r>
        <w:rPr>
          <w:rStyle w:val="FootnoteReference"/>
        </w:rPr>
        <w:footnoteReference w:id="8"/>
      </w:r>
      <w:r>
        <w:rPr>
          <w:rStyle w:val="FootnoteReference"/>
        </w:rPr>
        <w:footnoteReference w:id="9"/>
      </w:r>
      <w:r>
        <w:rPr>
          <w:rFonts w:ascii="Times New Roman" w:cs="Times New Roman" w:eastAsia="Times New Roman" w:hAnsi="Times New Roman"/>
          <w:b w:val="false"/>
          <w:bCs w:val="false"/>
          <w:i w:val="false"/>
          <w:iCs w:val="false"/>
          <w:sz w:val="28"/>
          <w:szCs w:val="28"/>
        </w:rPr>
        <w:t xml:space="preserve">. Но совместимость с наблюдениями не доказывает именно экспоненциальной формы: те же наблюдения описывает и логарифмическая, и степенная функция с убывающей отдачей.</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Параметр k в симуляторе задаётся сценарно (3, 5 и 7 для органической, умеренной и координируемой среды) и растёт во времени по мере внедрения институциональных мер. Для перехода от сценарного значения к оценённому предлагается калибровка по наблюдаемой паре значений:</w:t>
      </w:r>
    </w:p>
    <w:p>
      <w:pPr>
        <w:tabs>
          <w:tab w:val="center" w:pos="4678"/>
          <w:tab w:val="right" w:pos="9355"/>
        </w:tabs>
        <w:spacing w:after="0" w:before="0" w:line="360" w:lineRule="auto"/>
        <w:ind w:firstLine="0"/>
        <w:jc w:val="left"/>
      </w:pPr>
      <w:r>
        <w:rPr>
          <w:rFonts w:ascii="Times New Roman" w:cs="Times New Roman" w:eastAsia="Times New Roman" w:hAnsi="Times New Roman"/>
          <w:sz w:val="28"/>
          <w:szCs w:val="28"/>
        </w:rPr>
        <w:t xml:space="preserve">	</w:t>
      </w:r>
      <m:oMath xmlns:m="http://schemas.openxmlformats.org/officeDocument/2006/math" xmlns:w="http://schemas.openxmlformats.org/wordprocessingml/2006/main">
        <m:r>
          <w:rPr>
            <w:rFonts w:ascii="Cambria Math" w:hAnsi="Cambria Math"/>
            <w:i/>
            <w:sz w:val="28"/>
            <w:szCs w:val="28"/>
          </w:rPr>
          <m:t xml:space="preserve">k</m:t>
        </m:r>
        <m:r>
          <m:rPr>
            <m:sty m:val="p"/>
          </m:rPr>
          <w:rPr>
            <w:rFonts w:ascii="Cambria Math" w:hAnsi="Cambria Math"/>
            <w:i w:val="0"/>
            <w:sz w:val="28"/>
            <w:szCs w:val="28"/>
          </w:rPr>
          <m:t xml:space="preserve"> = − </m:t>
        </m:r>
        <m:f>
          <m:num>
            <m:r>
              <m:rPr>
                <m:sty m:val="p"/>
              </m:rPr>
              <w:rPr>
                <w:rFonts w:ascii="Cambria Math" w:hAnsi="Cambria Math"/>
                <w:i w:val="0"/>
                <w:sz w:val="28"/>
                <w:szCs w:val="28"/>
              </w:rPr>
              <m:t xml:space="preserve">ln</m:t>
            </m:r>
            <m:d>
              <m:dPr>
                <m:begChr m:val="("/>
                <m:endChr m:val=")"/>
              </m:dPr>
              <m:e>
                <m:r>
                  <m:rPr>
                    <m:sty m:val="p"/>
                  </m:rPr>
                  <w:rPr>
                    <w:rFonts w:ascii="Cambria Math" w:hAnsi="Cambria Math"/>
                    <w:i w:val="0"/>
                    <w:sz w:val="28"/>
                    <w:szCs w:val="28"/>
                  </w:rPr>
                  <m:t xml:space="preserve">1 − </m:t>
                </m:r>
                <m:sSub>
                  <m:e>
                    <m:r>
                      <w:rPr>
                        <w:rFonts w:ascii="Cambria Math" w:hAnsi="Cambria Math"/>
                        <w:i/>
                        <w:sz w:val="28"/>
                        <w:szCs w:val="28"/>
                      </w:rPr>
                      <m:t xml:space="preserve">φ</m:t>
                    </m:r>
                  </m:e>
                  <m:sub>
                    <m:r>
                      <m:rPr>
                        <m:sty m:val="p"/>
                      </m:rPr>
                      <w:rPr>
                        <w:rFonts w:ascii="Cambria Math" w:hAnsi="Cambria Math"/>
                        <w:i w:val="0"/>
                        <w:sz w:val="28"/>
                        <w:szCs w:val="28"/>
                      </w:rPr>
                      <m:t xml:space="preserve">набл</m:t>
                    </m:r>
                  </m:sub>
                </m:sSub>
              </m:e>
            </m:d>
          </m:num>
          <m:den>
            <m:sSub>
              <m:e>
                <m:r>
                  <w:rPr>
                    <w:rFonts w:ascii="Cambria Math" w:hAnsi="Cambria Math"/>
                    <w:i/>
                    <w:sz w:val="28"/>
                    <w:szCs w:val="28"/>
                  </w:rPr>
                  <m:t xml:space="preserve">C</m:t>
                </m:r>
              </m:e>
              <m:sub>
                <m:r>
                  <m:rPr>
                    <m:sty m:val="p"/>
                  </m:rPr>
                  <w:rPr>
                    <w:rFonts w:ascii="Cambria Math" w:hAnsi="Cambria Math"/>
                    <w:i w:val="0"/>
                    <w:sz w:val="28"/>
                    <w:szCs w:val="28"/>
                  </w:rPr>
                  <m:t xml:space="preserve">набл</m:t>
                </m:r>
              </m:sub>
            </m:sSub>
          </m:den>
        </m:f>
      </m:oMath>
      <w:r>
        <w:rPr>
          <w:rFonts w:ascii="Times New Roman" w:cs="Times New Roman" w:eastAsia="Times New Roman" w:hAnsi="Times New Roman"/>
          <w:sz w:val="28"/>
          <w:szCs w:val="28"/>
        </w:rPr>
        <w:t xml:space="preserve">	(2.6)</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где k — оценка параметра институциональной среды; φ</w:t>
      </w:r>
      <w:r>
        <w:rPr>
          <w:rFonts w:ascii="Times New Roman" w:cs="Times New Roman" w:eastAsia="Times New Roman" w:hAnsi="Times New Roman"/>
          <w:b w:val="false"/>
          <w:bCs w:val="false"/>
          <w:i w:val="false"/>
          <w:iCs w:val="false"/>
          <w:sz w:val="28"/>
          <w:szCs w:val="28"/>
          <w:vertAlign w:val="subscript"/>
        </w:rPr>
        <w:t xml:space="preserve">набл</w:t>
      </w:r>
      <w:r>
        <w:rPr>
          <w:rFonts w:ascii="Times New Roman" w:cs="Times New Roman" w:eastAsia="Times New Roman" w:hAnsi="Times New Roman"/>
          <w:b w:val="false"/>
          <w:bCs w:val="false"/>
          <w:i w:val="false"/>
          <w:iCs w:val="false"/>
          <w:sz w:val="28"/>
          <w:szCs w:val="28"/>
        </w:rPr>
        <w:t xml:space="preserve"> — наблюдаемая доля реализованного потенциала, равная отношению подтверждённого эффекта действующих обменов к эффекту всех допустимых обменов, то есть C</w:t>
      </w:r>
      <w:r>
        <w:rPr>
          <w:rFonts w:ascii="Times New Roman" w:cs="Times New Roman" w:eastAsia="Times New Roman" w:hAnsi="Times New Roman"/>
          <w:b w:val="false"/>
          <w:bCs w:val="false"/>
          <w:i w:val="false"/>
          <w:iCs w:val="false"/>
          <w:sz w:val="28"/>
          <w:szCs w:val="28"/>
          <w:vertAlign w:val="subscript"/>
        </w:rPr>
        <w:t xml:space="preserve">стоим</w:t>
      </w:r>
      <w:r>
        <w:rPr>
          <w:rFonts w:ascii="Times New Roman" w:cs="Times New Roman" w:eastAsia="Times New Roman" w:hAnsi="Times New Roman"/>
          <w:b w:val="false"/>
          <w:bCs w:val="false"/>
          <w:i w:val="false"/>
          <w:iCs w:val="false"/>
          <w:sz w:val="28"/>
          <w:szCs w:val="28"/>
        </w:rPr>
        <w:t xml:space="preserve">; C</w:t>
      </w:r>
      <w:r>
        <w:rPr>
          <w:rFonts w:ascii="Times New Roman" w:cs="Times New Roman" w:eastAsia="Times New Roman" w:hAnsi="Times New Roman"/>
          <w:b w:val="false"/>
          <w:bCs w:val="false"/>
          <w:i w:val="false"/>
          <w:iCs w:val="false"/>
          <w:sz w:val="28"/>
          <w:szCs w:val="28"/>
          <w:vertAlign w:val="subscript"/>
        </w:rPr>
        <w:t xml:space="preserve">набл</w:t>
      </w:r>
      <w:r>
        <w:rPr>
          <w:rFonts w:ascii="Times New Roman" w:cs="Times New Roman" w:eastAsia="Times New Roman" w:hAnsi="Times New Roman"/>
          <w:b w:val="false"/>
          <w:bCs w:val="false"/>
          <w:i w:val="false"/>
          <w:iCs w:val="false"/>
          <w:sz w:val="28"/>
          <w:szCs w:val="28"/>
        </w:rPr>
        <w:t xml:space="preserve"> — наблюдаемое значение индекса C</w:t>
      </w:r>
      <w:r>
        <w:rPr>
          <w:rFonts w:ascii="Times New Roman" w:cs="Times New Roman" w:eastAsia="Times New Roman" w:hAnsi="Times New Roman"/>
          <w:b w:val="false"/>
          <w:bCs w:val="false"/>
          <w:i w:val="false"/>
          <w:iCs w:val="false"/>
          <w:sz w:val="28"/>
          <w:szCs w:val="28"/>
          <w:vertAlign w:val="subscript"/>
        </w:rPr>
        <w:t xml:space="preserve">инд</w:t>
      </w:r>
      <w:r>
        <w:rPr>
          <w:rFonts w:ascii="Times New Roman" w:cs="Times New Roman" w:eastAsia="Times New Roman" w:hAnsi="Times New Roman"/>
          <w:b w:val="false"/>
          <w:bCs w:val="false"/>
          <w:i w:val="false"/>
          <w:iCs w:val="false"/>
          <w:sz w:val="28"/>
          <w:szCs w:val="28"/>
        </w:rPr>
        <w:t xml:space="preserve"> в тот же период.</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Формула (2.6) получена обращением (2.5) и допускает проверку. Если при C</w:t>
      </w:r>
      <w:r>
        <w:rPr>
          <w:rFonts w:ascii="Times New Roman" w:cs="Times New Roman" w:eastAsia="Times New Roman" w:hAnsi="Times New Roman"/>
          <w:b w:val="false"/>
          <w:bCs w:val="false"/>
          <w:i w:val="false"/>
          <w:iCs w:val="false"/>
          <w:sz w:val="28"/>
          <w:szCs w:val="28"/>
          <w:vertAlign w:val="subscript"/>
        </w:rPr>
        <w:t xml:space="preserve">набл</w:t>
      </w:r>
      <w:r>
        <w:rPr>
          <w:rFonts w:ascii="Times New Roman" w:cs="Times New Roman" w:eastAsia="Times New Roman" w:hAnsi="Times New Roman"/>
          <w:b w:val="false"/>
          <w:bCs w:val="false"/>
          <w:i w:val="false"/>
          <w:iCs w:val="false"/>
          <w:sz w:val="28"/>
          <w:szCs w:val="28"/>
        </w:rPr>
        <w:t xml:space="preserve"> = 0,10 подтверждённый эффект составляет 39 % потенциала, оценка k = 4,9, что близко к сценарному значению умеренной среды. Если же реализовано 50 % потенциала, k = 6,9, и среда ближе к координируемой. Наблюдение на нескольких последовательных периодах даёт ряд оценок k: их рост во времени подтверждает гипотезу об институциональном обучении, заложенную в симулятор, а постоянство или падение опровергает её. Функция (2.5) тем самым получает эмпирический критерий опровержения, которого ей не хватало в исходной постановке.</w:t>
      </w:r>
      <w:r>
        <w:rPr>
          <w:rFonts w:ascii="Times New Roman" w:cs="Times New Roman" w:eastAsia="Times New Roman" w:hAnsi="Times New Roman"/>
          <w:b w:val="false"/>
          <w:bCs w:val="false"/>
          <w:i w:val="false"/>
          <w:iCs w:val="false"/>
          <w:sz w:val="28"/>
          <w:szCs w:val="28"/>
        </w:rPr>
        <w:t xml:space="preserve"> Параметры, которые удаётся оценить по открытой отчётности заводов-аналогов (выбросы и поток технологического CO</w:t>
      </w:r>
      <w:r>
        <w:rPr>
          <w:rFonts w:ascii="Times New Roman" w:cs="Times New Roman" w:eastAsia="Times New Roman" w:hAnsi="Times New Roman"/>
          <w:b w:val="false"/>
          <w:bCs w:val="false"/>
          <w:i w:val="false"/>
          <w:iCs w:val="false"/>
          <w:sz w:val="28"/>
          <w:szCs w:val="28"/>
          <w:vertAlign w:val="subscript"/>
        </w:rPr>
        <w:t xml:space="preserve">2</w:t>
      </w:r>
      <w:r>
        <w:rPr>
          <w:rFonts w:ascii="Times New Roman" w:cs="Times New Roman" w:eastAsia="Times New Roman" w:hAnsi="Times New Roman"/>
          <w:b w:val="false"/>
          <w:bCs w:val="false"/>
          <w:i w:val="false"/>
          <w:iCs w:val="false"/>
          <w:sz w:val="28"/>
          <w:szCs w:val="28"/>
        </w:rPr>
        <w:t xml:space="preserve"> якоря, вероятность его остановки, волатильность выпуска), откалиброваны в § 3.1; параметр k к ним не относится и требует наблюдений самой платформы.</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Пороги связности 5 и 15 %, используемые в первой главе для выделения фаз развития экосистемы, сохраняют в этой логике статус сценарных ориентиров. Действительная граница, после которой расширение сети перестаёт быть выгодным, определяется не фиксированным значением индекса, а равенством предельной выгоды и предельных издержек связности; её расчёт приведён в § 2.3.3.</w:t>
      </w:r>
    </w:p>
    <w:p>
      <w:pPr>
        <w:keepNext/>
        <w:spacing w:after="0" w:before="0" w:line="360" w:lineRule="auto"/>
      </w:pPr>
    </w:p>
    <w:p>
      <w:pPr>
        <w:pStyle w:val="Heading2"/>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2.3. Методика расчёта дополнительного экономического эффекта и симбиотического дивиденда</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2.3.1. Контрфактическая база и состав дополнительного эффекта</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Первая глава развела два понятия: синергетический эффект как создаваемую обменом стоимость и симбиотический дивиденд как договорно распределяемую её часть. Для расчёта это различение означает, что сначала оценивается величина созданного, а затем отдельно решается, как его делить. Смешение двух операций порождает характерную ошибку: в эффект включают платёж покупателя поставщику, хотя для системы в целом он равен нулю, поскольку выручка одного участника есть затраты другого. В консолидированном расчёте такие внутренние трансферты исключаются, а цена обмена влияет только на распределение эффекта между сторонами, но не на его величину.</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Дополнительный эффект определяется изменением денежных потоков участников по отношению к контрфактическому состоянию без организованного обмена:</w:t>
      </w:r>
    </w:p>
    <w:p>
      <w:pPr>
        <w:tabs>
          <w:tab w:val="center" w:pos="4678"/>
          <w:tab w:val="right" w:pos="9355"/>
        </w:tabs>
        <w:spacing w:after="0" w:before="0" w:line="360" w:lineRule="auto"/>
        <w:ind w:firstLine="0"/>
        <w:jc w:val="left"/>
      </w:pPr>
      <w:r>
        <w:rPr>
          <w:rFonts w:ascii="Times New Roman" w:cs="Times New Roman" w:eastAsia="Times New Roman" w:hAnsi="Times New Roman"/>
          <w:sz w:val="28"/>
          <w:szCs w:val="28"/>
        </w:rPr>
        <w:t xml:space="preserve">	</w:t>
      </w:r>
      <m:oMath xmlns:m="http://schemas.openxmlformats.org/officeDocument/2006/math" xmlns:w="http://schemas.openxmlformats.org/wordprocessingml/2006/main">
        <m:r>
          <w:rPr>
            <w:rFonts w:ascii="Cambria Math" w:hAnsi="Cambria Math"/>
            <w:i/>
            <w:sz w:val="28"/>
            <w:szCs w:val="28"/>
          </w:rPr>
          <m:t xml:space="preserve">ΔE</m:t>
        </m:r>
        <m:d>
          <m:dPr>
            <m:begChr m:val="("/>
            <m:endChr m:val=")"/>
          </m:dPr>
          <m:e>
            <m:r>
              <w:rPr>
                <w:rFonts w:ascii="Cambria Math" w:hAnsi="Cambria Math"/>
                <w:i/>
                <w:sz w:val="28"/>
                <w:szCs w:val="28"/>
              </w:rPr>
              <m:t xml:space="preserve">t</m:t>
            </m:r>
          </m:e>
        </m:d>
        <m:r>
          <m:rPr>
            <m:sty m:val="p"/>
          </m:rPr>
          <w:rPr>
            <w:rFonts w:ascii="Cambria Math" w:hAnsi="Cambria Math"/>
            <w:i w:val="0"/>
            <w:sz w:val="28"/>
            <w:szCs w:val="28"/>
          </w:rPr>
          <m:t xml:space="preserve"> = </m:t>
        </m:r>
        <m:sSub>
          <m:e>
            <m:r>
              <w:rPr>
                <w:rFonts w:ascii="Cambria Math" w:hAnsi="Cambria Math"/>
                <w:i/>
                <w:sz w:val="28"/>
                <w:szCs w:val="28"/>
              </w:rPr>
              <m:t xml:space="preserve">ΔR</m:t>
            </m:r>
          </m:e>
          <m:sub>
            <m:r>
              <m:rPr>
                <m:sty m:val="p"/>
              </m:rPr>
              <w:rPr>
                <w:rFonts w:ascii="Cambria Math" w:hAnsi="Cambria Math"/>
                <w:i w:val="0"/>
                <w:sz w:val="28"/>
                <w:szCs w:val="28"/>
              </w:rPr>
              <m:t xml:space="preserve">внеш</m:t>
            </m:r>
          </m:sub>
        </m:sSub>
        <m:d>
          <m:dPr>
            <m:begChr m:val="("/>
            <m:endChr m:val=")"/>
          </m:dPr>
          <m:e>
            <m:r>
              <w:rPr>
                <w:rFonts w:ascii="Cambria Math" w:hAnsi="Cambria Math"/>
                <w:i/>
                <w:sz w:val="28"/>
                <w:szCs w:val="28"/>
              </w:rPr>
              <m:t xml:space="preserve">t</m:t>
            </m:r>
          </m:e>
        </m:d>
        <m:r>
          <m:rPr>
            <m:sty m:val="p"/>
          </m:rPr>
          <w:rPr>
            <w:rFonts w:ascii="Cambria Math" w:hAnsi="Cambria Math"/>
            <w:i w:val="0"/>
            <w:sz w:val="28"/>
            <w:szCs w:val="28"/>
          </w:rPr>
          <m:t xml:space="preserve"> + </m:t>
        </m:r>
        <m:sSub>
          <m:e>
            <m:r>
              <w:rPr>
                <w:rFonts w:ascii="Cambria Math" w:hAnsi="Cambria Math"/>
                <w:i/>
                <w:sz w:val="28"/>
                <w:szCs w:val="28"/>
              </w:rPr>
              <m:t xml:space="preserve">ΔC</m:t>
            </m:r>
          </m:e>
          <m:sub>
            <m:r>
              <m:rPr>
                <m:sty m:val="p"/>
              </m:rPr>
              <w:rPr>
                <w:rFonts w:ascii="Cambria Math" w:hAnsi="Cambria Math"/>
                <w:i w:val="0"/>
                <w:sz w:val="28"/>
                <w:szCs w:val="28"/>
              </w:rPr>
              <m:t xml:space="preserve">изб</m:t>
            </m:r>
          </m:sub>
        </m:sSub>
        <m:d>
          <m:dPr>
            <m:begChr m:val="("/>
            <m:endChr m:val=")"/>
          </m:dPr>
          <m:e>
            <m:r>
              <w:rPr>
                <w:rFonts w:ascii="Cambria Math" w:hAnsi="Cambria Math"/>
                <w:i/>
                <w:sz w:val="28"/>
                <w:szCs w:val="28"/>
              </w:rPr>
              <m:t xml:space="preserve">t</m:t>
            </m:r>
          </m:e>
        </m:d>
        <m:r>
          <m:rPr>
            <m:sty m:val="p"/>
          </m:rPr>
          <w:rPr>
            <w:rFonts w:ascii="Cambria Math" w:hAnsi="Cambria Math"/>
            <w:i w:val="0"/>
            <w:sz w:val="28"/>
            <w:szCs w:val="28"/>
          </w:rPr>
          <m:t xml:space="preserve"> − </m:t>
        </m:r>
        <m:sSub>
          <m:e>
            <m:r>
              <w:rPr>
                <w:rFonts w:ascii="Cambria Math" w:hAnsi="Cambria Math"/>
                <w:i/>
                <w:sz w:val="28"/>
                <w:szCs w:val="28"/>
              </w:rPr>
              <m:t xml:space="preserve">C</m:t>
            </m:r>
          </m:e>
          <m:sub>
            <m:r>
              <m:rPr>
                <m:sty m:val="p"/>
              </m:rPr>
              <w:rPr>
                <w:rFonts w:ascii="Cambria Math" w:hAnsi="Cambria Math"/>
                <w:i w:val="0"/>
                <w:sz w:val="28"/>
                <w:szCs w:val="28"/>
              </w:rPr>
              <m:t xml:space="preserve">инфр</m:t>
            </m:r>
          </m:sub>
        </m:sSub>
        <m:d>
          <m:dPr>
            <m:begChr m:val="("/>
            <m:endChr m:val=")"/>
          </m:dPr>
          <m:e>
            <m:r>
              <w:rPr>
                <w:rFonts w:ascii="Cambria Math" w:hAnsi="Cambria Math"/>
                <w:i/>
                <w:sz w:val="28"/>
                <w:szCs w:val="28"/>
              </w:rPr>
              <m:t xml:space="preserve">t</m:t>
            </m:r>
          </m:e>
        </m:d>
        <m:r>
          <m:rPr>
            <m:sty m:val="p"/>
          </m:rPr>
          <w:rPr>
            <w:rFonts w:ascii="Cambria Math" w:hAnsi="Cambria Math"/>
            <w:i w:val="0"/>
            <w:sz w:val="28"/>
            <w:szCs w:val="28"/>
          </w:rPr>
          <m:t xml:space="preserve"> − </m:t>
        </m:r>
        <m:sSub>
          <m:e>
            <m:r>
              <w:rPr>
                <w:rFonts w:ascii="Cambria Math" w:hAnsi="Cambria Math"/>
                <w:i/>
                <w:sz w:val="28"/>
                <w:szCs w:val="28"/>
              </w:rPr>
              <m:t xml:space="preserve">C</m:t>
            </m:r>
          </m:e>
          <m:sub>
            <m:r>
              <m:rPr>
                <m:sty m:val="p"/>
              </m:rPr>
              <w:rPr>
                <w:rFonts w:ascii="Cambria Math" w:hAnsi="Cambria Math"/>
                <w:i w:val="0"/>
                <w:sz w:val="28"/>
                <w:szCs w:val="28"/>
              </w:rPr>
              <m:t xml:space="preserve">опер</m:t>
            </m:r>
          </m:sub>
        </m:sSub>
        <m:d>
          <m:dPr>
            <m:begChr m:val="("/>
            <m:endChr m:val=")"/>
          </m:dPr>
          <m:e>
            <m:r>
              <w:rPr>
                <w:rFonts w:ascii="Cambria Math" w:hAnsi="Cambria Math"/>
                <w:i/>
                <w:sz w:val="28"/>
                <w:szCs w:val="28"/>
              </w:rPr>
              <m:t xml:space="preserve">t</m:t>
            </m:r>
          </m:e>
        </m:d>
        <m:r>
          <m:rPr>
            <m:sty m:val="p"/>
          </m:rPr>
          <w:rPr>
            <w:rFonts w:ascii="Cambria Math" w:hAnsi="Cambria Math"/>
            <w:i w:val="0"/>
            <w:sz w:val="28"/>
            <w:szCs w:val="28"/>
          </w:rPr>
          <m:t xml:space="preserve"> − </m:t>
        </m:r>
        <m:sSub>
          <m:e>
            <m:r>
              <w:rPr>
                <w:rFonts w:ascii="Cambria Math" w:hAnsi="Cambria Math"/>
                <w:i/>
                <w:sz w:val="28"/>
                <w:szCs w:val="28"/>
              </w:rPr>
              <m:t xml:space="preserve">C</m:t>
            </m:r>
          </m:e>
          <m:sub>
            <m:r>
              <m:rPr>
                <m:sty m:val="p"/>
              </m:rPr>
              <w:rPr>
                <w:rFonts w:ascii="Cambria Math" w:hAnsi="Cambria Math"/>
                <w:i w:val="0"/>
                <w:sz w:val="28"/>
                <w:szCs w:val="28"/>
              </w:rPr>
              <m:t xml:space="preserve">сдел</m:t>
            </m:r>
          </m:sub>
        </m:sSub>
        <m:d>
          <m:dPr>
            <m:begChr m:val="("/>
            <m:endChr m:val=")"/>
          </m:dPr>
          <m:e>
            <m:r>
              <w:rPr>
                <w:rFonts w:ascii="Cambria Math" w:hAnsi="Cambria Math"/>
                <w:i/>
                <w:sz w:val="28"/>
                <w:szCs w:val="28"/>
              </w:rPr>
              <m:t xml:space="preserve">t</m:t>
            </m:r>
          </m:e>
        </m:d>
      </m:oMath>
      <w:r>
        <w:rPr>
          <w:rFonts w:ascii="Times New Roman" w:cs="Times New Roman" w:eastAsia="Times New Roman" w:hAnsi="Times New Roman"/>
          <w:sz w:val="28"/>
          <w:szCs w:val="28"/>
        </w:rPr>
        <w:t xml:space="preserve">	(2.7)</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где ΔE(t) — дополнительный экономический эффект экоплатформы в период t, млн руб.; ΔR</w:t>
      </w:r>
      <w:r>
        <w:rPr>
          <w:rFonts w:ascii="Times New Roman" w:cs="Times New Roman" w:eastAsia="Times New Roman" w:hAnsi="Times New Roman"/>
          <w:b w:val="false"/>
          <w:bCs w:val="false"/>
          <w:i w:val="false"/>
          <w:iCs w:val="false"/>
          <w:sz w:val="28"/>
          <w:szCs w:val="28"/>
          <w:vertAlign w:val="subscript"/>
        </w:rPr>
        <w:t xml:space="preserve">внеш</w:t>
      </w:r>
      <w:r>
        <w:rPr>
          <w:rFonts w:ascii="Times New Roman" w:cs="Times New Roman" w:eastAsia="Times New Roman" w:hAnsi="Times New Roman"/>
          <w:b w:val="false"/>
          <w:bCs w:val="false"/>
          <w:i w:val="false"/>
          <w:iCs w:val="false"/>
          <w:sz w:val="28"/>
          <w:szCs w:val="28"/>
        </w:rPr>
        <w:t xml:space="preserve">(t) — прирост выручки участников от внешних, не входящих в систему контрагентов; ΔC</w:t>
      </w:r>
      <w:r>
        <w:rPr>
          <w:rFonts w:ascii="Times New Roman" w:cs="Times New Roman" w:eastAsia="Times New Roman" w:hAnsi="Times New Roman"/>
          <w:b w:val="false"/>
          <w:bCs w:val="false"/>
          <w:i w:val="false"/>
          <w:iCs w:val="false"/>
          <w:sz w:val="28"/>
          <w:szCs w:val="28"/>
          <w:vertAlign w:val="subscript"/>
        </w:rPr>
        <w:t xml:space="preserve">изб</w:t>
      </w:r>
      <w:r>
        <w:rPr>
          <w:rFonts w:ascii="Times New Roman" w:cs="Times New Roman" w:eastAsia="Times New Roman" w:hAnsi="Times New Roman"/>
          <w:b w:val="false"/>
          <w:bCs w:val="false"/>
          <w:i w:val="false"/>
          <w:iCs w:val="false"/>
          <w:sz w:val="28"/>
          <w:szCs w:val="28"/>
        </w:rPr>
        <w:t xml:space="preserve">(t) — предотвращённые внешние затраты участников (замещённые закупки первичных ресурсов, не внесённая плата за НВОС, сэкономленные расходы на вывоз и размещение отходов); C</w:t>
      </w:r>
      <w:r>
        <w:rPr>
          <w:rFonts w:ascii="Times New Roman" w:cs="Times New Roman" w:eastAsia="Times New Roman" w:hAnsi="Times New Roman"/>
          <w:b w:val="false"/>
          <w:bCs w:val="false"/>
          <w:i w:val="false"/>
          <w:iCs w:val="false"/>
          <w:sz w:val="28"/>
          <w:szCs w:val="28"/>
          <w:vertAlign w:val="subscript"/>
        </w:rPr>
        <w:t xml:space="preserve">инфр</w:t>
      </w:r>
      <w:r>
        <w:rPr>
          <w:rFonts w:ascii="Times New Roman" w:cs="Times New Roman" w:eastAsia="Times New Roman" w:hAnsi="Times New Roman"/>
          <w:b w:val="false"/>
          <w:bCs w:val="false"/>
          <w:i w:val="false"/>
          <w:iCs w:val="false"/>
          <w:sz w:val="28"/>
          <w:szCs w:val="28"/>
        </w:rPr>
        <w:t xml:space="preserve">(t) — приведённые к периоду капитальные затраты на инфраструктуру обмена; C</w:t>
      </w:r>
      <w:r>
        <w:rPr>
          <w:rFonts w:ascii="Times New Roman" w:cs="Times New Roman" w:eastAsia="Times New Roman" w:hAnsi="Times New Roman"/>
          <w:b w:val="false"/>
          <w:bCs w:val="false"/>
          <w:i w:val="false"/>
          <w:iCs w:val="false"/>
          <w:sz w:val="28"/>
          <w:szCs w:val="28"/>
          <w:vertAlign w:val="subscript"/>
        </w:rPr>
        <w:t xml:space="preserve">опер</w:t>
      </w:r>
      <w:r>
        <w:rPr>
          <w:rFonts w:ascii="Times New Roman" w:cs="Times New Roman" w:eastAsia="Times New Roman" w:hAnsi="Times New Roman"/>
          <w:b w:val="false"/>
          <w:bCs w:val="false"/>
          <w:i w:val="false"/>
          <w:iCs w:val="false"/>
          <w:sz w:val="28"/>
          <w:szCs w:val="28"/>
        </w:rPr>
        <w:t xml:space="preserve">(t) — эксплуатационные затраты платформы и обменных узлов; C</w:t>
      </w:r>
      <w:r>
        <w:rPr>
          <w:rFonts w:ascii="Times New Roman" w:cs="Times New Roman" w:eastAsia="Times New Roman" w:hAnsi="Times New Roman"/>
          <w:b w:val="false"/>
          <w:bCs w:val="false"/>
          <w:i w:val="false"/>
          <w:iCs w:val="false"/>
          <w:sz w:val="28"/>
          <w:szCs w:val="28"/>
          <w:vertAlign w:val="subscript"/>
        </w:rPr>
        <w:t xml:space="preserve">сдел</w:t>
      </w:r>
      <w:r>
        <w:rPr>
          <w:rFonts w:ascii="Times New Roman" w:cs="Times New Roman" w:eastAsia="Times New Roman" w:hAnsi="Times New Roman"/>
          <w:b w:val="false"/>
          <w:bCs w:val="false"/>
          <w:i w:val="false"/>
          <w:iCs w:val="false"/>
          <w:sz w:val="28"/>
          <w:szCs w:val="28"/>
        </w:rPr>
        <w:t xml:space="preserve">(t) — издержки сделок: аудит, юридическое сопровождение, страхование исполнения.</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Формула (2.7) отличается от записи эффекта в первой главе (1.8) тем, что вычитает затраты на создание и поддержание связей. Без вычета эффект любой сети растёт с числом связей, и оптимального размера сети не существует; с вычетом появляется точка, после которой новая связь стоит больше, чем приносит. В симуляторе эти затраты учтены неявно, через коэффициент α, что затрудняет проверку; в методике главы они выделены явно.</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Капитальные затраты распределяются по периодам аннуитетным способом, чтобы годовой эффект и годовые затраты были сопоставимы:</w:t>
      </w:r>
    </w:p>
    <w:p>
      <w:pPr>
        <w:tabs>
          <w:tab w:val="center" w:pos="4678"/>
          <w:tab w:val="right" w:pos="9355"/>
        </w:tabs>
        <w:spacing w:after="0" w:before="0" w:line="360" w:lineRule="auto"/>
        <w:ind w:firstLine="0"/>
        <w:jc w:val="left"/>
      </w:pPr>
      <w:r>
        <w:rPr>
          <w:rFonts w:ascii="Times New Roman" w:cs="Times New Roman" w:eastAsia="Times New Roman" w:hAnsi="Times New Roman"/>
          <w:sz w:val="28"/>
          <w:szCs w:val="28"/>
        </w:rPr>
        <w:t xml:space="preserve">	</w:t>
      </w:r>
      <m:oMath xmlns:m="http://schemas.openxmlformats.org/officeDocument/2006/math" xmlns:w="http://schemas.openxmlformats.org/wordprocessingml/2006/main">
        <m:sSub>
          <m:e>
            <m:r>
              <w:rPr>
                <w:rFonts w:ascii="Cambria Math" w:hAnsi="Cambria Math"/>
                <w:i/>
                <w:sz w:val="28"/>
                <w:szCs w:val="28"/>
              </w:rPr>
              <m:t xml:space="preserve">C</m:t>
            </m:r>
          </m:e>
          <m:sub>
            <m:r>
              <m:rPr>
                <m:sty m:val="p"/>
              </m:rPr>
              <w:rPr>
                <w:rFonts w:ascii="Cambria Math" w:hAnsi="Cambria Math"/>
                <w:i w:val="0"/>
                <w:sz w:val="28"/>
                <w:szCs w:val="28"/>
              </w:rPr>
              <m:t xml:space="preserve">инфр</m:t>
            </m:r>
          </m:sub>
        </m:sSub>
        <m:r>
          <m:rPr>
            <m:sty m:val="p"/>
          </m:rPr>
          <w:rPr>
            <w:rFonts w:ascii="Cambria Math" w:hAnsi="Cambria Math"/>
            <w:i w:val="0"/>
            <w:sz w:val="28"/>
            <w:szCs w:val="28"/>
          </w:rPr>
          <m:t xml:space="preserve"> = </m:t>
        </m:r>
        <m:nary>
          <m:naryPr>
            <m:chr m:val="∑"/>
            <m:limLoc m:val="undOvr"/>
            <m:supHide m:val="1"/>
          </m:naryPr>
          <m:sub>
            <m:r>
              <w:rPr>
                <w:rFonts w:ascii="Cambria Math" w:hAnsi="Cambria Math"/>
                <w:i/>
                <w:sz w:val="28"/>
                <w:szCs w:val="28"/>
              </w:rPr>
              <m:t xml:space="preserve">m</m:t>
            </m:r>
          </m:sub>
          <m:sup/>
          <m:e>
            <m:sSub>
              <m:e>
                <m:r>
                  <w:rPr>
                    <w:rFonts w:ascii="Cambria Math" w:hAnsi="Cambria Math"/>
                    <w:i/>
                    <w:sz w:val="28"/>
                    <w:szCs w:val="28"/>
                  </w:rPr>
                  <m:t xml:space="preserve">K</m:t>
                </m:r>
              </m:e>
              <m:sub>
                <m:r>
                  <w:rPr>
                    <w:rFonts w:ascii="Cambria Math" w:hAnsi="Cambria Math"/>
                    <w:i/>
                    <w:sz w:val="28"/>
                    <w:szCs w:val="28"/>
                  </w:rPr>
                  <m:t xml:space="preserve">m</m:t>
                </m:r>
              </m:sub>
            </m:sSub>
            <m:r>
              <m:rPr>
                <m:sty m:val="p"/>
              </m:rPr>
              <w:rPr>
                <w:rFonts w:ascii="Cambria Math" w:hAnsi="Cambria Math"/>
                <w:i w:val="0"/>
                <w:sz w:val="28"/>
                <w:szCs w:val="28"/>
              </w:rPr>
              <m:t xml:space="preserve">·</m:t>
            </m:r>
            <m:f>
              <m:num>
                <m:r>
                  <w:rPr>
                    <w:rFonts w:ascii="Cambria Math" w:hAnsi="Cambria Math"/>
                    <w:i/>
                    <w:sz w:val="28"/>
                    <w:szCs w:val="28"/>
                  </w:rPr>
                  <m:t xml:space="preserve">r</m:t>
                </m:r>
              </m:num>
              <m:den>
                <m:r>
                  <m:rPr>
                    <m:sty m:val="p"/>
                  </m:rPr>
                  <w:rPr>
                    <w:rFonts w:ascii="Cambria Math" w:hAnsi="Cambria Math"/>
                    <w:i w:val="0"/>
                    <w:sz w:val="28"/>
                    <w:szCs w:val="28"/>
                  </w:rPr>
                  <m:t xml:space="preserve">1 − </m:t>
                </m:r>
                <m:sSup>
                  <m:e>
                    <m:d>
                      <m:dPr>
                        <m:begChr m:val="("/>
                        <m:endChr m:val=")"/>
                      </m:dPr>
                      <m:e>
                        <m:r>
                          <m:rPr>
                            <m:sty m:val="p"/>
                          </m:rPr>
                          <w:rPr>
                            <w:rFonts w:ascii="Cambria Math" w:hAnsi="Cambria Math"/>
                            <w:i w:val="0"/>
                            <w:sz w:val="28"/>
                            <w:szCs w:val="28"/>
                          </w:rPr>
                          <m:t xml:space="preserve">1 + </m:t>
                        </m:r>
                        <m:r>
                          <w:rPr>
                            <w:rFonts w:ascii="Cambria Math" w:hAnsi="Cambria Math"/>
                            <w:i/>
                            <w:sz w:val="28"/>
                            <w:szCs w:val="28"/>
                          </w:rPr>
                          <m:t xml:space="preserve">r</m:t>
                        </m:r>
                      </m:e>
                    </m:d>
                  </m:e>
                  <m:sup>
                    <m:r>
                      <m:rPr>
                        <m:sty m:val="p"/>
                      </m:rPr>
                      <w:rPr>
                        <w:rFonts w:ascii="Cambria Math" w:hAnsi="Cambria Math"/>
                        <w:i w:val="0"/>
                        <w:sz w:val="28"/>
                        <w:szCs w:val="28"/>
                      </w:rPr>
                      <m:t xml:space="preserve">−</m:t>
                    </m:r>
                    <m:sSub>
                      <m:e>
                        <m:r>
                          <w:rPr>
                            <w:rFonts w:ascii="Cambria Math" w:hAnsi="Cambria Math"/>
                            <w:i/>
                            <w:sz w:val="28"/>
                            <w:szCs w:val="28"/>
                          </w:rPr>
                          <m:t xml:space="preserve">n</m:t>
                        </m:r>
                      </m:e>
                      <m:sub>
                        <m:r>
                          <w:rPr>
                            <w:rFonts w:ascii="Cambria Math" w:hAnsi="Cambria Math"/>
                            <w:i/>
                            <w:sz w:val="28"/>
                            <w:szCs w:val="28"/>
                          </w:rPr>
                          <m:t xml:space="preserve">m</m:t>
                        </m:r>
                      </m:sub>
                    </m:sSub>
                  </m:sup>
                </m:sSup>
              </m:den>
            </m:f>
          </m:e>
        </m:nary>
      </m:oMath>
      <w:r>
        <w:rPr>
          <w:rFonts w:ascii="Times New Roman" w:cs="Times New Roman" w:eastAsia="Times New Roman" w:hAnsi="Times New Roman"/>
          <w:sz w:val="28"/>
          <w:szCs w:val="28"/>
        </w:rPr>
        <w:t xml:space="preserve">	(2.8)</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где C</w:t>
      </w:r>
      <w:r>
        <w:rPr>
          <w:rFonts w:ascii="Times New Roman" w:cs="Times New Roman" w:eastAsia="Times New Roman" w:hAnsi="Times New Roman"/>
          <w:b w:val="false"/>
          <w:bCs w:val="false"/>
          <w:i w:val="false"/>
          <w:iCs w:val="false"/>
          <w:sz w:val="28"/>
          <w:szCs w:val="28"/>
          <w:vertAlign w:val="subscript"/>
        </w:rPr>
        <w:t xml:space="preserve">инфр</w:t>
      </w:r>
      <w:r>
        <w:rPr>
          <w:rFonts w:ascii="Times New Roman" w:cs="Times New Roman" w:eastAsia="Times New Roman" w:hAnsi="Times New Roman"/>
          <w:b w:val="false"/>
          <w:bCs w:val="false"/>
          <w:i w:val="false"/>
          <w:iCs w:val="false"/>
          <w:sz w:val="28"/>
          <w:szCs w:val="28"/>
        </w:rPr>
        <w:t xml:space="preserve"> — годовая приведённая стоимость капитальных вложений, млн руб.; K</w:t>
      </w:r>
      <w:r>
        <w:rPr>
          <w:rFonts w:ascii="Times New Roman" w:cs="Times New Roman" w:eastAsia="Times New Roman" w:hAnsi="Times New Roman"/>
          <w:b w:val="false"/>
          <w:bCs w:val="false"/>
          <w:i w:val="false"/>
          <w:iCs w:val="false"/>
          <w:sz w:val="28"/>
          <w:szCs w:val="28"/>
          <w:vertAlign w:val="subscript"/>
        </w:rPr>
        <w:t xml:space="preserve">m</w:t>
      </w:r>
      <w:r>
        <w:rPr>
          <w:rFonts w:ascii="Times New Roman" w:cs="Times New Roman" w:eastAsia="Times New Roman" w:hAnsi="Times New Roman"/>
          <w:b w:val="false"/>
          <w:bCs w:val="false"/>
          <w:i w:val="false"/>
          <w:iCs w:val="false"/>
          <w:sz w:val="28"/>
          <w:szCs w:val="28"/>
        </w:rPr>
        <w:t xml:space="preserve"> — капитальные вложения в m-й объект инфраструктуры (теплотрасса, узел подготовки CO₂, программно-аппаратный комплекс платформы); r — ставка дисконтирования; n</w:t>
      </w:r>
      <w:r>
        <w:rPr>
          <w:rFonts w:ascii="Times New Roman" w:cs="Times New Roman" w:eastAsia="Times New Roman" w:hAnsi="Times New Roman"/>
          <w:b w:val="false"/>
          <w:bCs w:val="false"/>
          <w:i w:val="false"/>
          <w:iCs w:val="false"/>
          <w:sz w:val="28"/>
          <w:szCs w:val="28"/>
          <w:vertAlign w:val="subscript"/>
        </w:rPr>
        <w:t xml:space="preserve">m</w:t>
      </w:r>
      <w:r>
        <w:rPr>
          <w:rFonts w:ascii="Times New Roman" w:cs="Times New Roman" w:eastAsia="Times New Roman" w:hAnsi="Times New Roman"/>
          <w:b w:val="false"/>
          <w:bCs w:val="false"/>
          <w:i w:val="false"/>
          <w:iCs w:val="false"/>
          <w:sz w:val="28"/>
          <w:szCs w:val="28"/>
        </w:rPr>
        <w:t xml:space="preserve"> — срок службы объекта m, лет.</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Для каждого класса ресурсных потоков эффект вычисляется как разность между альтернативной стоимостью ресурса для потребителя и переменными затратами его передачи:</w:t>
      </w:r>
    </w:p>
    <w:p>
      <w:pPr>
        <w:tabs>
          <w:tab w:val="center" w:pos="4678"/>
          <w:tab w:val="right" w:pos="9355"/>
        </w:tabs>
        <w:spacing w:after="0" w:before="0" w:line="360" w:lineRule="auto"/>
        <w:ind w:firstLine="0"/>
        <w:jc w:val="left"/>
      </w:pPr>
      <w:r>
        <w:rPr>
          <w:rFonts w:ascii="Times New Roman" w:cs="Times New Roman" w:eastAsia="Times New Roman" w:hAnsi="Times New Roman"/>
          <w:sz w:val="28"/>
          <w:szCs w:val="28"/>
        </w:rPr>
        <w:t xml:space="preserve">	</w:t>
      </w:r>
      <m:oMath xmlns:m="http://schemas.openxmlformats.org/officeDocument/2006/math" xmlns:w="http://schemas.openxmlformats.org/wordprocessingml/2006/main">
        <m:sSub>
          <m:e>
            <m:r>
              <w:rPr>
                <w:rFonts w:ascii="Cambria Math" w:hAnsi="Cambria Math"/>
                <w:i/>
                <w:sz w:val="28"/>
                <w:szCs w:val="28"/>
              </w:rPr>
              <m:t xml:space="preserve">E</m:t>
            </m:r>
          </m:e>
          <m:sub>
            <m:r>
              <w:rPr>
                <w:rFonts w:ascii="Cambria Math" w:hAnsi="Cambria Math"/>
                <w:i/>
                <w:sz w:val="28"/>
                <w:szCs w:val="28"/>
              </w:rPr>
              <m:t xml:space="preserve">k</m:t>
            </m:r>
          </m:sub>
        </m:sSub>
        <m:r>
          <m:rPr>
            <m:sty m:val="p"/>
          </m:rPr>
          <w:rPr>
            <w:rFonts w:ascii="Cambria Math" w:hAnsi="Cambria Math"/>
            <w:i w:val="0"/>
            <w:sz w:val="28"/>
            <w:szCs w:val="28"/>
          </w:rPr>
          <m:t xml:space="preserve"> = </m:t>
        </m:r>
        <m:sSub>
          <m:e>
            <m:r>
              <w:rPr>
                <w:rFonts w:ascii="Cambria Math" w:hAnsi="Cambria Math"/>
                <w:i/>
                <w:sz w:val="28"/>
                <w:szCs w:val="28"/>
              </w:rPr>
              <m:t xml:space="preserve">Q</m:t>
            </m:r>
          </m:e>
          <m:sub>
            <m:r>
              <w:rPr>
                <w:rFonts w:ascii="Cambria Math" w:hAnsi="Cambria Math"/>
                <w:i/>
                <w:sz w:val="28"/>
                <w:szCs w:val="28"/>
              </w:rPr>
              <m:t xml:space="preserve">k</m:t>
            </m:r>
          </m:sub>
        </m:sSub>
        <m:r>
          <m:rPr>
            <m:sty m:val="p"/>
          </m:rPr>
          <w:rPr>
            <w:rFonts w:ascii="Cambria Math" w:hAnsi="Cambria Math"/>
            <w:i w:val="0"/>
            <w:sz w:val="28"/>
            <w:szCs w:val="28"/>
          </w:rPr>
          <m:t xml:space="preserve">·</m:t>
        </m:r>
        <m:d>
          <m:dPr>
            <m:begChr m:val="("/>
            <m:endChr m:val=")"/>
          </m:dPr>
          <m:e>
            <m:sSub>
              <m:e>
                <m:r>
                  <w:rPr>
                    <w:rFonts w:ascii="Cambria Math" w:hAnsi="Cambria Math"/>
                    <w:i/>
                    <w:sz w:val="28"/>
                    <w:szCs w:val="28"/>
                  </w:rPr>
                  <m:t xml:space="preserve">p</m:t>
                </m:r>
              </m:e>
              <m:sub>
                <m:r>
                  <m:rPr>
                    <m:sty m:val="p"/>
                  </m:rPr>
                  <w:rPr>
                    <w:rFonts w:ascii="Cambria Math" w:hAnsi="Cambria Math"/>
                    <w:i w:val="0"/>
                    <w:sz w:val="28"/>
                    <w:szCs w:val="28"/>
                  </w:rPr>
                  <m:t xml:space="preserve">альт,</m:t>
                </m:r>
                <m:r>
                  <w:rPr>
                    <w:rFonts w:ascii="Cambria Math" w:hAnsi="Cambria Math"/>
                    <w:i/>
                    <w:sz w:val="28"/>
                    <w:szCs w:val="28"/>
                  </w:rPr>
                  <m:t xml:space="preserve">k</m:t>
                </m:r>
              </m:sub>
            </m:sSub>
            <m:r>
              <m:rPr>
                <m:sty m:val="p"/>
              </m:rPr>
              <w:rPr>
                <w:rFonts w:ascii="Cambria Math" w:hAnsi="Cambria Math"/>
                <w:i w:val="0"/>
                <w:sz w:val="28"/>
                <w:szCs w:val="28"/>
              </w:rPr>
              <m:t xml:space="preserve"> − </m:t>
            </m:r>
            <m:sSub>
              <m:e>
                <m:r>
                  <w:rPr>
                    <w:rFonts w:ascii="Cambria Math" w:hAnsi="Cambria Math"/>
                    <w:i/>
                    <w:sz w:val="28"/>
                    <w:szCs w:val="28"/>
                  </w:rPr>
                  <m:t xml:space="preserve">c</m:t>
                </m:r>
              </m:e>
              <m:sub>
                <m:r>
                  <w:rPr>
                    <w:rFonts w:ascii="Cambria Math" w:hAnsi="Cambria Math"/>
                    <w:i/>
                    <w:sz w:val="28"/>
                    <w:szCs w:val="28"/>
                  </w:rPr>
                  <m:t xml:space="preserve">k</m:t>
                </m:r>
              </m:sub>
            </m:sSub>
          </m:e>
        </m:d>
      </m:oMath>
      <w:r>
        <w:rPr>
          <w:rFonts w:ascii="Times New Roman" w:cs="Times New Roman" w:eastAsia="Times New Roman" w:hAnsi="Times New Roman"/>
          <w:sz w:val="28"/>
          <w:szCs w:val="28"/>
        </w:rPr>
        <w:t xml:space="preserve">	(2.9)</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где E</w:t>
      </w:r>
      <w:r>
        <w:rPr>
          <w:rFonts w:ascii="Times New Roman" w:cs="Times New Roman" w:eastAsia="Times New Roman" w:hAnsi="Times New Roman"/>
          <w:b w:val="false"/>
          <w:bCs w:val="false"/>
          <w:i w:val="false"/>
          <w:iCs w:val="false"/>
          <w:sz w:val="28"/>
          <w:szCs w:val="28"/>
          <w:vertAlign w:val="subscript"/>
        </w:rPr>
        <w:t xml:space="preserve">k</w:t>
      </w:r>
      <w:r>
        <w:rPr>
          <w:rFonts w:ascii="Times New Roman" w:cs="Times New Roman" w:eastAsia="Times New Roman" w:hAnsi="Times New Roman"/>
          <w:b w:val="false"/>
          <w:bCs w:val="false"/>
          <w:i w:val="false"/>
          <w:iCs w:val="false"/>
          <w:sz w:val="28"/>
          <w:szCs w:val="28"/>
        </w:rPr>
        <w:t xml:space="preserve"> — валовая годовая экономия по потоку k, млн руб.; Q</w:t>
      </w:r>
      <w:r>
        <w:rPr>
          <w:rFonts w:ascii="Times New Roman" w:cs="Times New Roman" w:eastAsia="Times New Roman" w:hAnsi="Times New Roman"/>
          <w:b w:val="false"/>
          <w:bCs w:val="false"/>
          <w:i w:val="false"/>
          <w:iCs w:val="false"/>
          <w:sz w:val="28"/>
          <w:szCs w:val="28"/>
          <w:vertAlign w:val="subscript"/>
        </w:rPr>
        <w:t xml:space="preserve">k</w:t>
      </w:r>
      <w:r>
        <w:rPr>
          <w:rFonts w:ascii="Times New Roman" w:cs="Times New Roman" w:eastAsia="Times New Roman" w:hAnsi="Times New Roman"/>
          <w:b w:val="false"/>
          <w:bCs w:val="false"/>
          <w:i w:val="false"/>
          <w:iCs w:val="false"/>
          <w:sz w:val="28"/>
          <w:szCs w:val="28"/>
        </w:rPr>
        <w:t xml:space="preserve"> — технически доступный и фактически переданный объём по формуле (2.1); p</w:t>
      </w:r>
      <w:r>
        <w:rPr>
          <w:rFonts w:ascii="Times New Roman" w:cs="Times New Roman" w:eastAsia="Times New Roman" w:hAnsi="Times New Roman"/>
          <w:b w:val="false"/>
          <w:bCs w:val="false"/>
          <w:i w:val="false"/>
          <w:iCs w:val="false"/>
          <w:sz w:val="28"/>
          <w:szCs w:val="28"/>
          <w:vertAlign w:val="subscript"/>
        </w:rPr>
        <w:t xml:space="preserve">альт,k</w:t>
      </w:r>
      <w:r>
        <w:rPr>
          <w:rFonts w:ascii="Times New Roman" w:cs="Times New Roman" w:eastAsia="Times New Roman" w:hAnsi="Times New Roman"/>
          <w:b w:val="false"/>
          <w:bCs w:val="false"/>
          <w:i w:val="false"/>
          <w:iCs w:val="false"/>
          <w:sz w:val="28"/>
          <w:szCs w:val="28"/>
        </w:rPr>
        <w:t xml:space="preserve"> — альтернативная стоимость единицы ресурса для потребителя, то есть цена, которую он заплатил бы за замещаемый ресурс без обмена; c</w:t>
      </w:r>
      <w:r>
        <w:rPr>
          <w:rFonts w:ascii="Times New Roman" w:cs="Times New Roman" w:eastAsia="Times New Roman" w:hAnsi="Times New Roman"/>
          <w:b w:val="false"/>
          <w:bCs w:val="false"/>
          <w:i w:val="false"/>
          <w:iCs w:val="false"/>
          <w:sz w:val="28"/>
          <w:szCs w:val="28"/>
          <w:vertAlign w:val="subscript"/>
        </w:rPr>
        <w:t xml:space="preserve">k</w:t>
      </w:r>
      <w:r>
        <w:rPr>
          <w:rFonts w:ascii="Times New Roman" w:cs="Times New Roman" w:eastAsia="Times New Roman" w:hAnsi="Times New Roman"/>
          <w:b w:val="false"/>
          <w:bCs w:val="false"/>
          <w:i w:val="false"/>
          <w:iCs w:val="false"/>
          <w:sz w:val="28"/>
          <w:szCs w:val="28"/>
        </w:rPr>
        <w:t xml:space="preserve"> — переменные затраты на единицу переданного ресурса (подготовка, транспорт, контроль качества).</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 формуле (2.9) нет цены обмена p</w:t>
      </w:r>
      <w:r>
        <w:rPr>
          <w:rFonts w:ascii="Times New Roman" w:cs="Times New Roman" w:eastAsia="Times New Roman" w:hAnsi="Times New Roman"/>
          <w:b w:val="false"/>
          <w:bCs w:val="false"/>
          <w:i w:val="false"/>
          <w:iCs w:val="false"/>
          <w:sz w:val="28"/>
          <w:szCs w:val="28"/>
          <w:vertAlign w:val="subscript"/>
        </w:rPr>
        <w:t xml:space="preserve">ij</w:t>
      </w:r>
      <w:r>
        <w:rPr>
          <w:rFonts w:ascii="Times New Roman" w:cs="Times New Roman" w:eastAsia="Times New Roman" w:hAnsi="Times New Roman"/>
          <w:b w:val="false"/>
          <w:bCs w:val="false"/>
          <w:i w:val="false"/>
          <w:iCs w:val="false"/>
          <w:sz w:val="28"/>
          <w:szCs w:val="28"/>
        </w:rPr>
        <w:t xml:space="preserve">, и это сделано намеренно. Если потребитель покупает тепло у ГРЭС по цене p, его экономия равна p</w:t>
      </w:r>
      <w:r>
        <w:rPr>
          <w:rFonts w:ascii="Times New Roman" w:cs="Times New Roman" w:eastAsia="Times New Roman" w:hAnsi="Times New Roman"/>
          <w:b w:val="false"/>
          <w:bCs w:val="false"/>
          <w:i w:val="false"/>
          <w:iCs w:val="false"/>
          <w:sz w:val="28"/>
          <w:szCs w:val="28"/>
          <w:vertAlign w:val="subscript"/>
        </w:rPr>
        <w:t xml:space="preserve">альт</w:t>
      </w:r>
      <w:r>
        <w:rPr>
          <w:rFonts w:ascii="Times New Roman" w:cs="Times New Roman" w:eastAsia="Times New Roman" w:hAnsi="Times New Roman"/>
          <w:b w:val="false"/>
          <w:bCs w:val="false"/>
          <w:i w:val="false"/>
          <w:iCs w:val="false"/>
          <w:sz w:val="28"/>
          <w:szCs w:val="28"/>
        </w:rPr>
        <w:t xml:space="preserve"> − p, а дополнительная выручка ГРЭС равна p − c; сумма даёт p</w:t>
      </w:r>
      <w:r>
        <w:rPr>
          <w:rFonts w:ascii="Times New Roman" w:cs="Times New Roman" w:eastAsia="Times New Roman" w:hAnsi="Times New Roman"/>
          <w:b w:val="false"/>
          <w:bCs w:val="false"/>
          <w:i w:val="false"/>
          <w:iCs w:val="false"/>
          <w:sz w:val="28"/>
          <w:szCs w:val="28"/>
          <w:vertAlign w:val="subscript"/>
        </w:rPr>
        <w:t xml:space="preserve">альт</w:t>
      </w:r>
      <w:r>
        <w:rPr>
          <w:rFonts w:ascii="Times New Roman" w:cs="Times New Roman" w:eastAsia="Times New Roman" w:hAnsi="Times New Roman"/>
          <w:b w:val="false"/>
          <w:bCs w:val="false"/>
          <w:i w:val="false"/>
          <w:iCs w:val="false"/>
          <w:sz w:val="28"/>
          <w:szCs w:val="28"/>
        </w:rPr>
        <w:t xml:space="preserve"> − c и от цены не зависит. Цена важна для того, будет ли каждой стороне выгодно участвовать, но не для оценки созданной стоимости.</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Каждый компонент эффекта требует своего подтверждения. Требования, а также наиболее вероятные источники двойного счёта сведены в таблицу 2.4.</w:t>
      </w:r>
    </w:p>
    <w:p>
      <w:pPr>
        <w:keepNext/>
        <w:spacing w:after="0" w:before="0" w:line="360" w:lineRule="auto"/>
        <w:ind w:firstLine="0"/>
        <w:jc w:val="right"/>
      </w:pPr>
      <w:r>
        <w:rPr>
          <w:rFonts w:ascii="Times New Roman" w:cs="Times New Roman" w:eastAsia="Times New Roman" w:hAnsi="Times New Roman"/>
          <w:b w:val="false"/>
          <w:bCs w:val="false"/>
          <w:i w:val="false"/>
          <w:iCs w:val="false"/>
          <w:sz w:val="28"/>
          <w:szCs w:val="28"/>
        </w:rPr>
        <w:t xml:space="preserve">Таблица 2.4</w:t>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8"/>
          <w:szCs w:val="28"/>
        </w:rPr>
        <w:t xml:space="preserve">Требования к подтверждению компонентов дополнительного эффекта</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304"/>
        <w:gridCol w:w="1853"/>
        <w:gridCol w:w="1963"/>
        <w:gridCol w:w="2109"/>
        <w:gridCol w:w="2126"/>
      </w:tblGrid>
      <w:tr>
        <w:trPr>
          <w:cantSplit/>
          <w:tblHeader/>
        </w:trPr>
        <w:tc>
          <w:tcPr>
            <w:tcW w:type="dxa" w:w="13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Компонент</w:t>
            </w:r>
          </w:p>
        </w:tc>
        <w:tc>
          <w:tcPr>
            <w:tcW w:type="dxa" w:w="185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Первичный документ</w:t>
            </w:r>
          </w:p>
        </w:tc>
        <w:tc>
          <w:tcPr>
            <w:tcW w:type="dxa" w:w="196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Контрфактическая база</w:t>
            </w:r>
          </w:p>
        </w:tc>
        <w:tc>
          <w:tcPr>
            <w:tcW w:type="dxa" w:w="210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Риск двойного счёта</w:t>
            </w:r>
          </w:p>
        </w:tc>
        <w:tc>
          <w:tcPr>
            <w:tcW w:type="dxa" w:w="21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Правило исключения</w:t>
            </w:r>
          </w:p>
        </w:tc>
      </w:tr>
      <w:tr>
        <w:trPr>
          <w:cantSplit/>
          <w:tblHeader w:val="false"/>
        </w:trPr>
        <w:tc>
          <w:tcPr>
            <w:tcW w:type="dxa" w:w="130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Замещённое тепло</w:t>
            </w:r>
          </w:p>
        </w:tc>
        <w:tc>
          <w:tcPr>
            <w:tcW w:type="dxa" w:w="185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Показания теплосчётчиков, счета</w:t>
            </w:r>
          </w:p>
        </w:tc>
        <w:tc>
          <w:tcPr>
            <w:tcW w:type="dxa" w:w="196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Собственная котельная или закупка у теплоснабжающей организации</w:t>
            </w:r>
          </w:p>
        </w:tc>
        <w:tc>
          <w:tcPr>
            <w:tcW w:type="dxa" w:w="210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Экономия топлива учтена и у ГРЭС, и у потребителя</w:t>
            </w:r>
          </w:p>
        </w:tc>
        <w:tc>
          <w:tcPr>
            <w:tcW w:type="dxa" w:w="212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Учитывается только у потребителя, ГРЭС — по дополнительным затратам</w:t>
            </w:r>
          </w:p>
        </w:tc>
      </w:tr>
      <w:tr>
        <w:trPr>
          <w:cantSplit/>
          <w:tblHeader w:val="false"/>
        </w:trPr>
        <w:tc>
          <w:tcPr>
            <w:tcW w:type="dxa" w:w="130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CO₂</w:t>
            </w:r>
          </w:p>
        </w:tc>
        <w:tc>
          <w:tcPr>
            <w:tcW w:type="dxa" w:w="185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Акты приёмки, паспорт качества</w:t>
            </w:r>
          </w:p>
        </w:tc>
        <w:tc>
          <w:tcPr>
            <w:tcW w:type="dxa" w:w="196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Закупка сжиженного CO₂ у внешнего поставщика</w:t>
            </w:r>
          </w:p>
        </w:tc>
        <w:tc>
          <w:tcPr>
            <w:tcW w:type="dxa" w:w="210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Одновременный учёт выручки «Азота» и экономии потребителя</w:t>
            </w:r>
          </w:p>
        </w:tc>
        <w:tc>
          <w:tcPr>
            <w:tcW w:type="dxa" w:w="212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Учитывается разность p</w:t>
            </w:r>
            <w:r>
              <w:rPr>
                <w:rFonts w:ascii="Times New Roman" w:cs="Times New Roman" w:eastAsia="Times New Roman" w:hAnsi="Times New Roman"/>
                <w:b w:val="false"/>
                <w:bCs w:val="false"/>
                <w:i w:val="false"/>
                <w:iCs w:val="false"/>
                <w:sz w:val="24"/>
                <w:szCs w:val="24"/>
                <w:vertAlign w:val="subscript"/>
              </w:rPr>
              <w:t xml:space="preserve">альт</w:t>
            </w:r>
            <w:r>
              <w:rPr>
                <w:rFonts w:ascii="Times New Roman" w:cs="Times New Roman" w:eastAsia="Times New Roman" w:hAnsi="Times New Roman"/>
                <w:b w:val="false"/>
                <w:bCs w:val="false"/>
                <w:i w:val="false"/>
                <w:iCs w:val="false"/>
                <w:sz w:val="24"/>
                <w:szCs w:val="24"/>
              </w:rPr>
              <w:t xml:space="preserve"> − c только для прироста продаж сверх базовых 32 тыс. т (п. 3.1.6)</w:t>
            </w:r>
          </w:p>
        </w:tc>
      </w:tr>
      <w:tr>
        <w:trPr>
          <w:cantSplit/>
          <w:tblHeader w:val="false"/>
        </w:trPr>
        <w:tc>
          <w:tcPr>
            <w:tcW w:type="dxa" w:w="130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Вторичное сырьё</w:t>
            </w:r>
          </w:p>
        </w:tc>
        <w:tc>
          <w:tcPr>
            <w:tcW w:type="dxa" w:w="185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Акты, спецификации, счета ЭПП</w:t>
            </w:r>
          </w:p>
        </w:tc>
        <w:tc>
          <w:tcPr>
            <w:tcW w:type="dxa" w:w="196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Закупка первичного сырья, вывоз отходов на полигон</w:t>
            </w:r>
          </w:p>
        </w:tc>
        <w:tc>
          <w:tcPr>
            <w:tcW w:type="dxa" w:w="210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Выручка ЭПП и экономия резидента</w:t>
            </w:r>
          </w:p>
        </w:tc>
        <w:tc>
          <w:tcPr>
            <w:tcW w:type="dxa" w:w="212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Учитывается снижение затрат цепочки в целом</w:t>
            </w:r>
          </w:p>
        </w:tc>
      </w:tr>
      <w:tr>
        <w:trPr>
          <w:cantSplit/>
          <w:tblHeader w:val="false"/>
        </w:trPr>
        <w:tc>
          <w:tcPr>
            <w:tcW w:type="dxa" w:w="130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Плата за НВОС</w:t>
            </w:r>
          </w:p>
        </w:tc>
        <w:tc>
          <w:tcPr>
            <w:tcW w:type="dxa" w:w="185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Расчёт платы, данные учёта отходов</w:t>
            </w:r>
          </w:p>
        </w:tc>
        <w:tc>
          <w:tcPr>
            <w:tcW w:type="dxa" w:w="196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Размещение отходов при неизменном выпуске</w:t>
            </w:r>
          </w:p>
        </w:tc>
        <w:tc>
          <w:tcPr>
            <w:tcW w:type="dxa" w:w="210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Монетизация того же снижения размещения как экологического эффекта</w:t>
            </w:r>
          </w:p>
        </w:tc>
        <w:tc>
          <w:tcPr>
            <w:tcW w:type="dxa" w:w="212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Денежная оценка только по ставке платы</w:t>
            </w:r>
          </w:p>
        </w:tc>
      </w:tr>
      <w:tr>
        <w:trPr>
          <w:cantSplit/>
          <w:tblHeader w:val="false"/>
        </w:trPr>
        <w:tc>
          <w:tcPr>
            <w:tcW w:type="dxa" w:w="130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Снижение выбросов CO₂</w:t>
            </w:r>
          </w:p>
        </w:tc>
        <w:tc>
          <w:tcPr>
            <w:tcW w:type="dxa" w:w="185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Расчёт по методике учёта выбросов</w:t>
            </w:r>
          </w:p>
        </w:tc>
        <w:tc>
          <w:tcPr>
            <w:tcW w:type="dxa" w:w="196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Выбросы без улавливания</w:t>
            </w:r>
          </w:p>
        </w:tc>
        <w:tc>
          <w:tcPr>
            <w:tcW w:type="dxa" w:w="210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Отражение в цене CO₂ и как отдельного эффекта</w:t>
            </w:r>
          </w:p>
        </w:tc>
        <w:tc>
          <w:tcPr>
            <w:tcW w:type="dxa" w:w="212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Монетизация только при наличии правового основания; вычет по CBAM для CO</w:t>
            </w:r>
            <w:r>
              <w:rPr>
                <w:rFonts w:ascii="Times New Roman" w:cs="Times New Roman" w:eastAsia="Times New Roman" w:hAnsi="Times New Roman"/>
                <w:b w:val="false"/>
                <w:bCs w:val="false"/>
                <w:i w:val="false"/>
                <w:iCs w:val="false"/>
                <w:sz w:val="24"/>
                <w:szCs w:val="24"/>
                <w:vertAlign w:val="subscript"/>
              </w:rPr>
              <w:t xml:space="preserve">2</w:t>
            </w:r>
            <w:r>
              <w:rPr>
                <w:rFonts w:ascii="Times New Roman" w:cs="Times New Roman" w:eastAsia="Times New Roman" w:hAnsi="Times New Roman"/>
                <w:b w:val="false"/>
                <w:bCs w:val="false"/>
                <w:i w:val="false"/>
                <w:iCs w:val="false"/>
                <w:sz w:val="24"/>
                <w:szCs w:val="24"/>
              </w:rPr>
              <w:t xml:space="preserve"> в напитках, теплицах и карбамиде невозможен</w:t>
            </w:r>
          </w:p>
        </w:tc>
      </w:tr>
      <w:tr>
        <w:trPr>
          <w:cantSplit/>
          <w:tblHeader w:val="false"/>
        </w:trPr>
        <w:tc>
          <w:tcPr>
            <w:tcW w:type="dxa" w:w="130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Затраты платформы</w:t>
            </w:r>
          </w:p>
        </w:tc>
        <w:tc>
          <w:tcPr>
            <w:tcW w:type="dxa" w:w="185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Смета, договоры, бухгалтерские документы</w:t>
            </w:r>
          </w:p>
        </w:tc>
        <w:tc>
          <w:tcPr>
            <w:tcW w:type="dxa" w:w="196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Отсутствие платформы</w:t>
            </w:r>
          </w:p>
        </w:tc>
        <w:tc>
          <w:tcPr>
            <w:tcW w:type="dxa" w:w="210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Неучтённые инвестиции и ремонт</w:t>
            </w:r>
          </w:p>
        </w:tc>
        <w:tc>
          <w:tcPr>
            <w:tcW w:type="dxa" w:w="212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Полная стоимость владения, включая замену оборудования</w:t>
            </w:r>
          </w:p>
        </w:tc>
      </w:tr>
    </w:tbl>
    <w:p>
      <w:pPr>
        <w:keepNext w:val="false"/>
        <w:spacing w:after="0" w:before="0" w:line="360" w:lineRule="auto"/>
        <w:ind w:firstLine="0"/>
        <w:jc w:val="left"/>
      </w:pPr>
      <w:r>
        <w:rPr>
          <w:rFonts w:ascii="Times New Roman" w:cs="Times New Roman" w:eastAsia="Times New Roman" w:hAnsi="Times New Roman"/>
          <w:b w:val="false"/>
          <w:bCs w:val="false"/>
          <w:i w:val="false"/>
          <w:iCs w:val="false"/>
          <w:sz w:val="24"/>
          <w:szCs w:val="24"/>
        </w:rPr>
        <w:t xml:space="preserve">Источник: составлено автором на основе </w:t>
      </w:r>
      <w:r>
        <w:rPr>
          <w:rFonts w:ascii="Times New Roman" w:cs="Times New Roman" w:eastAsia="Times New Roman" w:hAnsi="Times New Roman"/>
          <w:b w:val="false"/>
          <w:bCs w:val="false"/>
          <w:i w:val="false"/>
          <w:iCs w:val="false"/>
          <w:sz w:val="24"/>
          <w:szCs w:val="24"/>
        </w:rPr>
        <w:t xml:space="preserve">[10, 11, 41]</w:t>
      </w:r>
      <w:r>
        <w:rPr>
          <w:rFonts w:ascii="Times New Roman" w:cs="Times New Roman" w:eastAsia="Times New Roman" w:hAnsi="Times New Roman"/>
          <w:b w:val="false"/>
          <w:bCs w:val="false"/>
          <w:i w:val="false"/>
          <w:iCs w:val="false"/>
          <w:sz w:val="24"/>
          <w:szCs w:val="24"/>
        </w:rPr>
        <w:t xml:space="preserve">.</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Как следует из таблицы 2.4, риск двойного счёта присутствует в каждом компоненте, а самые трудные случаи связаны с экологической стороной. Снижение выбросов CO₂ на «Азоте» за счёт передачи диоксида углерода потребителю реально уменьшает эмиссию, но в России для этого предприятия нет действующего платежа за выбросы парниковых газов, и денежная оценка такого снижения не имеет правового основания. Включать его в ΔE нельзя; в таблицу эффектов оно входит натуральным показателем. Это не умаляет роли симбиоза как инструмента декарбонизации, которую подчёркивают И.Ю. Блам и С.Ю. Ковалев </w:t>
      </w:r>
      <w:r>
        <w:rPr>
          <w:rFonts w:ascii="Times New Roman" w:cs="Times New Roman" w:eastAsia="Times New Roman" w:hAnsi="Times New Roman"/>
          <w:b w:val="false"/>
          <w:bCs w:val="false"/>
          <w:i w:val="false"/>
          <w:iCs w:val="false"/>
          <w:sz w:val="28"/>
          <w:szCs w:val="28"/>
        </w:rPr>
        <w:t xml:space="preserve">[18]</w:t>
      </w:r>
      <w:r>
        <w:rPr>
          <w:rFonts w:ascii="Times New Roman" w:cs="Times New Roman" w:eastAsia="Times New Roman" w:hAnsi="Times New Roman"/>
          <w:b w:val="false"/>
          <w:bCs w:val="false"/>
          <w:i w:val="false"/>
          <w:iCs w:val="false"/>
          <w:sz w:val="28"/>
          <w:szCs w:val="28"/>
        </w:rPr>
        <w:t xml:space="preserve">, но означает, что климатический результат в российских условиях пока не имеет денежной оценки, пригодной для распределения. Р. Диас, М. Серральа и К. Пиньейру для португальского промышленного парка получили экономический эффект симбиоза главным образом за счёт избегания платежей в европейской системе торговли выбросами </w:t>
      </w:r>
      <w:r>
        <w:rPr>
          <w:rFonts w:ascii="Times New Roman" w:cs="Times New Roman" w:eastAsia="Times New Roman" w:hAnsi="Times New Roman"/>
          <w:b w:val="false"/>
          <w:bCs w:val="false"/>
          <w:i w:val="false"/>
          <w:iCs w:val="false"/>
          <w:sz w:val="28"/>
          <w:szCs w:val="28"/>
        </w:rPr>
        <w:t xml:space="preserve">[45]</w:t>
      </w:r>
      <w:r>
        <w:rPr>
          <w:rFonts w:ascii="Times New Roman" w:cs="Times New Roman" w:eastAsia="Times New Roman" w:hAnsi="Times New Roman"/>
          <w:b w:val="false"/>
          <w:bCs w:val="false"/>
          <w:i w:val="false"/>
          <w:iCs w:val="false"/>
          <w:sz w:val="28"/>
          <w:szCs w:val="28"/>
        </w:rPr>
        <w:t xml:space="preserve">; перенос такой оценки на Невинномысск без аналогичного платежа завысил бы результат.</w:t>
      </w:r>
      <w:r>
        <w:rPr>
          <w:rFonts w:ascii="Times New Roman" w:cs="Times New Roman" w:eastAsia="Times New Roman" w:hAnsi="Times New Roman"/>
          <w:b w:val="false"/>
          <w:bCs w:val="false"/>
          <w:i w:val="false"/>
          <w:iCs w:val="false"/>
          <w:sz w:val="28"/>
          <w:szCs w:val="28"/>
        </w:rPr>
        <w:t xml:space="preserve"> Экспортный довод здесь тоже не помогает. В окончательном режиме механизма трансграничной углеродной корректировки ЕС, действующем с 2026 г., переданный CO</w:t>
      </w:r>
      <w:r>
        <w:rPr>
          <w:rFonts w:ascii="Times New Roman" w:cs="Times New Roman" w:eastAsia="Times New Roman" w:hAnsi="Times New Roman"/>
          <w:b w:val="false"/>
          <w:bCs w:val="false"/>
          <w:i w:val="false"/>
          <w:iCs w:val="false"/>
          <w:sz w:val="28"/>
          <w:szCs w:val="28"/>
          <w:vertAlign w:val="subscript"/>
        </w:rPr>
        <w:t xml:space="preserve">2</w:t>
      </w:r>
      <w:r>
        <w:rPr>
          <w:rFonts w:ascii="Times New Roman" w:cs="Times New Roman" w:eastAsia="Times New Roman" w:hAnsi="Times New Roman"/>
          <w:b w:val="false"/>
          <w:bCs w:val="false"/>
          <w:i w:val="false"/>
          <w:iCs w:val="false"/>
          <w:sz w:val="28"/>
          <w:szCs w:val="28"/>
        </w:rPr>
        <w:t xml:space="preserve"> вычитается из встроенных выбросов аммиака только при постоянном химическом связывании в продукте [14, 15]. Углекислота в напитках и теплицах, как и CO</w:t>
      </w:r>
      <w:r>
        <w:rPr>
          <w:rFonts w:ascii="Times New Roman" w:cs="Times New Roman" w:eastAsia="Times New Roman" w:hAnsi="Times New Roman"/>
          <w:b w:val="false"/>
          <w:bCs w:val="false"/>
          <w:i w:val="false"/>
          <w:iCs w:val="false"/>
          <w:sz w:val="28"/>
          <w:szCs w:val="28"/>
          <w:vertAlign w:val="subscript"/>
        </w:rPr>
        <w:t xml:space="preserve">2</w:t>
      </w:r>
      <w:r>
        <w:rPr>
          <w:rFonts w:ascii="Times New Roman" w:cs="Times New Roman" w:eastAsia="Times New Roman" w:hAnsi="Times New Roman"/>
          <w:b w:val="false"/>
          <w:bCs w:val="false"/>
          <w:i w:val="false"/>
          <w:iCs w:val="false"/>
          <w:sz w:val="28"/>
          <w:szCs w:val="28"/>
        </w:rPr>
        <w:t xml:space="preserve"> карбамида, возвращается в атмосферу, поэтому углеродная часть эффекта по этим потокам равна нулю (п. 3.1.6).</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2.3.2. Демонстрационный расчёт для базового сценария</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Методика проверена на демонстрационном сценарии, включающем четыре потока из таблицы 2.1: низкопотенциальное тепло ГРЭС, CO₂ «Азота», вторичное сырьё ЭПП и сокращение размещения отходов IV класса. Значения параметров приведены в таблице 2.5 с указанием статуса каждого из них. Нижний и верхний сценарии задают диапазон правдоподобных значений, а не крайние физические пределы.</w:t>
      </w:r>
    </w:p>
    <w:p>
      <w:pPr>
        <w:keepNext/>
        <w:spacing w:after="0" w:before="0" w:line="360" w:lineRule="auto"/>
        <w:ind w:firstLine="0"/>
        <w:jc w:val="right"/>
      </w:pPr>
      <w:r>
        <w:rPr>
          <w:rFonts w:ascii="Times New Roman" w:cs="Times New Roman" w:eastAsia="Times New Roman" w:hAnsi="Times New Roman"/>
          <w:b w:val="false"/>
          <w:bCs w:val="false"/>
          <w:i w:val="false"/>
          <w:iCs w:val="false"/>
          <w:sz w:val="28"/>
          <w:szCs w:val="28"/>
        </w:rPr>
        <w:t xml:space="preserve">Таблица 2.5</w:t>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8"/>
          <w:szCs w:val="28"/>
        </w:rPr>
        <w:t xml:space="preserve">Параметры демонстрационного сценария расчёта эффекта экоплатформы</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690"/>
        <w:gridCol w:w="1282"/>
        <w:gridCol w:w="928"/>
        <w:gridCol w:w="1046"/>
        <w:gridCol w:w="1046"/>
        <w:gridCol w:w="2363"/>
      </w:tblGrid>
      <w:tr>
        <w:trPr>
          <w:cantSplit/>
          <w:tblHeader/>
        </w:trPr>
        <w:tc>
          <w:tcPr>
            <w:tcW w:type="dxa" w:w="269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Параметр</w:t>
            </w:r>
          </w:p>
        </w:tc>
        <w:tc>
          <w:tcPr>
            <w:tcW w:type="dxa" w:w="128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Ед. изм.</w:t>
            </w:r>
          </w:p>
        </w:tc>
        <w:tc>
          <w:tcPr>
            <w:tcW w:type="dxa" w:w="9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Нижний</w:t>
            </w:r>
          </w:p>
        </w:tc>
        <w:tc>
          <w:tcPr>
            <w:tcW w:type="dxa" w:w="104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Базовый</w:t>
            </w:r>
          </w:p>
        </w:tc>
        <w:tc>
          <w:tcPr>
            <w:tcW w:type="dxa" w:w="104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Верхний</w:t>
            </w:r>
          </w:p>
        </w:tc>
        <w:tc>
          <w:tcPr>
            <w:tcW w:type="dxa" w:w="236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Статус и основание</w:t>
            </w:r>
          </w:p>
        </w:tc>
      </w:tr>
      <w:tr>
        <w:trPr>
          <w:cantSplit/>
          <w:tblHeader w:val="false"/>
        </w:trPr>
        <w:tc>
          <w:tcPr>
            <w:tcW w:type="dxa" w:w="26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Располагаемая тепловая мощность для передачи</w:t>
            </w:r>
          </w:p>
        </w:tc>
        <w:tc>
          <w:tcPr>
            <w:tcW w:type="dxa" w:w="12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Гкал/ч</w:t>
            </w:r>
          </w:p>
        </w:tc>
        <w:tc>
          <w:tcPr>
            <w:tcW w:type="dxa" w:w="92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50</w:t>
            </w:r>
          </w:p>
        </w:tc>
        <w:tc>
          <w:tcPr>
            <w:tcW w:type="dxa" w:w="10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50</w:t>
            </w:r>
          </w:p>
        </w:tc>
        <w:tc>
          <w:tcPr>
            <w:tcW w:type="dxa" w:w="10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50</w:t>
            </w:r>
          </w:p>
        </w:tc>
        <w:tc>
          <w:tcPr>
            <w:tcW w:type="dxa" w:w="236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Допущение; 438 тыс. Гкал в год при 8760 ч</w:t>
            </w:r>
          </w:p>
        </w:tc>
      </w:tr>
      <w:tr>
        <w:trPr>
          <w:cantSplit/>
          <w:tblHeader w:val="false"/>
        </w:trPr>
        <w:tc>
          <w:tcPr>
            <w:tcW w:type="dxa" w:w="26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Коэффициент доступности тепла a</w:t>
            </w:r>
          </w:p>
        </w:tc>
        <w:tc>
          <w:tcPr>
            <w:tcW w:type="dxa" w:w="12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92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0,3</w:t>
            </w:r>
          </w:p>
        </w:tc>
        <w:tc>
          <w:tcPr>
            <w:tcW w:type="dxa" w:w="10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0,5</w:t>
            </w:r>
          </w:p>
        </w:tc>
        <w:tc>
          <w:tcPr>
            <w:tcW w:type="dxa" w:w="10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0,7</w:t>
            </w:r>
          </w:p>
        </w:tc>
        <w:tc>
          <w:tcPr>
            <w:tcW w:type="dxa" w:w="236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Допущение; сезонность спроса</w:t>
            </w:r>
          </w:p>
        </w:tc>
      </w:tr>
      <w:tr>
        <w:trPr>
          <w:cantSplit/>
          <w:tblHeader w:val="false"/>
        </w:trPr>
        <w:tc>
          <w:tcPr>
            <w:tcW w:type="dxa" w:w="26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Альтернативная стоимость тепла низкого потенциала</w:t>
            </w:r>
          </w:p>
        </w:tc>
        <w:tc>
          <w:tcPr>
            <w:tcW w:type="dxa" w:w="12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руб./Гкал</w:t>
            </w:r>
          </w:p>
        </w:tc>
        <w:tc>
          <w:tcPr>
            <w:tcW w:type="dxa" w:w="92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320</w:t>
            </w:r>
          </w:p>
        </w:tc>
        <w:tc>
          <w:tcPr>
            <w:tcW w:type="dxa" w:w="10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360</w:t>
            </w:r>
          </w:p>
        </w:tc>
        <w:tc>
          <w:tcPr>
            <w:tcW w:type="dxa" w:w="10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400</w:t>
            </w:r>
          </w:p>
        </w:tc>
        <w:tc>
          <w:tcPr>
            <w:tcW w:type="dxa" w:w="236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Допущение; замещение с доведением параметров</w:t>
            </w:r>
          </w:p>
        </w:tc>
      </w:tr>
      <w:tr>
        <w:trPr>
          <w:cantSplit/>
          <w:tblHeader w:val="false"/>
        </w:trPr>
        <w:tc>
          <w:tcPr>
            <w:tcW w:type="dxa" w:w="26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Затраты передачи тепла</w:t>
            </w:r>
          </w:p>
        </w:tc>
        <w:tc>
          <w:tcPr>
            <w:tcW w:type="dxa" w:w="12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руб./Гкал</w:t>
            </w:r>
          </w:p>
        </w:tc>
        <w:tc>
          <w:tcPr>
            <w:tcW w:type="dxa" w:w="92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60</w:t>
            </w:r>
          </w:p>
        </w:tc>
        <w:tc>
          <w:tcPr>
            <w:tcW w:type="dxa" w:w="10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50</w:t>
            </w:r>
          </w:p>
        </w:tc>
        <w:tc>
          <w:tcPr>
            <w:tcW w:type="dxa" w:w="10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40</w:t>
            </w:r>
          </w:p>
        </w:tc>
        <w:tc>
          <w:tcPr>
            <w:tcW w:type="dxa" w:w="236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Допущение; перекачка, потери</w:t>
            </w:r>
          </w:p>
        </w:tc>
      </w:tr>
      <w:tr>
        <w:trPr>
          <w:cantSplit/>
          <w:tblHeader w:val="false"/>
        </w:trPr>
        <w:tc>
          <w:tcPr>
            <w:tcW w:type="dxa" w:w="26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Объём CO</w:t>
            </w:r>
            <w:r>
              <w:rPr>
                <w:rFonts w:ascii="Times New Roman" w:cs="Times New Roman" w:eastAsia="Times New Roman" w:hAnsi="Times New Roman"/>
                <w:b w:val="false"/>
                <w:bCs w:val="false"/>
                <w:i w:val="false"/>
                <w:iCs w:val="false"/>
                <w:sz w:val="24"/>
                <w:szCs w:val="24"/>
                <w:vertAlign w:val="subscript"/>
              </w:rPr>
              <w:t xml:space="preserve">2</w:t>
            </w:r>
            <w:r>
              <w:rPr>
                <w:rFonts w:ascii="Times New Roman" w:cs="Times New Roman" w:eastAsia="Times New Roman" w:hAnsi="Times New Roman"/>
                <w:b w:val="false"/>
                <w:bCs w:val="false"/>
                <w:i w:val="false"/>
                <w:iCs w:val="false"/>
                <w:sz w:val="24"/>
                <w:szCs w:val="24"/>
              </w:rPr>
              <w:t xml:space="preserve"> сверх действующих продаж</w:t>
            </w:r>
          </w:p>
        </w:tc>
        <w:tc>
          <w:tcPr>
            <w:tcW w:type="dxa" w:w="12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тыс. т/год</w:t>
            </w:r>
          </w:p>
        </w:tc>
        <w:tc>
          <w:tcPr>
            <w:tcW w:type="dxa" w:w="92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8</w:t>
            </w:r>
          </w:p>
        </w:tc>
        <w:tc>
          <w:tcPr>
            <w:tcW w:type="dxa" w:w="10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12</w:t>
            </w:r>
          </w:p>
        </w:tc>
        <w:tc>
          <w:tcPr>
            <w:tcW w:type="dxa" w:w="10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15</w:t>
            </w:r>
          </w:p>
        </w:tc>
        <w:tc>
          <w:tcPr>
            <w:tcW w:type="dxa" w:w="236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Допущение; прирост к 32 тыс. т пищевой CO</w:t>
            </w:r>
            <w:r>
              <w:rPr>
                <w:rFonts w:ascii="Times New Roman" w:cs="Times New Roman" w:eastAsia="Times New Roman" w:hAnsi="Times New Roman"/>
                <w:b w:val="false"/>
                <w:bCs w:val="false"/>
                <w:i w:val="false"/>
                <w:iCs w:val="false"/>
                <w:sz w:val="24"/>
                <w:szCs w:val="24"/>
                <w:vertAlign w:val="subscript"/>
              </w:rPr>
              <w:t xml:space="preserve">2</w:t>
            </w:r>
            <w:r>
              <w:rPr>
                <w:rFonts w:ascii="Times New Roman" w:cs="Times New Roman" w:eastAsia="Times New Roman" w:hAnsi="Times New Roman"/>
                <w:b w:val="false"/>
                <w:bCs w:val="false"/>
                <w:i w:val="false"/>
                <w:iCs w:val="false"/>
                <w:sz w:val="24"/>
                <w:szCs w:val="24"/>
              </w:rPr>
              <w:t xml:space="preserve"> (п. 3.1.4)</w:t>
            </w:r>
          </w:p>
        </w:tc>
      </w:tr>
      <w:tr>
        <w:trPr>
          <w:cantSplit/>
          <w:tblHeader w:val="false"/>
        </w:trPr>
        <w:tc>
          <w:tcPr>
            <w:tcW w:type="dxa" w:w="26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Альтернативная цена CO₂</w:t>
            </w:r>
          </w:p>
        </w:tc>
        <w:tc>
          <w:tcPr>
            <w:tcW w:type="dxa" w:w="12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руб./т</w:t>
            </w:r>
          </w:p>
        </w:tc>
        <w:tc>
          <w:tcPr>
            <w:tcW w:type="dxa" w:w="92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6000</w:t>
            </w:r>
          </w:p>
        </w:tc>
        <w:tc>
          <w:tcPr>
            <w:tcW w:type="dxa" w:w="10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8000</w:t>
            </w:r>
          </w:p>
        </w:tc>
        <w:tc>
          <w:tcPr>
            <w:tcW w:type="dxa" w:w="10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8000</w:t>
            </w:r>
          </w:p>
        </w:tc>
        <w:tc>
          <w:tcPr>
            <w:tcW w:type="dxa" w:w="236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Допущение; закупка у внешнего поставщика</w:t>
            </w:r>
          </w:p>
        </w:tc>
      </w:tr>
      <w:tr>
        <w:trPr>
          <w:cantSplit/>
          <w:tblHeader w:val="false"/>
        </w:trPr>
        <w:tc>
          <w:tcPr>
            <w:tcW w:type="dxa" w:w="26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Затраты подготовки и доставки CO₂</w:t>
            </w:r>
          </w:p>
        </w:tc>
        <w:tc>
          <w:tcPr>
            <w:tcW w:type="dxa" w:w="12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руб./т</w:t>
            </w:r>
          </w:p>
        </w:tc>
        <w:tc>
          <w:tcPr>
            <w:tcW w:type="dxa" w:w="92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2500</w:t>
            </w:r>
          </w:p>
        </w:tc>
        <w:tc>
          <w:tcPr>
            <w:tcW w:type="dxa" w:w="10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2000</w:t>
            </w:r>
          </w:p>
        </w:tc>
        <w:tc>
          <w:tcPr>
            <w:tcW w:type="dxa" w:w="10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2000</w:t>
            </w:r>
          </w:p>
        </w:tc>
        <w:tc>
          <w:tcPr>
            <w:tcW w:type="dxa" w:w="236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Допущение</w:t>
            </w:r>
          </w:p>
        </w:tc>
      </w:tr>
      <w:tr>
        <w:trPr>
          <w:cantSplit/>
          <w:tblHeader w:val="false"/>
        </w:trPr>
        <w:tc>
          <w:tcPr>
            <w:tcW w:type="dxa" w:w="26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Объём вторичного сырья у резидентов</w:t>
            </w:r>
          </w:p>
        </w:tc>
        <w:tc>
          <w:tcPr>
            <w:tcW w:type="dxa" w:w="12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тыс. т/год</w:t>
            </w:r>
          </w:p>
        </w:tc>
        <w:tc>
          <w:tcPr>
            <w:tcW w:type="dxa" w:w="92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20</w:t>
            </w:r>
          </w:p>
        </w:tc>
        <w:tc>
          <w:tcPr>
            <w:tcW w:type="dxa" w:w="10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30</w:t>
            </w:r>
          </w:p>
        </w:tc>
        <w:tc>
          <w:tcPr>
            <w:tcW w:type="dxa" w:w="10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40</w:t>
            </w:r>
          </w:p>
        </w:tc>
        <w:tc>
          <w:tcPr>
            <w:tcW w:type="dxa" w:w="236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Допущение; при мощности ЭПП 190 тыс. т </w:t>
            </w:r>
            <w:r>
              <w:rPr>
                <w:rFonts w:ascii="Times New Roman" w:cs="Times New Roman" w:eastAsia="Times New Roman" w:hAnsi="Times New Roman"/>
                <w:b w:val="false"/>
                <w:bCs w:val="false"/>
                <w:i w:val="false"/>
                <w:iCs w:val="false"/>
                <w:sz w:val="24"/>
                <w:szCs w:val="24"/>
              </w:rPr>
              <w:t xml:space="preserve">[30]</w:t>
            </w:r>
          </w:p>
        </w:tc>
      </w:tr>
      <w:tr>
        <w:trPr>
          <w:cantSplit/>
          <w:tblHeader w:val="false"/>
        </w:trPr>
        <w:tc>
          <w:tcPr>
            <w:tcW w:type="dxa" w:w="26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Экономия на логистике и посредниках</w:t>
            </w:r>
          </w:p>
        </w:tc>
        <w:tc>
          <w:tcPr>
            <w:tcW w:type="dxa" w:w="12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руб./т</w:t>
            </w:r>
          </w:p>
        </w:tc>
        <w:tc>
          <w:tcPr>
            <w:tcW w:type="dxa" w:w="92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1000</w:t>
            </w:r>
          </w:p>
        </w:tc>
        <w:tc>
          <w:tcPr>
            <w:tcW w:type="dxa" w:w="10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2000</w:t>
            </w:r>
          </w:p>
        </w:tc>
        <w:tc>
          <w:tcPr>
            <w:tcW w:type="dxa" w:w="10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3000</w:t>
            </w:r>
          </w:p>
        </w:tc>
        <w:tc>
          <w:tcPr>
            <w:tcW w:type="dxa" w:w="236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Допущение</w:t>
            </w:r>
          </w:p>
        </w:tc>
      </w:tr>
      <w:tr>
        <w:trPr>
          <w:cantSplit/>
          <w:tblHeader w:val="false"/>
        </w:trPr>
        <w:tc>
          <w:tcPr>
            <w:tcW w:type="dxa" w:w="26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Отходы, выведенные из размещения</w:t>
            </w:r>
          </w:p>
        </w:tc>
        <w:tc>
          <w:tcPr>
            <w:tcW w:type="dxa" w:w="12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тыс. т/год</w:t>
            </w:r>
          </w:p>
        </w:tc>
        <w:tc>
          <w:tcPr>
            <w:tcW w:type="dxa" w:w="92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40</w:t>
            </w:r>
          </w:p>
        </w:tc>
        <w:tc>
          <w:tcPr>
            <w:tcW w:type="dxa" w:w="10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60</w:t>
            </w:r>
          </w:p>
        </w:tc>
        <w:tc>
          <w:tcPr>
            <w:tcW w:type="dxa" w:w="10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80</w:t>
            </w:r>
          </w:p>
        </w:tc>
        <w:tc>
          <w:tcPr>
            <w:tcW w:type="dxa" w:w="236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Допущение</w:t>
            </w:r>
          </w:p>
        </w:tc>
      </w:tr>
      <w:tr>
        <w:trPr>
          <w:cantSplit/>
          <w:tblHeader w:val="false"/>
        </w:trPr>
        <w:tc>
          <w:tcPr>
            <w:tcW w:type="dxa" w:w="26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Ставка платы за размещение отходов IV класса</w:t>
            </w:r>
          </w:p>
        </w:tc>
        <w:tc>
          <w:tcPr>
            <w:tcW w:type="dxa" w:w="12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руб./т</w:t>
            </w:r>
          </w:p>
        </w:tc>
        <w:tc>
          <w:tcPr>
            <w:tcW w:type="dxa" w:w="92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663,2</w:t>
            </w:r>
          </w:p>
        </w:tc>
        <w:tc>
          <w:tcPr>
            <w:tcW w:type="dxa" w:w="10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663,2</w:t>
            </w:r>
          </w:p>
        </w:tc>
        <w:tc>
          <w:tcPr>
            <w:tcW w:type="dxa" w:w="10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663,2</w:t>
            </w:r>
          </w:p>
        </w:tc>
        <w:tc>
          <w:tcPr>
            <w:tcW w:type="dxa" w:w="236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Базовая ставка </w:t>
            </w:r>
            <w:r>
              <w:rPr>
                <w:rFonts w:ascii="Times New Roman" w:cs="Times New Roman" w:eastAsia="Times New Roman" w:hAnsi="Times New Roman"/>
                <w:b w:val="false"/>
                <w:bCs w:val="false"/>
                <w:i w:val="false"/>
                <w:iCs w:val="false"/>
                <w:sz w:val="24"/>
                <w:szCs w:val="24"/>
              </w:rPr>
              <w:t xml:space="preserve">[10]</w:t>
            </w:r>
            <w:r>
              <w:rPr>
                <w:rFonts w:ascii="Times New Roman" w:cs="Times New Roman" w:eastAsia="Times New Roman" w:hAnsi="Times New Roman"/>
                <w:b w:val="false"/>
                <w:bCs w:val="false"/>
                <w:i w:val="false"/>
                <w:iCs w:val="false"/>
                <w:sz w:val="24"/>
                <w:szCs w:val="24"/>
              </w:rPr>
              <w:t xml:space="preserve"> без коэффициента индексации</w:t>
            </w:r>
          </w:p>
        </w:tc>
      </w:tr>
      <w:tr>
        <w:trPr>
          <w:cantSplit/>
          <w:tblHeader w:val="false"/>
        </w:trPr>
        <w:tc>
          <w:tcPr>
            <w:tcW w:type="dxa" w:w="26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Вложения в теплотрассу (15 лет)</w:t>
            </w:r>
          </w:p>
        </w:tc>
        <w:tc>
          <w:tcPr>
            <w:tcW w:type="dxa" w:w="12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млн руб.</w:t>
            </w:r>
          </w:p>
        </w:tc>
        <w:tc>
          <w:tcPr>
            <w:tcW w:type="dxa" w:w="92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400</w:t>
            </w:r>
          </w:p>
        </w:tc>
        <w:tc>
          <w:tcPr>
            <w:tcW w:type="dxa" w:w="10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300</w:t>
            </w:r>
          </w:p>
        </w:tc>
        <w:tc>
          <w:tcPr>
            <w:tcW w:type="dxa" w:w="10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200</w:t>
            </w:r>
          </w:p>
        </w:tc>
        <w:tc>
          <w:tcPr>
            <w:tcW w:type="dxa" w:w="236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Допущение</w:t>
            </w:r>
          </w:p>
        </w:tc>
      </w:tr>
      <w:tr>
        <w:trPr>
          <w:cantSplit/>
          <w:tblHeader w:val="false"/>
        </w:trPr>
        <w:tc>
          <w:tcPr>
            <w:tcW w:type="dxa" w:w="26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Вложения в узел CO₂ (15 лет)</w:t>
            </w:r>
          </w:p>
        </w:tc>
        <w:tc>
          <w:tcPr>
            <w:tcW w:type="dxa" w:w="12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млн руб.</w:t>
            </w:r>
          </w:p>
        </w:tc>
        <w:tc>
          <w:tcPr>
            <w:tcW w:type="dxa" w:w="92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130</w:t>
            </w:r>
          </w:p>
        </w:tc>
        <w:tc>
          <w:tcPr>
            <w:tcW w:type="dxa" w:w="10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100</w:t>
            </w:r>
          </w:p>
        </w:tc>
        <w:tc>
          <w:tcPr>
            <w:tcW w:type="dxa" w:w="10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70</w:t>
            </w:r>
          </w:p>
        </w:tc>
        <w:tc>
          <w:tcPr>
            <w:tcW w:type="dxa" w:w="236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Допущение</w:t>
            </w:r>
          </w:p>
        </w:tc>
      </w:tr>
      <w:tr>
        <w:trPr>
          <w:cantSplit/>
          <w:tblHeader w:val="false"/>
        </w:trPr>
        <w:tc>
          <w:tcPr>
            <w:tcW w:type="dxa" w:w="26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Вложения в платформу (7 лет)</w:t>
            </w:r>
          </w:p>
        </w:tc>
        <w:tc>
          <w:tcPr>
            <w:tcW w:type="dxa" w:w="12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млн руб.</w:t>
            </w:r>
          </w:p>
        </w:tc>
        <w:tc>
          <w:tcPr>
            <w:tcW w:type="dxa" w:w="92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150</w:t>
            </w:r>
          </w:p>
        </w:tc>
        <w:tc>
          <w:tcPr>
            <w:tcW w:type="dxa" w:w="10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120</w:t>
            </w:r>
          </w:p>
        </w:tc>
        <w:tc>
          <w:tcPr>
            <w:tcW w:type="dxa" w:w="10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90</w:t>
            </w:r>
          </w:p>
        </w:tc>
        <w:tc>
          <w:tcPr>
            <w:tcW w:type="dxa" w:w="236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Допущение; телеметрия и программный комплекс</w:t>
            </w:r>
          </w:p>
        </w:tc>
      </w:tr>
      <w:tr>
        <w:trPr>
          <w:cantSplit/>
          <w:tblHeader w:val="false"/>
        </w:trPr>
        <w:tc>
          <w:tcPr>
            <w:tcW w:type="dxa" w:w="26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Эксплуатация платформы</w:t>
            </w:r>
          </w:p>
        </w:tc>
        <w:tc>
          <w:tcPr>
            <w:tcW w:type="dxa" w:w="12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млн руб./год</w:t>
            </w:r>
          </w:p>
        </w:tc>
        <w:tc>
          <w:tcPr>
            <w:tcW w:type="dxa" w:w="92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40</w:t>
            </w:r>
          </w:p>
        </w:tc>
        <w:tc>
          <w:tcPr>
            <w:tcW w:type="dxa" w:w="10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30</w:t>
            </w:r>
          </w:p>
        </w:tc>
        <w:tc>
          <w:tcPr>
            <w:tcW w:type="dxa" w:w="10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20</w:t>
            </w:r>
          </w:p>
        </w:tc>
        <w:tc>
          <w:tcPr>
            <w:tcW w:type="dxa" w:w="236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Допущение</w:t>
            </w:r>
          </w:p>
        </w:tc>
      </w:tr>
      <w:tr>
        <w:trPr>
          <w:cantSplit/>
          <w:tblHeader w:val="false"/>
        </w:trPr>
        <w:tc>
          <w:tcPr>
            <w:tcW w:type="dxa" w:w="26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Издержки сделок и аудита</w:t>
            </w:r>
          </w:p>
        </w:tc>
        <w:tc>
          <w:tcPr>
            <w:tcW w:type="dxa" w:w="12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млн руб./год</w:t>
            </w:r>
          </w:p>
        </w:tc>
        <w:tc>
          <w:tcPr>
            <w:tcW w:type="dxa" w:w="92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20</w:t>
            </w:r>
          </w:p>
        </w:tc>
        <w:tc>
          <w:tcPr>
            <w:tcW w:type="dxa" w:w="10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15</w:t>
            </w:r>
          </w:p>
        </w:tc>
        <w:tc>
          <w:tcPr>
            <w:tcW w:type="dxa" w:w="10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10</w:t>
            </w:r>
          </w:p>
        </w:tc>
        <w:tc>
          <w:tcPr>
            <w:tcW w:type="dxa" w:w="236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Допущение</w:t>
            </w:r>
          </w:p>
        </w:tc>
      </w:tr>
      <w:tr>
        <w:trPr>
          <w:cantSplit/>
          <w:tblHeader w:val="false"/>
        </w:trPr>
        <w:tc>
          <w:tcPr>
            <w:tcW w:type="dxa" w:w="26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Ставка дисконтирования r</w:t>
            </w:r>
          </w:p>
        </w:tc>
        <w:tc>
          <w:tcPr>
            <w:tcW w:type="dxa" w:w="12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92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0,10</w:t>
            </w:r>
          </w:p>
        </w:tc>
        <w:tc>
          <w:tcPr>
            <w:tcW w:type="dxa" w:w="10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0,10</w:t>
            </w:r>
          </w:p>
        </w:tc>
        <w:tc>
          <w:tcPr>
            <w:tcW w:type="dxa" w:w="10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0,10</w:t>
            </w:r>
          </w:p>
        </w:tc>
        <w:tc>
          <w:tcPr>
            <w:tcW w:type="dxa" w:w="236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Допущение для реальных денежных потоков</w:t>
            </w:r>
          </w:p>
        </w:tc>
      </w:tr>
    </w:tbl>
    <w:p>
      <w:pPr>
        <w:keepNext w:val="false"/>
        <w:spacing w:after="0" w:before="0" w:line="360" w:lineRule="auto"/>
        <w:ind w:firstLine="0"/>
        <w:jc w:val="left"/>
      </w:pPr>
      <w:r>
        <w:rPr>
          <w:rFonts w:ascii="Times New Roman" w:cs="Times New Roman" w:eastAsia="Times New Roman" w:hAnsi="Times New Roman"/>
          <w:b w:val="false"/>
          <w:bCs w:val="false"/>
          <w:i w:val="false"/>
          <w:iCs w:val="false"/>
          <w:sz w:val="24"/>
          <w:szCs w:val="24"/>
        </w:rPr>
        <w:t xml:space="preserve">Источник: составлено автором.</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Из таблицы 2.5 видно, что подавляющее большинство параметров имеет статус допущения. Только ставка платы за НВОС и мощность экопромышленного парка взяты из нормативного акта и открытого источника. Это не недостаток расчёта, а честная фиксация того, что известно, и одновременно перечень данных, которые оператор должен получить у участников в первую очередь. Базовая ставка платы 663,2 руб./т взята без коэффициента индексации, применяемого к ставкам в текущем году, поэтому компонент НВОС в расчёте занижен; это сделано, чтобы оценка оставалась консервативной и не зависела от года применения.</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Альтернативная стоимость тепла требует пояснения. Речь идёт о низкопотенциальном тепле, которое ГРЭС отводит в окружающую среду через систему охлаждения, а не о паре, замещающем собственную котельную потребителя. Для пара альтернативная стоимость определяется ценой газа и была бы в несколько раз выше, но пар используется в собственном цикле станции, и его свободный объём не установлен. Низкопотенциальное тепло пригодно для тепличных хозяйств, рыбоводства, подогрева технологической воды; его ценность для потребителя ограничена затратами на доведение параметров, поэтому значение 360 руб./Гкал принято как сценарное и подлежит проверке.</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Результат расчёта по формулам (2.7)–(2.9) для базового сценария представлен в таблице 2.6. Кроме итоговых величин таблица показывает чистый вклад каждого потока, то есть его валовую экономию за вычетом относящихся к нему капитальных затрат.</w:t>
      </w:r>
    </w:p>
    <w:p>
      <w:pPr>
        <w:keepNext/>
        <w:spacing w:after="0" w:before="0" w:line="360" w:lineRule="auto"/>
        <w:ind w:firstLine="0"/>
        <w:jc w:val="right"/>
      </w:pPr>
      <w:r>
        <w:rPr>
          <w:rFonts w:ascii="Times New Roman" w:cs="Times New Roman" w:eastAsia="Times New Roman" w:hAnsi="Times New Roman"/>
          <w:b w:val="false"/>
          <w:bCs w:val="false"/>
          <w:i w:val="false"/>
          <w:iCs w:val="false"/>
          <w:sz w:val="28"/>
          <w:szCs w:val="28"/>
        </w:rPr>
        <w:t xml:space="preserve">Таблица 2.6</w:t>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8"/>
          <w:szCs w:val="28"/>
        </w:rPr>
        <w:t xml:space="preserve">Расчёт дополнительного эффекта экоплатформы в базовом сценарии, млн руб. в год</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3494"/>
        <w:gridCol w:w="1953"/>
        <w:gridCol w:w="1164"/>
        <w:gridCol w:w="1518"/>
        <w:gridCol w:w="1226"/>
      </w:tblGrid>
      <w:tr>
        <w:trPr>
          <w:cantSplit/>
          <w:tblHeader/>
        </w:trPr>
        <w:tc>
          <w:tcPr>
            <w:tcW w:type="dxa" w:w="349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Компонент</w:t>
            </w:r>
          </w:p>
        </w:tc>
        <w:tc>
          <w:tcPr>
            <w:tcW w:type="dxa" w:w="195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Формула расчёта</w:t>
            </w:r>
          </w:p>
        </w:tc>
        <w:tc>
          <w:tcPr>
            <w:tcW w:type="dxa" w:w="116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Валовая экономия</w:t>
            </w:r>
          </w:p>
        </w:tc>
        <w:tc>
          <w:tcPr>
            <w:tcW w:type="dxa" w:w="1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Капитальные затраты (аннуитет)</w:t>
            </w:r>
          </w:p>
        </w:tc>
        <w:tc>
          <w:tcPr>
            <w:tcW w:type="dxa" w:w="12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Чистый вклад</w:t>
            </w:r>
          </w:p>
        </w:tc>
      </w:tr>
      <w:tr>
        <w:trPr>
          <w:cantSplit/>
          <w:tblHeader w:val="false"/>
        </w:trPr>
        <w:tc>
          <w:tcPr>
            <w:tcW w:type="dxa" w:w="349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Тепло ГРЭС</w:t>
            </w:r>
          </w:p>
        </w:tc>
        <w:tc>
          <w:tcPr>
            <w:tcW w:type="dxa" w:w="195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438 000 · 0,5 · (360 − 50)</w:t>
            </w:r>
          </w:p>
        </w:tc>
        <w:tc>
          <w:tcPr>
            <w:tcW w:type="dxa" w:w="116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67,9</w:t>
            </w:r>
          </w:p>
        </w:tc>
        <w:tc>
          <w:tcPr>
            <w:tcW w:type="dxa" w:w="151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39,4</w:t>
            </w:r>
          </w:p>
        </w:tc>
        <w:tc>
          <w:tcPr>
            <w:tcW w:type="dxa" w:w="122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28,4</w:t>
            </w:r>
          </w:p>
        </w:tc>
      </w:tr>
      <w:tr>
        <w:trPr>
          <w:cantSplit/>
          <w:tblHeader w:val="false"/>
        </w:trPr>
        <w:tc>
          <w:tcPr>
            <w:tcW w:type="dxa" w:w="349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CO₂ «Азота»</w:t>
            </w:r>
          </w:p>
        </w:tc>
        <w:tc>
          <w:tcPr>
            <w:tcW w:type="dxa" w:w="195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12 000 · (8000 − 2000), прирост сверх 32 тыс. т</w:t>
            </w:r>
          </w:p>
        </w:tc>
        <w:tc>
          <w:tcPr>
            <w:tcW w:type="dxa" w:w="116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72,0</w:t>
            </w:r>
          </w:p>
        </w:tc>
        <w:tc>
          <w:tcPr>
            <w:tcW w:type="dxa" w:w="151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13,1</w:t>
            </w:r>
          </w:p>
        </w:tc>
        <w:tc>
          <w:tcPr>
            <w:tcW w:type="dxa" w:w="122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58,9</w:t>
            </w:r>
          </w:p>
        </w:tc>
      </w:tr>
      <w:tr>
        <w:trPr>
          <w:cantSplit/>
          <w:tblHeader w:val="false"/>
        </w:trPr>
        <w:tc>
          <w:tcPr>
            <w:tcW w:type="dxa" w:w="349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Вторичное сырьё</w:t>
            </w:r>
          </w:p>
        </w:tc>
        <w:tc>
          <w:tcPr>
            <w:tcW w:type="dxa" w:w="195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30 000 · 2000</w:t>
            </w:r>
          </w:p>
        </w:tc>
        <w:tc>
          <w:tcPr>
            <w:tcW w:type="dxa" w:w="116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60,0</w:t>
            </w:r>
          </w:p>
        </w:tc>
        <w:tc>
          <w:tcPr>
            <w:tcW w:type="dxa" w:w="151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122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60,0</w:t>
            </w:r>
          </w:p>
        </w:tc>
      </w:tr>
      <w:tr>
        <w:trPr>
          <w:cantSplit/>
          <w:tblHeader w:val="false"/>
        </w:trPr>
        <w:tc>
          <w:tcPr>
            <w:tcW w:type="dxa" w:w="349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Плата за НВОС</w:t>
            </w:r>
          </w:p>
        </w:tc>
        <w:tc>
          <w:tcPr>
            <w:tcW w:type="dxa" w:w="195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60 000 · 663,2</w:t>
            </w:r>
          </w:p>
        </w:tc>
        <w:tc>
          <w:tcPr>
            <w:tcW w:type="dxa" w:w="116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39,8</w:t>
            </w:r>
          </w:p>
        </w:tc>
        <w:tc>
          <w:tcPr>
            <w:tcW w:type="dxa" w:w="151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122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39,8</w:t>
            </w:r>
          </w:p>
        </w:tc>
      </w:tr>
      <w:tr>
        <w:trPr>
          <w:cantSplit/>
          <w:tblHeader w:val="false"/>
        </w:trPr>
        <w:tc>
          <w:tcPr>
            <w:tcW w:type="dxa" w:w="349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Итого по потокам</w:t>
            </w:r>
          </w:p>
        </w:tc>
        <w:tc>
          <w:tcPr>
            <w:tcW w:type="dxa" w:w="195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p>
        </w:tc>
        <w:tc>
          <w:tcPr>
            <w:tcW w:type="dxa" w:w="116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239,7</w:t>
            </w:r>
          </w:p>
        </w:tc>
        <w:tc>
          <w:tcPr>
            <w:tcW w:type="dxa" w:w="151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52,6</w:t>
            </w:r>
          </w:p>
        </w:tc>
        <w:tc>
          <w:tcPr>
            <w:tcW w:type="dxa" w:w="122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187,1</w:t>
            </w:r>
          </w:p>
        </w:tc>
      </w:tr>
      <w:tr>
        <w:trPr>
          <w:cantSplit/>
          <w:tblHeader w:val="false"/>
        </w:trPr>
        <w:tc>
          <w:tcPr>
            <w:tcW w:type="dxa" w:w="349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Платформа: аннуитет вложений</w:t>
            </w:r>
          </w:p>
        </w:tc>
        <w:tc>
          <w:tcPr>
            <w:tcW w:type="dxa" w:w="195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120 · 0,2054</w:t>
            </w:r>
          </w:p>
        </w:tc>
        <w:tc>
          <w:tcPr>
            <w:tcW w:type="dxa" w:w="116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p>
        </w:tc>
        <w:tc>
          <w:tcPr>
            <w:tcW w:type="dxa" w:w="151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24,6</w:t>
            </w:r>
          </w:p>
        </w:tc>
        <w:tc>
          <w:tcPr>
            <w:tcW w:type="dxa" w:w="122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−24,6</w:t>
            </w:r>
          </w:p>
        </w:tc>
      </w:tr>
      <w:tr>
        <w:trPr>
          <w:cantSplit/>
          <w:tblHeader w:val="false"/>
        </w:trPr>
        <w:tc>
          <w:tcPr>
            <w:tcW w:type="dxa" w:w="349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Эксплуатация платформы</w:t>
            </w:r>
          </w:p>
        </w:tc>
        <w:tc>
          <w:tcPr>
            <w:tcW w:type="dxa" w:w="195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p>
        </w:tc>
        <w:tc>
          <w:tcPr>
            <w:tcW w:type="dxa" w:w="116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p>
        </w:tc>
        <w:tc>
          <w:tcPr>
            <w:tcW w:type="dxa" w:w="151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p>
        </w:tc>
        <w:tc>
          <w:tcPr>
            <w:tcW w:type="dxa" w:w="122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−30,0</w:t>
            </w:r>
          </w:p>
        </w:tc>
      </w:tr>
      <w:tr>
        <w:trPr>
          <w:cantSplit/>
          <w:tblHeader w:val="false"/>
        </w:trPr>
        <w:tc>
          <w:tcPr>
            <w:tcW w:type="dxa" w:w="349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Издержки сделок и аудита</w:t>
            </w:r>
          </w:p>
        </w:tc>
        <w:tc>
          <w:tcPr>
            <w:tcW w:type="dxa" w:w="195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p>
        </w:tc>
        <w:tc>
          <w:tcPr>
            <w:tcW w:type="dxa" w:w="116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p>
        </w:tc>
        <w:tc>
          <w:tcPr>
            <w:tcW w:type="dxa" w:w="151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p>
        </w:tc>
        <w:tc>
          <w:tcPr>
            <w:tcW w:type="dxa" w:w="122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−15,0</w:t>
            </w:r>
          </w:p>
        </w:tc>
      </w:tr>
      <w:tr>
        <w:trPr>
          <w:cantSplit/>
          <w:tblHeader w:val="false"/>
        </w:trPr>
        <w:tc>
          <w:tcPr>
            <w:tcW w:type="dxa" w:w="349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Дополнительный эффект ΔE</w:t>
            </w:r>
          </w:p>
        </w:tc>
        <w:tc>
          <w:tcPr>
            <w:tcW w:type="dxa" w:w="195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p>
        </w:tc>
        <w:tc>
          <w:tcPr>
            <w:tcW w:type="dxa" w:w="116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p>
        </w:tc>
        <w:tc>
          <w:tcPr>
            <w:tcW w:type="dxa" w:w="151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p>
        </w:tc>
        <w:tc>
          <w:tcPr>
            <w:tcW w:type="dxa" w:w="122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117,4</w:t>
            </w:r>
          </w:p>
        </w:tc>
      </w:tr>
      <w:tr>
        <w:trPr>
          <w:cantSplit/>
          <w:tblHeader w:val="false"/>
        </w:trPr>
        <w:tc>
          <w:tcPr>
            <w:tcW w:type="dxa" w:w="349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Симбиотический дивиденд SD при α = 0,10</w:t>
            </w:r>
          </w:p>
        </w:tc>
        <w:tc>
          <w:tcPr>
            <w:tcW w:type="dxa" w:w="195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p>
        </w:tc>
        <w:tc>
          <w:tcPr>
            <w:tcW w:type="dxa" w:w="116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p>
        </w:tc>
        <w:tc>
          <w:tcPr>
            <w:tcW w:type="dxa" w:w="151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p>
        </w:tc>
        <w:tc>
          <w:tcPr>
            <w:tcW w:type="dxa" w:w="122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11,7</w:t>
            </w:r>
          </w:p>
        </w:tc>
      </w:tr>
    </w:tbl>
    <w:p>
      <w:pPr>
        <w:keepNext w:val="false"/>
        <w:spacing w:after="0" w:before="0" w:line="360" w:lineRule="auto"/>
        <w:ind w:firstLine="0"/>
        <w:jc w:val="left"/>
      </w:pPr>
      <w:r>
        <w:rPr>
          <w:rFonts w:ascii="Times New Roman" w:cs="Times New Roman" w:eastAsia="Times New Roman" w:hAnsi="Times New Roman"/>
          <w:b w:val="false"/>
          <w:bCs w:val="false"/>
          <w:i w:val="false"/>
          <w:iCs w:val="false"/>
          <w:sz w:val="24"/>
          <w:szCs w:val="24"/>
        </w:rPr>
        <w:t xml:space="preserve">Источник: рассчитано автором по формулам (2.7)–(2.9) и (2.11) с параметрами таблицы 2.5; коэффициенты аннуитета 0,1315 (15 лет) и 0,2054 (7 лет) при r = 0,10.</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Таблица 2.6 даёт три результата. Валовая экономия базового сценария около 240 млн руб. в год, а чистый эффект после вычета всех затрат — около 117 млн руб., то есть меньше половины валовой величины. Больше всего чистый эффект снижают затраты самой платформы: вместе с издержками сделок они составляют около 70 млн руб. в год, или 29 % валовой экономии. Наименее выгодным оказывается тепловой поток: его валовая экономия сопоставима с потоком CO₂, но более половины её поглощают вложения в теплотрассу, поэтому чистый вклад тепла вдвое меньше.</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Последнее наблюдение имеет управленческое значение. Тепловой обмен, который в публикациях о Невинномысске обычно ставится на первое место, оказывается самым капиталоёмким и наиболее зависимым от загрузки. Если теплотрасса финансируется участниками, а не в порядке государственного или муниципального партнёрства, для тепла сужается и ценовой коридор (§ 2.4).</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Вклад потока CO</w:t>
      </w:r>
      <w:r>
        <w:rPr>
          <w:rFonts w:ascii="Times New Roman" w:cs="Times New Roman" w:eastAsia="Times New Roman" w:hAnsi="Times New Roman"/>
          <w:b w:val="false"/>
          <w:bCs w:val="false"/>
          <w:i w:val="false"/>
          <w:iCs w:val="false"/>
          <w:sz w:val="28"/>
          <w:szCs w:val="28"/>
          <w:vertAlign w:val="subscript"/>
        </w:rPr>
        <w:t xml:space="preserve">2</w:t>
      </w:r>
      <w:r>
        <w:rPr>
          <w:rFonts w:ascii="Times New Roman" w:cs="Times New Roman" w:eastAsia="Times New Roman" w:hAnsi="Times New Roman"/>
          <w:b w:val="false"/>
          <w:bCs w:val="false"/>
          <w:i w:val="false"/>
          <w:iCs w:val="false"/>
          <w:sz w:val="28"/>
          <w:szCs w:val="28"/>
        </w:rPr>
        <w:t xml:space="preserve"> требует оговорки, которой нет у других потоков. Технологический CO</w:t>
      </w:r>
      <w:r>
        <w:rPr>
          <w:rFonts w:ascii="Times New Roman" w:cs="Times New Roman" w:eastAsia="Times New Roman" w:hAnsi="Times New Roman"/>
          <w:b w:val="false"/>
          <w:bCs w:val="false"/>
          <w:i w:val="false"/>
          <w:iCs w:val="false"/>
          <w:sz w:val="28"/>
          <w:szCs w:val="28"/>
          <w:vertAlign w:val="subscript"/>
        </w:rPr>
        <w:t xml:space="preserve">2</w:t>
      </w:r>
      <w:r>
        <w:rPr>
          <w:rFonts w:ascii="Times New Roman" w:cs="Times New Roman" w:eastAsia="Times New Roman" w:hAnsi="Times New Roman"/>
          <w:b w:val="false"/>
          <w:bCs w:val="false"/>
          <w:i w:val="false"/>
          <w:iCs w:val="false"/>
          <w:sz w:val="28"/>
          <w:szCs w:val="28"/>
        </w:rPr>
        <w:t xml:space="preserve"> высокой концентрации образуется на «Азоте» в объёме около 1,5 млн т в год, и действующая установка использует лишь около 2 % этого количества (п. 3.1.4). Ограничение здесь создаёт спрос, а не предложение. Поэтому 12 тыс. т в таблице 2.6 означают прирост совокупных продаж сверх базовых 32 тыс. т, а не любые поставки резидентам ТОСЭР. Если резидент купит углекислоту, прежде уходившую производителю напитков, договор появится, а совокупные продажи не вырастут: для системы это перераспределение покупателей. Окажись переключением половина поставок резидентам, чистый вклад потока при тех же вложениях снизится с 58,9 до 22,9 млн руб. в год, дополнительный эффект ΔE — со 117,4 до 81,4 млн руб., симбиотический дивиденд при α = 0,10 — с 11,7 до 8,1 млн руб. Проверить это оператор сможет только по помесячной отгрузке CO</w:t>
      </w:r>
      <w:r>
        <w:rPr>
          <w:rFonts w:ascii="Times New Roman" w:cs="Times New Roman" w:eastAsia="Times New Roman" w:hAnsi="Times New Roman"/>
          <w:b w:val="false"/>
          <w:bCs w:val="false"/>
          <w:i w:val="false"/>
          <w:iCs w:val="false"/>
          <w:sz w:val="28"/>
          <w:szCs w:val="28"/>
          <w:vertAlign w:val="subscript"/>
        </w:rPr>
        <w:t xml:space="preserve">2</w:t>
      </w:r>
      <w:r>
        <w:rPr>
          <w:rFonts w:ascii="Times New Roman" w:cs="Times New Roman" w:eastAsia="Times New Roman" w:hAnsi="Times New Roman"/>
          <w:b w:val="false"/>
          <w:bCs w:val="false"/>
          <w:i w:val="false"/>
          <w:iCs w:val="false"/>
          <w:sz w:val="28"/>
          <w:szCs w:val="28"/>
        </w:rPr>
        <w:t xml:space="preserve"> всем покупателям; запрос таких данных включён в § 3.5.</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Структура перехода от валовой экономии к дивиденду показана на рисунке 2.2.</w:t>
      </w:r>
    </w:p>
    <w:p>
      <w:pPr>
        <w:keepNext/>
        <w:jc w:val="center"/>
      </w:pPr>
      <w:r>
        <w:drawing>
          <wp:inline distT="0" distB="0" distL="0" distR="0">
            <wp:extent cx="5715000" cy="3324225"/>
            <wp:effectExtent t="0" r="0" b="0" l="0"/>
            <wp:docPr id="1" name="fig2_2.svg" descr="fig2_2.svg" title="fig2_2.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extLst>
                        <a:ext uri="{96DAC541-7B7A-43D3-8B79-37D633B846F1}">
                          <asvg:svgBlip xmlns:asvg="http://schemas.microsoft.com/office/drawing/2016/SVG/main" r:embed="rId10"/>
                        </a:ext>
                      </a:extLst>
                    </a:blip>
                    <a:srcRect/>
                    <a:stretch>
                      <a:fillRect/>
                    </a:stretch>
                  </pic:blipFill>
                  <pic:spPr bwMode="auto">
                    <a:xfrm>
                      <a:off x="0" y="0"/>
                      <a:ext cx="5715000" cy="3324225"/>
                    </a:xfrm>
                    <a:prstGeom prst="rect">
                      <a:avLst/>
                    </a:prstGeom>
                  </pic:spPr>
                </pic:pic>
              </a:graphicData>
            </a:graphic>
          </wp:inline>
        </w:drawing>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8"/>
          <w:szCs w:val="28"/>
        </w:rPr>
        <w:t xml:space="preserve">Рисунок 2.2 – Переход от валовой экономии к дополнительному эффекту и симбиотическому дивиденду в базовом сценарии</w:t>
      </w:r>
    </w:p>
    <w:p>
      <w:pPr>
        <w:keepNext w:val="false"/>
        <w:spacing w:after="0" w:before="0" w:line="360" w:lineRule="auto"/>
        <w:ind w:firstLine="0"/>
        <w:jc w:val="center"/>
      </w:pPr>
      <w:r>
        <w:rPr>
          <w:rFonts w:ascii="Times New Roman" w:cs="Times New Roman" w:eastAsia="Times New Roman" w:hAnsi="Times New Roman"/>
          <w:b w:val="false"/>
          <w:bCs w:val="false"/>
          <w:i w:val="false"/>
          <w:iCs w:val="false"/>
          <w:sz w:val="24"/>
          <w:szCs w:val="24"/>
        </w:rPr>
        <w:t xml:space="preserve">Источник: рассчитано автором по данным таблиц 2.5 и 2.6.</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На рисунке 2.2 хорошо видно соотношение величин: столбец симбиотического дивиденда составляет около 5 % валовой экономии. Именно эта сумма поступает в распределительный механизм, тогда как остальная часть чистого эффекта остаётся у сторон обмена через цену. Для оценки стимулов участия это различие принципиально: основной выигрыш резидента возникает в самой сделке, а дивиденд играет роль дополнительной премии и источника финансирования общих функций.</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Годовой эффект не говорит об окупаемости. Для оценки инвестиционной привлекательности применяется чистая приведённая стоимость:</w:t>
      </w:r>
    </w:p>
    <w:p>
      <w:pPr>
        <w:tabs>
          <w:tab w:val="center" w:pos="4678"/>
          <w:tab w:val="right" w:pos="9355"/>
        </w:tabs>
        <w:spacing w:after="0" w:before="0" w:line="360" w:lineRule="auto"/>
        <w:ind w:firstLine="0"/>
        <w:jc w:val="left"/>
      </w:pPr>
      <w:r>
        <w:rPr>
          <w:rFonts w:ascii="Times New Roman" w:cs="Times New Roman" w:eastAsia="Times New Roman" w:hAnsi="Times New Roman"/>
          <w:sz w:val="28"/>
          <w:szCs w:val="28"/>
        </w:rPr>
        <w:t xml:space="preserve">	</w:t>
      </w:r>
      <m:oMath xmlns:m="http://schemas.openxmlformats.org/officeDocument/2006/math" xmlns:w="http://schemas.openxmlformats.org/wordprocessingml/2006/main">
        <m:r>
          <m:rPr>
            <m:sty m:val="p"/>
          </m:rPr>
          <w:rPr>
            <w:rFonts w:ascii="Cambria Math" w:hAnsi="Cambria Math"/>
            <w:i w:val="0"/>
            <w:sz w:val="28"/>
            <w:szCs w:val="28"/>
          </w:rPr>
          <m:t xml:space="preserve">NPV</m:t>
        </m:r>
        <m:r>
          <m:rPr>
            <m:sty m:val="p"/>
          </m:rPr>
          <w:rPr>
            <w:rFonts w:ascii="Cambria Math" w:hAnsi="Cambria Math"/>
            <w:i w:val="0"/>
            <w:sz w:val="28"/>
            <w:szCs w:val="28"/>
          </w:rPr>
          <m:t xml:space="preserve"> = −</m:t>
        </m:r>
        <m:sSub>
          <m:e>
            <m:r>
              <w:rPr>
                <w:rFonts w:ascii="Cambria Math" w:hAnsi="Cambria Math"/>
                <w:i/>
                <w:sz w:val="28"/>
                <w:szCs w:val="28"/>
              </w:rPr>
              <m:t xml:space="preserve">K</m:t>
            </m:r>
          </m:e>
          <m:sub>
            <m:r>
              <m:rPr>
                <m:sty m:val="p"/>
              </m:rPr>
              <w:rPr>
                <w:rFonts w:ascii="Cambria Math" w:hAnsi="Cambria Math"/>
                <w:i w:val="0"/>
                <w:sz w:val="28"/>
                <w:szCs w:val="28"/>
              </w:rPr>
              <m:t xml:space="preserve">0</m:t>
            </m:r>
          </m:sub>
        </m:sSub>
        <m:r>
          <m:rPr>
            <m:sty m:val="p"/>
          </m:rPr>
          <w:rPr>
            <w:rFonts w:ascii="Cambria Math" w:hAnsi="Cambria Math"/>
            <w:i w:val="0"/>
            <w:sz w:val="28"/>
            <w:szCs w:val="28"/>
          </w:rPr>
          <m:t xml:space="preserve"> + </m:t>
        </m:r>
        <m:nary>
          <m:naryPr>
            <m:chr m:val="∑"/>
            <m:limLoc m:val="undOvr"/>
          </m:naryPr>
          <m:sub>
            <m:r>
              <w:rPr>
                <w:rFonts w:ascii="Cambria Math" w:hAnsi="Cambria Math"/>
                <w:i/>
                <w:sz w:val="28"/>
                <w:szCs w:val="28"/>
              </w:rPr>
              <m:t xml:space="preserve">t</m:t>
            </m:r>
            <m:r>
              <m:rPr>
                <m:sty m:val="p"/>
              </m:rPr>
              <w:rPr>
                <w:rFonts w:ascii="Cambria Math" w:hAnsi="Cambria Math"/>
                <w:i w:val="0"/>
                <w:sz w:val="28"/>
                <w:szCs w:val="28"/>
              </w:rPr>
              <m:t xml:space="preserve">=1</m:t>
            </m:r>
          </m:sub>
          <m:sup>
            <m:r>
              <w:rPr>
                <w:rFonts w:ascii="Cambria Math" w:hAnsi="Cambria Math"/>
                <w:i/>
                <w:sz w:val="28"/>
                <w:szCs w:val="28"/>
              </w:rPr>
              <m:t xml:space="preserve">T</m:t>
            </m:r>
          </m:sup>
          <m:e>
            <m:f>
              <m:num>
                <m:sSub>
                  <m:e>
                    <m:r>
                      <w:rPr>
                        <w:rFonts w:ascii="Cambria Math" w:hAnsi="Cambria Math"/>
                        <w:i/>
                        <w:sz w:val="28"/>
                        <w:szCs w:val="28"/>
                      </w:rPr>
                      <m:t xml:space="preserve">CF</m:t>
                    </m:r>
                  </m:e>
                  <m:sub>
                    <m:r>
                      <w:rPr>
                        <w:rFonts w:ascii="Cambria Math" w:hAnsi="Cambria Math"/>
                        <w:i/>
                        <w:sz w:val="28"/>
                        <w:szCs w:val="28"/>
                      </w:rPr>
                      <m:t xml:space="preserve">t</m:t>
                    </m:r>
                  </m:sub>
                </m:sSub>
              </m:num>
              <m:den>
                <m:sSup>
                  <m:e>
                    <m:d>
                      <m:dPr>
                        <m:begChr m:val="("/>
                        <m:endChr m:val=")"/>
                      </m:dPr>
                      <m:e>
                        <m:r>
                          <m:rPr>
                            <m:sty m:val="p"/>
                          </m:rPr>
                          <w:rPr>
                            <w:rFonts w:ascii="Cambria Math" w:hAnsi="Cambria Math"/>
                            <w:i w:val="0"/>
                            <w:sz w:val="28"/>
                            <w:szCs w:val="28"/>
                          </w:rPr>
                          <m:t xml:space="preserve">1 + </m:t>
                        </m:r>
                        <m:r>
                          <w:rPr>
                            <w:rFonts w:ascii="Cambria Math" w:hAnsi="Cambria Math"/>
                            <w:i/>
                            <w:sz w:val="28"/>
                            <w:szCs w:val="28"/>
                          </w:rPr>
                          <m:t xml:space="preserve">r</m:t>
                        </m:r>
                      </m:e>
                    </m:d>
                  </m:e>
                  <m:sup>
                    <m:r>
                      <w:rPr>
                        <w:rFonts w:ascii="Cambria Math" w:hAnsi="Cambria Math"/>
                        <w:i/>
                        <w:sz w:val="28"/>
                        <w:szCs w:val="28"/>
                      </w:rPr>
                      <m:t xml:space="preserve">t</m:t>
                    </m:r>
                  </m:sup>
                </m:sSup>
              </m:den>
            </m:f>
          </m:e>
        </m:nary>
      </m:oMath>
      <w:r>
        <w:rPr>
          <w:rFonts w:ascii="Times New Roman" w:cs="Times New Roman" w:eastAsia="Times New Roman" w:hAnsi="Times New Roman"/>
          <w:sz w:val="28"/>
          <w:szCs w:val="28"/>
        </w:rPr>
        <w:t xml:space="preserve">	(2.10)</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где NPV — чистая приведённая стоимость проекта экоплатформы, млн руб.; K</w:t>
      </w:r>
      <w:r>
        <w:rPr>
          <w:rFonts w:ascii="Times New Roman" w:cs="Times New Roman" w:eastAsia="Times New Roman" w:hAnsi="Times New Roman"/>
          <w:b w:val="false"/>
          <w:bCs w:val="false"/>
          <w:i w:val="false"/>
          <w:iCs w:val="false"/>
          <w:sz w:val="28"/>
          <w:szCs w:val="28"/>
          <w:vertAlign w:val="subscript"/>
        </w:rPr>
        <w:t xml:space="preserve">0</w:t>
      </w:r>
      <w:r>
        <w:rPr>
          <w:rFonts w:ascii="Times New Roman" w:cs="Times New Roman" w:eastAsia="Times New Roman" w:hAnsi="Times New Roman"/>
          <w:b w:val="false"/>
          <w:bCs w:val="false"/>
          <w:i w:val="false"/>
          <w:iCs w:val="false"/>
          <w:sz w:val="28"/>
          <w:szCs w:val="28"/>
        </w:rPr>
        <w:t xml:space="preserve"> — первоначальные капитальные вложения; CF</w:t>
      </w:r>
      <w:r>
        <w:rPr>
          <w:rFonts w:ascii="Times New Roman" w:cs="Times New Roman" w:eastAsia="Times New Roman" w:hAnsi="Times New Roman"/>
          <w:b w:val="false"/>
          <w:bCs w:val="false"/>
          <w:i w:val="false"/>
          <w:iCs w:val="false"/>
          <w:sz w:val="28"/>
          <w:szCs w:val="28"/>
          <w:vertAlign w:val="subscript"/>
        </w:rPr>
        <w:t xml:space="preserve">t</w:t>
      </w:r>
      <w:r>
        <w:rPr>
          <w:rFonts w:ascii="Times New Roman" w:cs="Times New Roman" w:eastAsia="Times New Roman" w:hAnsi="Times New Roman"/>
          <w:b w:val="false"/>
          <w:bCs w:val="false"/>
          <w:i w:val="false"/>
          <w:iCs w:val="false"/>
          <w:sz w:val="28"/>
          <w:szCs w:val="28"/>
        </w:rPr>
        <w:t xml:space="preserve"> — чистый денежный поток периода t, равный валовой экономии за вычетом эксплуатационных затрат и издержек сделок; r — ставка дисконтирования; T — горизонт анализа, лет.</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При первоначальных вложениях 520 млн руб., годовом денежном потоке 194,7 млн руб. и горизонте 10 лет NPV базового сценария составляет 676 млн руб., внутренняя норма доходности — около 36 %, дисконтированный срок окупаемости — 4 года. В нижнем сценарии NPV отрицательна (−381 млн руб.), в верхнем достигает 1750 млн руб. Разброс означает, что проект в целом окупается, если параметры не принимают одновременно худших значений; насколько вероятно такое совпадение, рассматривается в § 2.3.4.</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Симбиотический дивиденд начисляется только на подтверждённый положительный эффект:</w:t>
      </w:r>
    </w:p>
    <w:p>
      <w:pPr>
        <w:tabs>
          <w:tab w:val="center" w:pos="4678"/>
          <w:tab w:val="right" w:pos="9355"/>
        </w:tabs>
        <w:spacing w:after="0" w:before="0" w:line="360" w:lineRule="auto"/>
        <w:ind w:firstLine="0"/>
        <w:jc w:val="left"/>
      </w:pPr>
      <w:r>
        <w:rPr>
          <w:rFonts w:ascii="Times New Roman" w:cs="Times New Roman" w:eastAsia="Times New Roman" w:hAnsi="Times New Roman"/>
          <w:sz w:val="28"/>
          <w:szCs w:val="28"/>
        </w:rPr>
        <w:t xml:space="preserve">	</w:t>
      </w:r>
      <m:oMath xmlns:m="http://schemas.openxmlformats.org/officeDocument/2006/math" xmlns:w="http://schemas.openxmlformats.org/wordprocessingml/2006/main">
        <m:r>
          <w:rPr>
            <w:rFonts w:ascii="Cambria Math" w:hAnsi="Cambria Math"/>
            <w:i/>
            <w:sz w:val="28"/>
            <w:szCs w:val="28"/>
          </w:rPr>
          <m:t xml:space="preserve">SD</m:t>
        </m:r>
        <m:d>
          <m:dPr>
            <m:begChr m:val="("/>
            <m:endChr m:val=")"/>
          </m:dPr>
          <m:e>
            <m:r>
              <w:rPr>
                <w:rFonts w:ascii="Cambria Math" w:hAnsi="Cambria Math"/>
                <w:i/>
                <w:sz w:val="28"/>
                <w:szCs w:val="28"/>
              </w:rPr>
              <m:t xml:space="preserve">t</m:t>
            </m:r>
          </m:e>
        </m:d>
        <m:r>
          <m:rPr>
            <m:sty m:val="p"/>
          </m:rPr>
          <w:rPr>
            <w:rFonts w:ascii="Cambria Math" w:hAnsi="Cambria Math"/>
            <w:i w:val="0"/>
            <w:sz w:val="28"/>
            <w:szCs w:val="28"/>
          </w:rPr>
          <m:t xml:space="preserve"> = </m:t>
        </m:r>
        <m:r>
          <w:rPr>
            <w:rFonts w:ascii="Cambria Math" w:hAnsi="Cambria Math"/>
            <w:i/>
            <w:sz w:val="28"/>
            <w:szCs w:val="28"/>
          </w:rPr>
          <m:t xml:space="preserve">α</m:t>
        </m:r>
        <m:r>
          <m:rPr>
            <m:sty m:val="p"/>
          </m:rPr>
          <w:rPr>
            <w:rFonts w:ascii="Cambria Math" w:hAnsi="Cambria Math"/>
            <w:i w:val="0"/>
            <w:sz w:val="28"/>
            <w:szCs w:val="28"/>
          </w:rPr>
          <m:t xml:space="preserve">·</m:t>
        </m:r>
        <m:r>
          <m:rPr>
            <m:sty m:val="p"/>
          </m:rPr>
          <w:rPr>
            <w:rFonts w:ascii="Cambria Math" w:hAnsi="Cambria Math"/>
            <w:i w:val="0"/>
            <w:sz w:val="28"/>
            <w:szCs w:val="28"/>
          </w:rPr>
          <m:t xml:space="preserve">max</m:t>
        </m:r>
        <m:d>
          <m:dPr>
            <m:begChr m:val="["/>
            <m:endChr m:val="]"/>
          </m:dPr>
          <m:e>
            <m:r>
              <m:rPr>
                <m:sty m:val="p"/>
              </m:rPr>
              <w:rPr>
                <w:rFonts w:ascii="Cambria Math" w:hAnsi="Cambria Math"/>
                <w:i w:val="0"/>
                <w:sz w:val="28"/>
                <w:szCs w:val="28"/>
              </w:rPr>
              <m:t xml:space="preserve">0; </m:t>
            </m:r>
            <m:sSub>
              <m:e>
                <m:r>
                  <w:rPr>
                    <w:rFonts w:ascii="Cambria Math" w:hAnsi="Cambria Math"/>
                    <w:i/>
                    <w:sz w:val="28"/>
                    <w:szCs w:val="28"/>
                  </w:rPr>
                  <m:t xml:space="preserve">ΔE</m:t>
                </m:r>
              </m:e>
              <m:sub>
                <m:r>
                  <m:rPr>
                    <m:sty m:val="p"/>
                  </m:rPr>
                  <w:rPr>
                    <w:rFonts w:ascii="Cambria Math" w:hAnsi="Cambria Math"/>
                    <w:i w:val="0"/>
                    <w:sz w:val="28"/>
                    <w:szCs w:val="28"/>
                  </w:rPr>
                  <m:t xml:space="preserve">подтв</m:t>
                </m:r>
              </m:sub>
            </m:sSub>
            <m:d>
              <m:dPr>
                <m:begChr m:val="("/>
                <m:endChr m:val=")"/>
              </m:dPr>
              <m:e>
                <m:r>
                  <w:rPr>
                    <w:rFonts w:ascii="Cambria Math" w:hAnsi="Cambria Math"/>
                    <w:i/>
                    <w:sz w:val="28"/>
                    <w:szCs w:val="28"/>
                  </w:rPr>
                  <m:t xml:space="preserve">t</m:t>
                </m:r>
              </m:e>
            </m:d>
          </m:e>
        </m:d>
      </m:oMath>
      <w:r>
        <w:rPr>
          <w:rFonts w:ascii="Times New Roman" w:cs="Times New Roman" w:eastAsia="Times New Roman" w:hAnsi="Times New Roman"/>
          <w:sz w:val="28"/>
          <w:szCs w:val="28"/>
        </w:rPr>
        <w:t xml:space="preserve">	(2.11)</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где SD(t) — симбиотический дивиденд за период t, млн руб.; α — доля подтверждённого эффекта, направляемая в распределительный механизм, фиксируется соглашением участников до начала периода (в модели α ∈ [0,08; 0,12]); ΔE</w:t>
      </w:r>
      <w:r>
        <w:rPr>
          <w:rFonts w:ascii="Times New Roman" w:cs="Times New Roman" w:eastAsia="Times New Roman" w:hAnsi="Times New Roman"/>
          <w:b w:val="false"/>
          <w:bCs w:val="false"/>
          <w:i w:val="false"/>
          <w:iCs w:val="false"/>
          <w:sz w:val="28"/>
          <w:szCs w:val="28"/>
          <w:vertAlign w:val="subscript"/>
        </w:rPr>
        <w:t xml:space="preserve">подтв</w:t>
      </w:r>
      <w:r>
        <w:rPr>
          <w:rFonts w:ascii="Times New Roman" w:cs="Times New Roman" w:eastAsia="Times New Roman" w:hAnsi="Times New Roman"/>
          <w:b w:val="false"/>
          <w:bCs w:val="false"/>
          <w:i w:val="false"/>
          <w:iCs w:val="false"/>
          <w:sz w:val="28"/>
          <w:szCs w:val="28"/>
        </w:rPr>
        <w:t xml:space="preserve">(t) — эффект (2.7), подтверждённый независимым аудитом.</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Оператор функции max в формуле (2.11) выражает правило, которое кажется очевидным, но часто нарушается: при отрицательном эффекте дивиденд не начисляется и не переходит в долг будущих периодов. В нижнем сценарии ΔE = −51,8 млн руб., и SD = 0; в базовом SD = 11,7 млн руб., в верхнем — 28,9 млн руб. При изменении α в пределах 0,08–0,12 дивиденд базового сценария меняется от 9,4 до 14,1 млн руб. Подчеркнём, что дивиденд в данной трактовке не совпадает с дивидендом акционерного общества и не предполагает автоматического возникновения бюджетного дохода.</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2.3.3. Экономически оптимальная связность</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Формула (2.7) содержит затраты, которые растут вместе с числом связей: каждая новая пара требует подключения, согласования, учёта и аудита. Если представить валовой эффект как функцию связности G·φ(C), а затраты связности — как возрастающую выпуклую функцию T(C), чистый результат сети описывается выражением:</w:t>
      </w:r>
    </w:p>
    <w:p>
      <w:pPr>
        <w:tabs>
          <w:tab w:val="center" w:pos="4678"/>
          <w:tab w:val="right" w:pos="9355"/>
        </w:tabs>
        <w:spacing w:after="0" w:before="0" w:line="360" w:lineRule="auto"/>
        <w:ind w:firstLine="0"/>
        <w:jc w:val="left"/>
      </w:pPr>
      <w:r>
        <w:rPr>
          <w:rFonts w:ascii="Times New Roman" w:cs="Times New Roman" w:eastAsia="Times New Roman" w:hAnsi="Times New Roman"/>
          <w:sz w:val="28"/>
          <w:szCs w:val="28"/>
        </w:rPr>
        <w:t xml:space="preserve">	</w:t>
      </w:r>
      <m:oMath xmlns:m="http://schemas.openxmlformats.org/officeDocument/2006/math" xmlns:w="http://schemas.openxmlformats.org/wordprocessingml/2006/main">
        <m:r>
          <w:rPr>
            <w:rFonts w:ascii="Cambria Math" w:hAnsi="Cambria Math"/>
            <w:i/>
            <w:sz w:val="28"/>
            <w:szCs w:val="28"/>
          </w:rPr>
          <m:t xml:space="preserve">Π</m:t>
        </m:r>
        <m:d>
          <m:dPr>
            <m:begChr m:val="("/>
            <m:endChr m:val=")"/>
          </m:dPr>
          <m:e>
            <m:r>
              <w:rPr>
                <w:rFonts w:ascii="Cambria Math" w:hAnsi="Cambria Math"/>
                <w:i/>
                <w:sz w:val="28"/>
                <w:szCs w:val="28"/>
              </w:rPr>
              <m:t xml:space="preserve">C</m:t>
            </m:r>
          </m:e>
        </m:d>
        <m:r>
          <m:rPr>
            <m:sty m:val="p"/>
          </m:rPr>
          <w:rPr>
            <w:rFonts w:ascii="Cambria Math" w:hAnsi="Cambria Math"/>
            <w:i w:val="0"/>
            <w:sz w:val="28"/>
            <w:szCs w:val="28"/>
          </w:rPr>
          <m:t xml:space="preserve"> = </m:t>
        </m:r>
        <m:r>
          <w:rPr>
            <w:rFonts w:ascii="Cambria Math" w:hAnsi="Cambria Math"/>
            <w:i/>
            <w:sz w:val="28"/>
            <w:szCs w:val="28"/>
          </w:rPr>
          <m:t xml:space="preserve">G</m:t>
        </m:r>
        <m:r>
          <m:rPr>
            <m:sty m:val="p"/>
          </m:rPr>
          <w:rPr>
            <w:rFonts w:ascii="Cambria Math" w:hAnsi="Cambria Math"/>
            <w:i w:val="0"/>
            <w:sz w:val="28"/>
            <w:szCs w:val="28"/>
          </w:rPr>
          <m:t xml:space="preserve">·</m:t>
        </m:r>
        <m:r>
          <w:rPr>
            <w:rFonts w:ascii="Cambria Math" w:hAnsi="Cambria Math"/>
            <w:i/>
            <w:sz w:val="28"/>
            <w:szCs w:val="28"/>
          </w:rPr>
          <m:t xml:space="preserve">φ</m:t>
        </m:r>
        <m:d>
          <m:dPr>
            <m:begChr m:val="("/>
            <m:endChr m:val=")"/>
          </m:dPr>
          <m:e>
            <m:r>
              <w:rPr>
                <w:rFonts w:ascii="Cambria Math" w:hAnsi="Cambria Math"/>
                <w:i/>
                <w:sz w:val="28"/>
                <w:szCs w:val="28"/>
              </w:rPr>
              <m:t xml:space="preserve">C</m:t>
            </m:r>
          </m:e>
        </m:d>
        <m:r>
          <m:rPr>
            <m:sty m:val="p"/>
          </m:rPr>
          <w:rPr>
            <w:rFonts w:ascii="Cambria Math" w:hAnsi="Cambria Math"/>
            <w:i w:val="0"/>
            <w:sz w:val="28"/>
            <w:szCs w:val="28"/>
          </w:rPr>
          <m:t xml:space="preserve"> − </m:t>
        </m:r>
        <m:sSub>
          <m:e>
            <m:r>
              <w:rPr>
                <w:rFonts w:ascii="Cambria Math" w:hAnsi="Cambria Math"/>
                <w:i/>
                <w:sz w:val="28"/>
                <w:szCs w:val="28"/>
              </w:rPr>
              <m:t xml:space="preserve">T</m:t>
            </m:r>
          </m:e>
          <m:sub>
            <m:r>
              <m:rPr>
                <m:sty m:val="p"/>
              </m:rPr>
              <w:rPr>
                <w:rFonts w:ascii="Cambria Math" w:hAnsi="Cambria Math"/>
                <w:i w:val="0"/>
                <w:sz w:val="28"/>
                <w:szCs w:val="28"/>
              </w:rPr>
              <m:t xml:space="preserve">0</m:t>
            </m:r>
          </m:sub>
        </m:sSub>
        <m:r>
          <m:rPr>
            <m:sty m:val="p"/>
          </m:rPr>
          <w:rPr>
            <w:rFonts w:ascii="Cambria Math" w:hAnsi="Cambria Math"/>
            <w:i w:val="0"/>
            <w:sz w:val="28"/>
            <w:szCs w:val="28"/>
          </w:rPr>
          <m:t xml:space="preserve"> − </m:t>
        </m:r>
        <m:r>
          <w:rPr>
            <w:rFonts w:ascii="Cambria Math" w:hAnsi="Cambria Math"/>
            <w:i/>
            <w:sz w:val="28"/>
            <w:szCs w:val="28"/>
          </w:rPr>
          <m:t xml:space="preserve">τ</m:t>
        </m:r>
        <m:r>
          <m:rPr>
            <m:sty m:val="p"/>
          </m:rPr>
          <w:rPr>
            <w:rFonts w:ascii="Cambria Math" w:hAnsi="Cambria Math"/>
            <w:i w:val="0"/>
            <w:sz w:val="28"/>
            <w:szCs w:val="28"/>
          </w:rPr>
          <m:t xml:space="preserve">·</m:t>
        </m:r>
        <m:sSup>
          <m:e>
            <m:r>
              <w:rPr>
                <w:rFonts w:ascii="Cambria Math" w:hAnsi="Cambria Math"/>
                <w:i/>
                <w:sz w:val="28"/>
                <w:szCs w:val="28"/>
              </w:rPr>
              <m:t xml:space="preserve">C</m:t>
            </m:r>
          </m:e>
          <m:sup>
            <m:r>
              <m:rPr>
                <m:sty m:val="p"/>
              </m:rPr>
              <w:rPr>
                <w:rFonts w:ascii="Cambria Math" w:hAnsi="Cambria Math"/>
                <w:i w:val="0"/>
                <w:sz w:val="28"/>
                <w:szCs w:val="28"/>
              </w:rPr>
              <m:t xml:space="preserve">2</m:t>
            </m:r>
          </m:sup>
        </m:sSup>
      </m:oMath>
      <w:r>
        <w:rPr>
          <w:rFonts w:ascii="Times New Roman" w:cs="Times New Roman" w:eastAsia="Times New Roman" w:hAnsi="Times New Roman"/>
          <w:sz w:val="28"/>
          <w:szCs w:val="28"/>
        </w:rPr>
        <w:t xml:space="preserve">	(2.12)</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где Π(C) — чистый результат сети при связности C, млн руб. в год; G — валовой эффект при полной реализации допустимых обменов; φ(C) — функция (2.5); T</w:t>
      </w:r>
      <w:r>
        <w:rPr>
          <w:rFonts w:ascii="Times New Roman" w:cs="Times New Roman" w:eastAsia="Times New Roman" w:hAnsi="Times New Roman"/>
          <w:b w:val="false"/>
          <w:bCs w:val="false"/>
          <w:i w:val="false"/>
          <w:iCs w:val="false"/>
          <w:sz w:val="28"/>
          <w:szCs w:val="28"/>
          <w:vertAlign w:val="subscript"/>
        </w:rPr>
        <w:t xml:space="preserve">0</w:t>
      </w:r>
      <w:r>
        <w:rPr>
          <w:rFonts w:ascii="Times New Roman" w:cs="Times New Roman" w:eastAsia="Times New Roman" w:hAnsi="Times New Roman"/>
          <w:b w:val="false"/>
          <w:bCs w:val="false"/>
          <w:i w:val="false"/>
          <w:iCs w:val="false"/>
          <w:sz w:val="28"/>
          <w:szCs w:val="28"/>
        </w:rPr>
        <w:t xml:space="preserve"> — постоянные затраты платформы, не зависящие от числа связей; τ — коэффициент роста издержек связности, отражающий удорожание каждой следующей связи.</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Квадратичная форма издержек следует из того, что число попарных согласований растёт быстрее числа участников, а новые связи подключают всё более удалённых и менее подготовленных партнёров. Максимум функции (2.12) достигается при связности C\*, удовлетворяющей условию равенства предельной выгоды и предельных издержек:</w:t>
      </w:r>
    </w:p>
    <w:p>
      <w:pPr>
        <w:tabs>
          <w:tab w:val="center" w:pos="4678"/>
          <w:tab w:val="right" w:pos="9355"/>
        </w:tabs>
        <w:spacing w:after="0" w:before="0" w:line="360" w:lineRule="auto"/>
        <w:ind w:firstLine="0"/>
        <w:jc w:val="left"/>
      </w:pPr>
      <w:r>
        <w:rPr>
          <w:rFonts w:ascii="Times New Roman" w:cs="Times New Roman" w:eastAsia="Times New Roman" w:hAnsi="Times New Roman"/>
          <w:sz w:val="28"/>
          <w:szCs w:val="28"/>
        </w:rPr>
        <w:t xml:space="preserve">	</w:t>
      </w:r>
      <m:oMath xmlns:m="http://schemas.openxmlformats.org/officeDocument/2006/math" xmlns:w="http://schemas.openxmlformats.org/wordprocessingml/2006/main">
        <m:r>
          <w:rPr>
            <w:rFonts w:ascii="Cambria Math" w:hAnsi="Cambria Math"/>
            <w:i/>
            <w:sz w:val="28"/>
            <w:szCs w:val="28"/>
          </w:rPr>
          <m:t xml:space="preserve">G</m:t>
        </m:r>
        <m:r>
          <m:rPr>
            <m:sty m:val="p"/>
          </m:rPr>
          <w:rPr>
            <w:rFonts w:ascii="Cambria Math" w:hAnsi="Cambria Math"/>
            <w:i w:val="0"/>
            <w:sz w:val="28"/>
            <w:szCs w:val="28"/>
          </w:rPr>
          <m:t xml:space="preserve">·</m:t>
        </m:r>
        <m:r>
          <w:rPr>
            <w:rFonts w:ascii="Cambria Math" w:hAnsi="Cambria Math"/>
            <w:i/>
            <w:sz w:val="28"/>
            <w:szCs w:val="28"/>
          </w:rPr>
          <m:t xml:space="preserve">k</m:t>
        </m:r>
        <m:r>
          <m:rPr>
            <m:sty m:val="p"/>
          </m:rPr>
          <w:rPr>
            <w:rFonts w:ascii="Cambria Math" w:hAnsi="Cambria Math"/>
            <w:i w:val="0"/>
            <w:sz w:val="28"/>
            <w:szCs w:val="28"/>
          </w:rPr>
          <m:t xml:space="preserve">·</m:t>
        </m:r>
        <m:sSup>
          <m:e>
            <m:r>
              <m:rPr>
                <m:sty m:val="p"/>
              </m:rPr>
              <w:rPr>
                <w:rFonts w:ascii="Cambria Math" w:hAnsi="Cambria Math"/>
                <w:i w:val="0"/>
                <w:sz w:val="28"/>
                <w:szCs w:val="28"/>
              </w:rPr>
              <m:t xml:space="preserve">e</m:t>
            </m:r>
          </m:e>
          <m:sup>
            <m:r>
              <m:rPr>
                <m:sty m:val="p"/>
              </m:rPr>
              <w:rPr>
                <w:rFonts w:ascii="Cambria Math" w:hAnsi="Cambria Math"/>
                <w:i w:val="0"/>
                <w:sz w:val="28"/>
                <w:szCs w:val="28"/>
              </w:rPr>
              <m:t xml:space="preserve">−</m:t>
            </m:r>
            <m:r>
              <w:rPr>
                <w:rFonts w:ascii="Cambria Math" w:hAnsi="Cambria Math"/>
                <w:i/>
                <w:sz w:val="28"/>
                <w:szCs w:val="28"/>
              </w:rPr>
              <m:t xml:space="preserve">k</m:t>
            </m:r>
            <m:r>
              <m:rPr>
                <m:sty m:val="p"/>
              </m:rPr>
              <w:rPr>
                <w:rFonts w:ascii="Cambria Math" w:hAnsi="Cambria Math"/>
                <w:i w:val="0"/>
                <w:sz w:val="28"/>
                <w:szCs w:val="28"/>
              </w:rPr>
              <m:t xml:space="preserve">·</m:t>
            </m:r>
            <m:sSup>
              <m:e>
                <m:r>
                  <w:rPr>
                    <w:rFonts w:ascii="Cambria Math" w:hAnsi="Cambria Math"/>
                    <w:i/>
                    <w:sz w:val="28"/>
                    <w:szCs w:val="28"/>
                  </w:rPr>
                  <m:t xml:space="preserve">C</m:t>
                </m:r>
              </m:e>
              <m:sup>
                <m:r>
                  <m:rPr>
                    <m:sty m:val="p"/>
                  </m:rPr>
                  <w:rPr>
                    <w:rFonts w:ascii="Cambria Math" w:hAnsi="Cambria Math"/>
                    <w:i w:val="0"/>
                    <w:sz w:val="28"/>
                    <w:szCs w:val="28"/>
                  </w:rPr>
                  <m:t xml:space="preserve">*</m:t>
                </m:r>
              </m:sup>
            </m:sSup>
          </m:sup>
        </m:sSup>
        <m:r>
          <m:rPr>
            <m:sty m:val="p"/>
          </m:rPr>
          <w:rPr>
            <w:rFonts w:ascii="Cambria Math" w:hAnsi="Cambria Math"/>
            <w:i w:val="0"/>
            <w:sz w:val="28"/>
            <w:szCs w:val="28"/>
          </w:rPr>
          <m:t xml:space="preserve"> = 2</m:t>
        </m:r>
        <m:r>
          <w:rPr>
            <w:rFonts w:ascii="Cambria Math" w:hAnsi="Cambria Math"/>
            <w:i/>
            <w:sz w:val="28"/>
            <w:szCs w:val="28"/>
          </w:rPr>
          <m:t xml:space="preserve">τ</m:t>
        </m:r>
        <m:r>
          <m:rPr>
            <m:sty m:val="p"/>
          </m:rPr>
          <w:rPr>
            <w:rFonts w:ascii="Cambria Math" w:hAnsi="Cambria Math"/>
            <w:i w:val="0"/>
            <w:sz w:val="28"/>
            <w:szCs w:val="28"/>
          </w:rPr>
          <m:t xml:space="preserve">·</m:t>
        </m:r>
        <m:sSup>
          <m:e>
            <m:r>
              <w:rPr>
                <w:rFonts w:ascii="Cambria Math" w:hAnsi="Cambria Math"/>
                <w:i/>
                <w:sz w:val="28"/>
                <w:szCs w:val="28"/>
              </w:rPr>
              <m:t xml:space="preserve">C</m:t>
            </m:r>
          </m:e>
          <m:sup>
            <m:r>
              <m:rPr>
                <m:sty m:val="p"/>
              </m:rPr>
              <w:rPr>
                <w:rFonts w:ascii="Cambria Math" w:hAnsi="Cambria Math"/>
                <w:i w:val="0"/>
                <w:sz w:val="28"/>
                <w:szCs w:val="28"/>
              </w:rPr>
              <m:t xml:space="preserve">*</m:t>
            </m:r>
          </m:sup>
        </m:sSup>
      </m:oMath>
      <w:r>
        <w:rPr>
          <w:rFonts w:ascii="Times New Roman" w:cs="Times New Roman" w:eastAsia="Times New Roman" w:hAnsi="Times New Roman"/>
          <w:sz w:val="28"/>
          <w:szCs w:val="28"/>
        </w:rPr>
        <w:t xml:space="preserve">	(2.13)</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где C\* — экономически оптимальная связность; левая часть — предельный валовой эффект, правая — предельные издержки связности; остальные обозначения те же, что в (2.12).</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Уравнение (2.13) не имеет решения в элементарных функциях и решается численно. Сопоставление двух режимов выполнено на рисунке 2.3: без платформы при k = 5 и τ = 2000 млн руб. и с платформой, которая ускоряет реализацию эффекта (k = 7) и снижает удорожание связей (τ = 1200 млн руб.). Валовой потенциал G принят равным 400 млн руб., что соответствует округлённой валовой экономии верхнего сценария, T</w:t>
      </w:r>
      <w:r>
        <w:rPr>
          <w:rFonts w:ascii="Times New Roman" w:cs="Times New Roman" w:eastAsia="Times New Roman" w:hAnsi="Times New Roman"/>
          <w:b w:val="false"/>
          <w:bCs w:val="false"/>
          <w:i w:val="false"/>
          <w:iCs w:val="false"/>
          <w:sz w:val="28"/>
          <w:szCs w:val="28"/>
          <w:vertAlign w:val="subscript"/>
        </w:rPr>
        <w:t xml:space="preserve">0</w:t>
      </w:r>
      <w:r>
        <w:rPr>
          <w:rFonts w:ascii="Times New Roman" w:cs="Times New Roman" w:eastAsia="Times New Roman" w:hAnsi="Times New Roman"/>
          <w:b w:val="false"/>
          <w:bCs w:val="false"/>
          <w:i w:val="false"/>
          <w:iCs w:val="false"/>
          <w:sz w:val="28"/>
          <w:szCs w:val="28"/>
        </w:rPr>
        <w:t xml:space="preserve"> = 30 млн руб.</w:t>
      </w:r>
    </w:p>
    <w:p>
      <w:pPr>
        <w:keepNext/>
        <w:jc w:val="center"/>
      </w:pPr>
      <w:r>
        <w:drawing>
          <wp:inline distT="0" distB="0" distL="0" distR="0">
            <wp:extent cx="5715000" cy="3533775"/>
            <wp:effectExtent t="0" r="0" b="0" l="0"/>
            <wp:docPr id="1" name="fig2_3.svg" descr="fig2_3.svg" title="fig2_3.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extLst>
                        <a:ext uri="{96DAC541-7B7A-43D3-8B79-37D633B846F1}">
                          <asvg:svgBlip xmlns:asvg="http://schemas.microsoft.com/office/drawing/2016/SVG/main" r:embed="rId12"/>
                        </a:ext>
                      </a:extLst>
                    </a:blip>
                    <a:srcRect/>
                    <a:stretch>
                      <a:fillRect/>
                    </a:stretch>
                  </pic:blipFill>
                  <pic:spPr bwMode="auto">
                    <a:xfrm>
                      <a:off x="0" y="0"/>
                      <a:ext cx="5715000" cy="3533775"/>
                    </a:xfrm>
                    <a:prstGeom prst="rect">
                      <a:avLst/>
                    </a:prstGeom>
                  </pic:spPr>
                </pic:pic>
              </a:graphicData>
            </a:graphic>
          </wp:inline>
        </w:drawing>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8"/>
          <w:szCs w:val="28"/>
        </w:rPr>
        <w:t xml:space="preserve">Рисунок 2.3 – Экономически оптимальная связность сети без платформы и с платформой</w:t>
      </w:r>
    </w:p>
    <w:p>
      <w:pPr>
        <w:keepNext w:val="false"/>
        <w:spacing w:after="0" w:before="0" w:line="360" w:lineRule="auto"/>
        <w:ind w:firstLine="0"/>
        <w:jc w:val="center"/>
      </w:pPr>
      <w:r>
        <w:rPr>
          <w:rFonts w:ascii="Times New Roman" w:cs="Times New Roman" w:eastAsia="Times New Roman" w:hAnsi="Times New Roman"/>
          <w:b w:val="false"/>
          <w:bCs w:val="false"/>
          <w:i w:val="false"/>
          <w:iCs w:val="false"/>
          <w:sz w:val="24"/>
          <w:szCs w:val="24"/>
        </w:rPr>
        <w:t xml:space="preserve">Источник: рассчитано автором по формулам (2.5), (2.12) и (2.13).</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Согласно рисунку 2.3, платформа действует через два канала одновременно. Она поднимает кривую валового эффекта и опускает кривую издержек, в результате оптимальная связность смещается с 0,19 до 0,23, а максимальный чистый результат растёт со 143 до 227 млн руб. в год. Прирост на 84 млн руб. в год и есть вклад платформы в данной условной постановке. Вывод о направлении сдвига устойчив: он сохраняется при любых G &gt; 0, если платформа увеличивает k и уменьшает τ. Величина сдвига, напротив, полностью определяется принятыми параметрами, и до их оценки по данным участников численные значения C\* не следует использовать как целевые ориентиры.</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Существенно и то, что оптимум лежит заметно ниже единицы. Попытка вовлечь в обмен все допустимые связи привела бы к тому, что издержки последних обменов превысили бы их выгоду. Целевым показателем для оператора поэтому служит не максимальная связность, а приближение к C\*, а в отчётности — величина Π, а не C</w:t>
      </w:r>
      <w:r>
        <w:rPr>
          <w:rFonts w:ascii="Times New Roman" w:cs="Times New Roman" w:eastAsia="Times New Roman" w:hAnsi="Times New Roman"/>
          <w:b w:val="false"/>
          <w:bCs w:val="false"/>
          <w:i w:val="false"/>
          <w:iCs w:val="false"/>
          <w:sz w:val="28"/>
          <w:szCs w:val="28"/>
          <w:vertAlign w:val="subscript"/>
        </w:rPr>
        <w:t xml:space="preserve">инд</w:t>
      </w:r>
      <w:r>
        <w:rPr>
          <w:rFonts w:ascii="Times New Roman" w:cs="Times New Roman" w:eastAsia="Times New Roman" w:hAnsi="Times New Roman"/>
          <w:b w:val="false"/>
          <w:bCs w:val="false"/>
          <w:i w:val="false"/>
          <w:iCs w:val="false"/>
          <w:sz w:val="28"/>
          <w:szCs w:val="28"/>
        </w:rPr>
        <w:t xml:space="preserve">.</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2.3.4. Чувствительность и вероятностная устойчивость результата</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Детерминированный расчёт отвечает на вопрос, каков эффект при заданных параметрах. Для управленческого решения важнее другой вопрос: при каких значениях параметров эффект меняет знак и насколько такие значения вероятны. Начнём с однофакторного анализа: каждый параметр или группа связанных параметров поочерёдно переводится на нижнее и верхнее значение при базовых значениях остальных. Результат показан на рисунке 2.4.</w:t>
      </w:r>
    </w:p>
    <w:p>
      <w:pPr>
        <w:keepNext/>
        <w:jc w:val="center"/>
      </w:pPr>
      <w:r>
        <w:drawing>
          <wp:inline distT="0" distB="0" distL="0" distR="0">
            <wp:extent cx="5715000" cy="3114675"/>
            <wp:effectExtent t="0" r="0" b="0" l="0"/>
            <wp:docPr id="1" name="fig2_4.svg" descr="fig2_4.svg" title="fig2_4.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extLst>
                        <a:ext uri="{96DAC541-7B7A-43D3-8B79-37D633B846F1}">
                          <asvg:svgBlip xmlns:asvg="http://schemas.microsoft.com/office/drawing/2016/SVG/main" r:embed="rId14"/>
                        </a:ext>
                      </a:extLst>
                    </a:blip>
                    <a:srcRect/>
                    <a:stretch>
                      <a:fillRect/>
                    </a:stretch>
                  </pic:blipFill>
                  <pic:spPr bwMode="auto">
                    <a:xfrm>
                      <a:off x="0" y="0"/>
                      <a:ext cx="5715000" cy="3114675"/>
                    </a:xfrm>
                    <a:prstGeom prst="rect">
                      <a:avLst/>
                    </a:prstGeom>
                  </pic:spPr>
                </pic:pic>
              </a:graphicData>
            </a:graphic>
          </wp:inline>
        </w:drawing>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8"/>
          <w:szCs w:val="28"/>
        </w:rPr>
        <w:t xml:space="preserve">Рисунок 2.4 – Чувствительность дополнительного эффекта ΔE к параметрам демонстрационного сценария</w:t>
      </w:r>
    </w:p>
    <w:p>
      <w:pPr>
        <w:keepNext w:val="false"/>
        <w:spacing w:after="0" w:before="0" w:line="360" w:lineRule="auto"/>
        <w:ind w:firstLine="0"/>
        <w:jc w:val="center"/>
      </w:pPr>
      <w:r>
        <w:rPr>
          <w:rFonts w:ascii="Times New Roman" w:cs="Times New Roman" w:eastAsia="Times New Roman" w:hAnsi="Times New Roman"/>
          <w:b w:val="false"/>
          <w:bCs w:val="false"/>
          <w:i w:val="false"/>
          <w:iCs w:val="false"/>
          <w:sz w:val="24"/>
          <w:szCs w:val="24"/>
        </w:rPr>
        <w:t xml:space="preserve">Источник: рассчитано автором по данным таблицы 2.5.</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Наибольшее влияние на ΔE оказывают экономия на вторичном сырье (±30 млн руб.), доступность теплового потока (±27 млн руб.) и затраты платформы и сделок (±21 млн руб.). Цены альтернативных ресурсов, которым в обсуждении симбиоза обычно уделяется главное внимание, оказываются на последних местах. Отсюда следует практический вывод для обследования предприятий: точность оценки определяется прежде всего данными о фактической экономии на логистике вторичного сырья, графике теплопотребления и смете платформы. Ни один параметр, изменённый в одиночку, не делает эффект отрицательным: наименьшее значение ΔE при однофакторном изменении составляет около 87 млн руб.</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Однофакторный анализ не учитывает одновременного отклонения параметров. Нижний сценарий, где все параметры приняли худшие значения, даёт ΔE = −51,8 млн руб., но совпадение всех худших значений маловероятно. Для оценки вероятности отрицательного результата проведён вероятностный анализ методом Монте-Карло: каждый параметр задан треугольным распределением с модой в базовом значении и границами в нижнем и верхнем, выполнено 20 000 испытаний. Поскольку параметры в действительности могут быть связаны (спад промышленного производства одновременно снижает объёмы всех потоков), расчёт повторён для трёх уровней корреляции ρ, заданной через общий фактор</w:t>
      </w:r>
      <w:r>
        <w:rPr>
          <w:rStyle w:val="FootnoteReference"/>
        </w:rPr>
        <w:footnoteReference w:id="10"/>
      </w:r>
      <w:r>
        <w:rPr>
          <w:rFonts w:ascii="Times New Roman" w:cs="Times New Roman" w:eastAsia="Times New Roman" w:hAnsi="Times New Roman"/>
          <w:b w:val="false"/>
          <w:bCs w:val="false"/>
          <w:i w:val="false"/>
          <w:iCs w:val="false"/>
          <w:sz w:val="28"/>
          <w:szCs w:val="28"/>
        </w:rPr>
        <w:t xml:space="preserve">.</w:t>
      </w:r>
    </w:p>
    <w:p>
      <w:pPr>
        <w:keepNext/>
        <w:spacing w:after="0" w:before="0" w:line="360" w:lineRule="auto"/>
        <w:ind w:firstLine="0"/>
        <w:jc w:val="right"/>
      </w:pPr>
      <w:r>
        <w:rPr>
          <w:rFonts w:ascii="Times New Roman" w:cs="Times New Roman" w:eastAsia="Times New Roman" w:hAnsi="Times New Roman"/>
          <w:b w:val="false"/>
          <w:bCs w:val="false"/>
          <w:i w:val="false"/>
          <w:iCs w:val="false"/>
          <w:sz w:val="28"/>
          <w:szCs w:val="28"/>
        </w:rPr>
        <w:t xml:space="preserve">Таблица 2.7</w:t>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8"/>
          <w:szCs w:val="28"/>
        </w:rPr>
        <w:t xml:space="preserve">Вероятностные характеристики дополнительного эффекта ΔE при различной корреляции параметров</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274"/>
        <w:gridCol w:w="2065"/>
        <w:gridCol w:w="1447"/>
        <w:gridCol w:w="1674"/>
        <w:gridCol w:w="1895"/>
      </w:tblGrid>
      <w:tr>
        <w:trPr>
          <w:cantSplit/>
          <w:tblHeader/>
        </w:trPr>
        <w:tc>
          <w:tcPr>
            <w:tcW w:type="dxa" w:w="227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Корреляция параметров ρ</w:t>
            </w:r>
          </w:p>
        </w:tc>
        <w:tc>
          <w:tcPr>
            <w:tcW w:type="dxa" w:w="206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Среднее ΔE, млн руб./год</w:t>
            </w:r>
          </w:p>
        </w:tc>
        <w:tc>
          <w:tcPr>
            <w:tcW w:type="dxa" w:w="144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5-й процентиль</w:t>
            </w:r>
          </w:p>
        </w:tc>
        <w:tc>
          <w:tcPr>
            <w:tcW w:type="dxa" w:w="167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95-й процентиль</w:t>
            </w:r>
          </w:p>
        </w:tc>
        <w:tc>
          <w:tcPr>
            <w:tcW w:type="dxa" w:w="189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Вероятность ΔE &gt; 0</w:t>
            </w:r>
          </w:p>
        </w:tc>
      </w:tr>
      <w:tr>
        <w:trPr>
          <w:cantSplit/>
          <w:tblHeader w:val="false"/>
        </w:trPr>
        <w:tc>
          <w:tcPr>
            <w:tcW w:type="dxa" w:w="227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0 (независимые)</w:t>
            </w:r>
          </w:p>
        </w:tc>
        <w:tc>
          <w:tcPr>
            <w:tcW w:type="dxa" w:w="206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105,9</w:t>
            </w:r>
          </w:p>
        </w:tc>
        <w:tc>
          <w:tcPr>
            <w:tcW w:type="dxa" w:w="144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68,6</w:t>
            </w:r>
          </w:p>
        </w:tc>
        <w:tc>
          <w:tcPr>
            <w:tcW w:type="dxa" w:w="167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144,5</w:t>
            </w:r>
          </w:p>
        </w:tc>
        <w:tc>
          <w:tcPr>
            <w:tcW w:type="dxa" w:w="189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&gt; 0,999</w:t>
            </w:r>
          </w:p>
        </w:tc>
      </w:tr>
      <w:tr>
        <w:trPr>
          <w:cantSplit/>
          <w:tblHeader w:val="false"/>
        </w:trPr>
        <w:tc>
          <w:tcPr>
            <w:tcW w:type="dxa" w:w="227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0,5</w:t>
            </w:r>
          </w:p>
        </w:tc>
        <w:tc>
          <w:tcPr>
            <w:tcW w:type="dxa" w:w="206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107,8</w:t>
            </w:r>
          </w:p>
        </w:tc>
        <w:tc>
          <w:tcPr>
            <w:tcW w:type="dxa" w:w="144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23,2</w:t>
            </w:r>
          </w:p>
        </w:tc>
        <w:tc>
          <w:tcPr>
            <w:tcW w:type="dxa" w:w="167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197,1</w:t>
            </w:r>
          </w:p>
        </w:tc>
        <w:tc>
          <w:tcPr>
            <w:tcW w:type="dxa" w:w="189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0,987</w:t>
            </w:r>
          </w:p>
        </w:tc>
      </w:tr>
      <w:tr>
        <w:trPr>
          <w:cantSplit/>
          <w:tblHeader w:val="false"/>
        </w:trPr>
        <w:tc>
          <w:tcPr>
            <w:tcW w:type="dxa" w:w="227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0,8</w:t>
            </w:r>
          </w:p>
        </w:tc>
        <w:tc>
          <w:tcPr>
            <w:tcW w:type="dxa" w:w="206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108,8</w:t>
            </w:r>
          </w:p>
        </w:tc>
        <w:tc>
          <w:tcPr>
            <w:tcW w:type="dxa" w:w="144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5,1</w:t>
            </w:r>
          </w:p>
        </w:tc>
        <w:tc>
          <w:tcPr>
            <w:tcW w:type="dxa" w:w="167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218,3</w:t>
            </w:r>
          </w:p>
        </w:tc>
        <w:tc>
          <w:tcPr>
            <w:tcW w:type="dxa" w:w="189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0,961</w:t>
            </w:r>
          </w:p>
        </w:tc>
      </w:tr>
    </w:tbl>
    <w:p>
      <w:pPr>
        <w:keepNext w:val="false"/>
        <w:spacing w:after="0" w:before="0" w:line="360" w:lineRule="auto"/>
        <w:ind w:firstLine="0"/>
        <w:jc w:val="left"/>
      </w:pPr>
      <w:r>
        <w:rPr>
          <w:rFonts w:ascii="Times New Roman" w:cs="Times New Roman" w:eastAsia="Times New Roman" w:hAnsi="Times New Roman"/>
          <w:b w:val="false"/>
          <w:bCs w:val="false"/>
          <w:i w:val="false"/>
          <w:iCs w:val="false"/>
          <w:sz w:val="24"/>
          <w:szCs w:val="24"/>
        </w:rPr>
        <w:t xml:space="preserve">Источник: рассчитано автором; 20 000 испытаний для каждого значения ρ, треугольные распределения по таблице 2.5.</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Данные таблицы 2.7 свидетельствуют: при независимых параметрах отрицательный эффект практически исключён. С ростом корреляции распределение расширяется, но вероятность положительного эффекта остаётся выше 0,96 даже при сильной связи параметров. Среднее значение ниже детерминированного базового (117,4 млн руб.), поскольку распределения части параметров асимметричны: худшая цена CO₂ отстоит от базовой на 2000 руб./т, а лучшая совпадает с ней.</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Вывод об устойчивости нужно ограничить. Он относится к принятому диапазону параметров и не переносится на ситуацию, когда фактические значения выйдут за его пределы, например если доступность тепла окажется близкой к нулю или вложения в платформу удвоятся. Поэтому результат таблицы 2.7 формулируется как опровержимое утверждение: если обследование предприятий покажет, что фактическая экономия на вторичном сырье ниже 1000 руб./т, а доступность тепла ниже 0,3, оценка эффекта должна быть пересмотрена, и вероятность убытка вырастет. Методологически это соответствует требованию глобального анализа чувствительности: вывод об устойчивости модели имеет смысл только вместе с явно заданной областью значений входных параметров.</w:t>
      </w:r>
      <w:r>
        <w:rPr>
          <w:rFonts w:ascii="Times New Roman" w:cs="Times New Roman" w:eastAsia="Times New Roman" w:hAnsi="Times New Roman"/>
          <w:b w:val="false"/>
          <w:bCs w:val="false"/>
          <w:i w:val="false"/>
          <w:iCs w:val="false"/>
          <w:sz w:val="28"/>
          <w:szCs w:val="28"/>
        </w:rPr>
        <w:t xml:space="preserve"> Распределения параметров, оцениваемых по аналогам, уточнены в § 3.1 и используются в имитационных расчётах главы 3.</w:t>
      </w:r>
    </w:p>
    <w:p>
      <w:pPr>
        <w:keepNext/>
        <w:spacing w:after="0" w:before="0" w:line="360" w:lineRule="auto"/>
      </w:pPr>
    </w:p>
    <w:p>
      <w:pPr>
        <w:pStyle w:val="Heading2"/>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2.4. Договорная цена симбиотического ресурса</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2.4.1. Цена обмена как условие участия</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Из § 2.3 следует, что цена обмена не меняет величину созданного эффекта. Она определяет, как этот эффект делится между поставщиком и потребителем, и тем самым решает, захочет ли каждый из них участвовать. При слишком низкой цене поставщику выгоднее сбросить тепло в градирню или выпустить CO₂ в атмосферу, при слишком высокой потребитель предпочтёт прежний источник ресурса. Цена, приемлемая для обоих, существует только внутри коридора, границы которого задаются альтернативами сторон.</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 литературе цену передачи ресурса между подразделениями или аффилированными компаниями называют трансфертной. Для экоплатформы этот термин неточен. Большинство пар участников в Невинномысске не являются взаимозависимыми лицами в смысле налогового законодательства, и их сделки — обычные коммерческие договоры, а контроль цен по правилам раздела V.1 Налогового кодекса к ним не применяется </w:t>
      </w:r>
      <w:r>
        <w:rPr>
          <w:rFonts w:ascii="Times New Roman" w:cs="Times New Roman" w:eastAsia="Times New Roman" w:hAnsi="Times New Roman"/>
          <w:b w:val="false"/>
          <w:bCs w:val="false"/>
          <w:i w:val="false"/>
          <w:iCs w:val="false"/>
          <w:sz w:val="28"/>
          <w:szCs w:val="28"/>
        </w:rPr>
        <w:t xml:space="preserve">[1]</w:t>
      </w:r>
      <w:r>
        <w:rPr>
          <w:rFonts w:ascii="Times New Roman" w:cs="Times New Roman" w:eastAsia="Times New Roman" w:hAnsi="Times New Roman"/>
          <w:b w:val="false"/>
          <w:bCs w:val="false"/>
          <w:i w:val="false"/>
          <w:iCs w:val="false"/>
          <w:sz w:val="28"/>
          <w:szCs w:val="28"/>
        </w:rPr>
        <w:t xml:space="preserve">. Для тех пар, которые входят в одну группу, действует принцип «вытянутой руки», согласно которому цена должна соответствовать условиям сделки между независимыми лицами </w:t>
      </w:r>
      <w:r>
        <w:rPr>
          <w:rFonts w:ascii="Times New Roman" w:cs="Times New Roman" w:eastAsia="Times New Roman" w:hAnsi="Times New Roman"/>
          <w:b w:val="false"/>
          <w:bCs w:val="false"/>
          <w:i w:val="false"/>
          <w:iCs w:val="false"/>
          <w:sz w:val="28"/>
          <w:szCs w:val="28"/>
        </w:rPr>
        <w:t xml:space="preserve">[66]</w:t>
      </w:r>
      <w:r>
        <w:rPr>
          <w:rFonts w:ascii="Times New Roman" w:cs="Times New Roman" w:eastAsia="Times New Roman" w:hAnsi="Times New Roman"/>
          <w:b w:val="false"/>
          <w:bCs w:val="false"/>
          <w:i w:val="false"/>
          <w:iCs w:val="false"/>
          <w:sz w:val="28"/>
          <w:szCs w:val="28"/>
        </w:rPr>
        <w:t xml:space="preserve">. Поэтому в работе используется термин «договорная цена симбиотического ресурса», охватывающий оба случая.</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Экономическая теория трансфертного ценообразования даёт полезный ориентир. Дж. Хиршлейфер показал, что при отсутствии внешнего рынка промежуточного продукта цена передачи, максимизирующая совокупную прибыль, равна предельным затратам поставщика, а при наличии конкурентного внешнего рынка — рыночной цене</w:t>
      </w:r>
      <w:r>
        <w:rPr>
          <w:rStyle w:val="FootnoteReference"/>
        </w:rPr>
        <w:footnoteReference w:id="11"/>
      </w:r>
      <w:r>
        <w:rPr>
          <w:rFonts w:ascii="Times New Roman" w:cs="Times New Roman" w:eastAsia="Times New Roman" w:hAnsi="Times New Roman"/>
          <w:b w:val="false"/>
          <w:bCs w:val="false"/>
          <w:i w:val="false"/>
          <w:iCs w:val="false"/>
          <w:sz w:val="28"/>
          <w:szCs w:val="28"/>
        </w:rPr>
        <w:t xml:space="preserve">. Симбиотические ресурсы занимают промежуточное положение: для вторичного сырья внешний рынок есть, для низкопотенциального тепла его нет, а для CO₂ рынок существует, но сопоставимость качества и логистики ограничена. Отсюда следует, что единого метода цены для экоплатформы быть не может, и задача состоит в правиле выбора метода для каждого класса ресурса.</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2.4.2. Коридор взаимной выгоды и методы определения цены</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Нижняя граница коридора определяется полными дополнительными затратами поставщика и тем, что он теряет, отказываясь от лучшего альтернативного использования ресурса. Верхняя граница — альтернативной стоимостью ресурса для потребителя за вычетом его собственных затрат на подготовку к приёму:</w:t>
      </w:r>
    </w:p>
    <w:p>
      <w:pPr>
        <w:tabs>
          <w:tab w:val="center" w:pos="4678"/>
          <w:tab w:val="right" w:pos="9355"/>
        </w:tabs>
        <w:spacing w:after="0" w:before="0" w:line="360" w:lineRule="auto"/>
        <w:ind w:firstLine="0"/>
        <w:jc w:val="left"/>
      </w:pPr>
      <w:r>
        <w:rPr>
          <w:rFonts w:ascii="Times New Roman" w:cs="Times New Roman" w:eastAsia="Times New Roman" w:hAnsi="Times New Roman"/>
          <w:sz w:val="28"/>
          <w:szCs w:val="28"/>
        </w:rPr>
        <w:t xml:space="preserve">	</w:t>
      </w:r>
      <m:oMath xmlns:m="http://schemas.openxmlformats.org/officeDocument/2006/math" xmlns:w="http://schemas.openxmlformats.org/wordprocessingml/2006/main">
        <m:sSub>
          <m:e>
            <m:r>
              <w:rPr>
                <w:rFonts w:ascii="Cambria Math" w:hAnsi="Cambria Math"/>
                <w:i/>
                <w:sz w:val="28"/>
                <w:szCs w:val="28"/>
              </w:rPr>
              <m:t xml:space="preserve">p</m:t>
            </m:r>
          </m:e>
          <m:sub>
            <m:r>
              <m:rPr>
                <m:sty m:val="p"/>
              </m:rPr>
              <w:rPr>
                <w:rFonts w:ascii="Cambria Math" w:hAnsi="Cambria Math"/>
                <w:i w:val="0"/>
                <w:sz w:val="28"/>
                <w:szCs w:val="28"/>
              </w:rPr>
              <m:t xml:space="preserve">min</m:t>
            </m:r>
          </m:sub>
        </m:sSub>
        <m:r>
          <m:rPr>
            <m:sty m:val="p"/>
          </m:rPr>
          <w:rPr>
            <w:rFonts w:ascii="Cambria Math" w:hAnsi="Cambria Math"/>
            <w:i w:val="0"/>
            <w:sz w:val="28"/>
            <w:szCs w:val="28"/>
          </w:rPr>
          <m:t xml:space="preserve"> = </m:t>
        </m:r>
        <m:sSub>
          <m:e>
            <m:r>
              <w:rPr>
                <w:rFonts w:ascii="Cambria Math" w:hAnsi="Cambria Math"/>
                <w:i/>
                <w:sz w:val="28"/>
                <w:szCs w:val="28"/>
              </w:rPr>
              <m:t xml:space="preserve">c</m:t>
            </m:r>
          </m:e>
          <m:sub>
            <m:r>
              <w:rPr>
                <w:rFonts w:ascii="Cambria Math" w:hAnsi="Cambria Math"/>
                <w:i/>
                <w:sz w:val="28"/>
                <w:szCs w:val="28"/>
              </w:rPr>
              <m:t xml:space="preserve">ij</m:t>
            </m:r>
          </m:sub>
        </m:sSub>
        <m:r>
          <m:rPr>
            <m:sty m:val="p"/>
          </m:rPr>
          <w:rPr>
            <w:rFonts w:ascii="Cambria Math" w:hAnsi="Cambria Math"/>
            <w:i w:val="0"/>
            <w:sz w:val="28"/>
            <w:szCs w:val="28"/>
          </w:rPr>
          <m:t xml:space="preserve"> + </m:t>
        </m:r>
        <m:sSub>
          <m:e>
            <m:r>
              <w:rPr>
                <w:rFonts w:ascii="Cambria Math" w:hAnsi="Cambria Math"/>
                <w:i/>
                <w:sz w:val="28"/>
                <w:szCs w:val="28"/>
              </w:rPr>
              <m:t xml:space="preserve">o</m:t>
            </m:r>
          </m:e>
          <m:sub>
            <m:r>
              <w:rPr>
                <w:rFonts w:ascii="Cambria Math" w:hAnsi="Cambria Math"/>
                <w:i/>
                <w:sz w:val="28"/>
                <w:szCs w:val="28"/>
              </w:rPr>
              <m:t xml:space="preserve">i</m:t>
            </m:r>
          </m:sub>
        </m:sSub>
        <m:r>
          <m:rPr>
            <m:sty m:val="p"/>
          </m:rPr>
          <w:rPr>
            <w:rFonts w:ascii="Cambria Math" w:hAnsi="Cambria Math"/>
            <w:i w:val="0"/>
            <w:sz w:val="28"/>
            <w:szCs w:val="28"/>
          </w:rPr>
          <m:t xml:space="preserve"> ≤ </m:t>
        </m:r>
        <m:sSub>
          <m:e>
            <m:r>
              <w:rPr>
                <w:rFonts w:ascii="Cambria Math" w:hAnsi="Cambria Math"/>
                <w:i/>
                <w:sz w:val="28"/>
                <w:szCs w:val="28"/>
              </w:rPr>
              <m:t xml:space="preserve">p</m:t>
            </m:r>
          </m:e>
          <m:sub>
            <m:r>
              <w:rPr>
                <w:rFonts w:ascii="Cambria Math" w:hAnsi="Cambria Math"/>
                <w:i/>
                <w:sz w:val="28"/>
                <w:szCs w:val="28"/>
              </w:rPr>
              <m:t xml:space="preserve">ij</m:t>
            </m:r>
          </m:sub>
        </m:sSub>
        <m:r>
          <m:rPr>
            <m:sty m:val="p"/>
          </m:rPr>
          <w:rPr>
            <w:rFonts w:ascii="Cambria Math" w:hAnsi="Cambria Math"/>
            <w:i w:val="0"/>
            <w:sz w:val="28"/>
            <w:szCs w:val="28"/>
          </w:rPr>
          <m:t xml:space="preserve"> ≤ </m:t>
        </m:r>
        <m:sSub>
          <m:e>
            <m:r>
              <w:rPr>
                <w:rFonts w:ascii="Cambria Math" w:hAnsi="Cambria Math"/>
                <w:i/>
                <w:sz w:val="28"/>
                <w:szCs w:val="28"/>
              </w:rPr>
              <m:t xml:space="preserve">p</m:t>
            </m:r>
          </m:e>
          <m:sub>
            <m:r>
              <m:rPr>
                <m:sty m:val="p"/>
              </m:rPr>
              <w:rPr>
                <w:rFonts w:ascii="Cambria Math" w:hAnsi="Cambria Math"/>
                <w:i w:val="0"/>
                <w:sz w:val="28"/>
                <w:szCs w:val="28"/>
              </w:rPr>
              <m:t xml:space="preserve">max</m:t>
            </m:r>
          </m:sub>
        </m:sSub>
        <m:r>
          <m:rPr>
            <m:sty m:val="p"/>
          </m:rPr>
          <w:rPr>
            <w:rFonts w:ascii="Cambria Math" w:hAnsi="Cambria Math"/>
            <w:i w:val="0"/>
            <w:sz w:val="28"/>
            <w:szCs w:val="28"/>
          </w:rPr>
          <m:t xml:space="preserve"> = </m:t>
        </m:r>
        <m:sSub>
          <m:e>
            <m:r>
              <w:rPr>
                <w:rFonts w:ascii="Cambria Math" w:hAnsi="Cambria Math"/>
                <w:i/>
                <w:sz w:val="28"/>
                <w:szCs w:val="28"/>
              </w:rPr>
              <m:t xml:space="preserve">p</m:t>
            </m:r>
          </m:e>
          <m:sub>
            <m:r>
              <m:rPr>
                <m:sty m:val="p"/>
              </m:rPr>
              <w:rPr>
                <w:rFonts w:ascii="Cambria Math" w:hAnsi="Cambria Math"/>
                <w:i w:val="0"/>
                <w:sz w:val="28"/>
                <w:szCs w:val="28"/>
              </w:rPr>
              <m:t xml:space="preserve">альт,</m:t>
            </m:r>
            <m:r>
              <w:rPr>
                <w:rFonts w:ascii="Cambria Math" w:hAnsi="Cambria Math"/>
                <w:i/>
                <w:sz w:val="28"/>
                <w:szCs w:val="28"/>
              </w:rPr>
              <m:t xml:space="preserve">j</m:t>
            </m:r>
          </m:sub>
        </m:sSub>
        <m:r>
          <m:rPr>
            <m:sty m:val="p"/>
          </m:rPr>
          <w:rPr>
            <w:rFonts w:ascii="Cambria Math" w:hAnsi="Cambria Math"/>
            <w:i w:val="0"/>
            <w:sz w:val="28"/>
            <w:szCs w:val="28"/>
          </w:rPr>
          <m:t xml:space="preserve"> − </m:t>
        </m:r>
        <m:sSub>
          <m:e>
            <m:r>
              <w:rPr>
                <w:rFonts w:ascii="Cambria Math" w:hAnsi="Cambria Math"/>
                <w:i/>
                <w:sz w:val="28"/>
                <w:szCs w:val="28"/>
              </w:rPr>
              <m:t xml:space="preserve">c</m:t>
            </m:r>
          </m:e>
          <m:sub>
            <m:r>
              <m:rPr>
                <m:sty m:val="p"/>
              </m:rPr>
              <w:rPr>
                <w:rFonts w:ascii="Cambria Math" w:hAnsi="Cambria Math"/>
                <w:i w:val="0"/>
                <w:sz w:val="28"/>
                <w:szCs w:val="28"/>
              </w:rPr>
              <m:t xml:space="preserve">подг,</m:t>
            </m:r>
            <m:r>
              <w:rPr>
                <w:rFonts w:ascii="Cambria Math" w:hAnsi="Cambria Math"/>
                <w:i/>
                <w:sz w:val="28"/>
                <w:szCs w:val="28"/>
              </w:rPr>
              <m:t xml:space="preserve">j</m:t>
            </m:r>
          </m:sub>
        </m:sSub>
      </m:oMath>
      <w:r>
        <w:rPr>
          <w:rFonts w:ascii="Times New Roman" w:cs="Times New Roman" w:eastAsia="Times New Roman" w:hAnsi="Times New Roman"/>
          <w:sz w:val="28"/>
          <w:szCs w:val="28"/>
        </w:rPr>
        <w:t xml:space="preserve">	(2.14)</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где p</w:t>
      </w:r>
      <w:r>
        <w:rPr>
          <w:rFonts w:ascii="Times New Roman" w:cs="Times New Roman" w:eastAsia="Times New Roman" w:hAnsi="Times New Roman"/>
          <w:b w:val="false"/>
          <w:bCs w:val="false"/>
          <w:i w:val="false"/>
          <w:iCs w:val="false"/>
          <w:sz w:val="28"/>
          <w:szCs w:val="28"/>
          <w:vertAlign w:val="subscript"/>
        </w:rPr>
        <w:t xml:space="preserve">min</w:t>
      </w:r>
      <w:r>
        <w:rPr>
          <w:rFonts w:ascii="Times New Roman" w:cs="Times New Roman" w:eastAsia="Times New Roman" w:hAnsi="Times New Roman"/>
          <w:b w:val="false"/>
          <w:bCs w:val="false"/>
          <w:i w:val="false"/>
          <w:iCs w:val="false"/>
          <w:sz w:val="28"/>
          <w:szCs w:val="28"/>
        </w:rPr>
        <w:t xml:space="preserve"> — минимально приемлемая для поставщика цена единицы ресурса; c</w:t>
      </w:r>
      <w:r>
        <w:rPr>
          <w:rFonts w:ascii="Times New Roman" w:cs="Times New Roman" w:eastAsia="Times New Roman" w:hAnsi="Times New Roman"/>
          <w:b w:val="false"/>
          <w:bCs w:val="false"/>
          <w:i w:val="false"/>
          <w:iCs w:val="false"/>
          <w:sz w:val="28"/>
          <w:szCs w:val="28"/>
          <w:vertAlign w:val="subscript"/>
        </w:rPr>
        <w:t xml:space="preserve">ij</w:t>
      </w:r>
      <w:r>
        <w:rPr>
          <w:rFonts w:ascii="Times New Roman" w:cs="Times New Roman" w:eastAsia="Times New Roman" w:hAnsi="Times New Roman"/>
          <w:b w:val="false"/>
          <w:bCs w:val="false"/>
          <w:i w:val="false"/>
          <w:iCs w:val="false"/>
          <w:sz w:val="28"/>
          <w:szCs w:val="28"/>
        </w:rPr>
        <w:t xml:space="preserve"> — дополнительные затраты поставщика i на подготовку и передачу ресурса потребителю j, включая приходящуюся на единицу долю капитальных вложений, если их несёт поставщик; o</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 — альтернативная стоимость ресурса для поставщика (выручка от лучшего иного использования, для сбрасываемых потоков равна нулю); p</w:t>
      </w:r>
      <w:r>
        <w:rPr>
          <w:rFonts w:ascii="Times New Roman" w:cs="Times New Roman" w:eastAsia="Times New Roman" w:hAnsi="Times New Roman"/>
          <w:b w:val="false"/>
          <w:bCs w:val="false"/>
          <w:i w:val="false"/>
          <w:iCs w:val="false"/>
          <w:sz w:val="28"/>
          <w:szCs w:val="28"/>
          <w:vertAlign w:val="subscript"/>
        </w:rPr>
        <w:t xml:space="preserve">ij</w:t>
      </w:r>
      <w:r>
        <w:rPr>
          <w:rFonts w:ascii="Times New Roman" w:cs="Times New Roman" w:eastAsia="Times New Roman" w:hAnsi="Times New Roman"/>
          <w:b w:val="false"/>
          <w:bCs w:val="false"/>
          <w:i w:val="false"/>
          <w:iCs w:val="false"/>
          <w:sz w:val="28"/>
          <w:szCs w:val="28"/>
        </w:rPr>
        <w:t xml:space="preserve"> — договорная цена; p</w:t>
      </w:r>
      <w:r>
        <w:rPr>
          <w:rFonts w:ascii="Times New Roman" w:cs="Times New Roman" w:eastAsia="Times New Roman" w:hAnsi="Times New Roman"/>
          <w:b w:val="false"/>
          <w:bCs w:val="false"/>
          <w:i w:val="false"/>
          <w:iCs w:val="false"/>
          <w:sz w:val="28"/>
          <w:szCs w:val="28"/>
          <w:vertAlign w:val="subscript"/>
        </w:rPr>
        <w:t xml:space="preserve">max</w:t>
      </w:r>
      <w:r>
        <w:rPr>
          <w:rFonts w:ascii="Times New Roman" w:cs="Times New Roman" w:eastAsia="Times New Roman" w:hAnsi="Times New Roman"/>
          <w:b w:val="false"/>
          <w:bCs w:val="false"/>
          <w:i w:val="false"/>
          <w:iCs w:val="false"/>
          <w:sz w:val="28"/>
          <w:szCs w:val="28"/>
        </w:rPr>
        <w:t xml:space="preserve"> — максимально приемлемая для потребителя цена; p</w:t>
      </w:r>
      <w:r>
        <w:rPr>
          <w:rFonts w:ascii="Times New Roman" w:cs="Times New Roman" w:eastAsia="Times New Roman" w:hAnsi="Times New Roman"/>
          <w:b w:val="false"/>
          <w:bCs w:val="false"/>
          <w:i w:val="false"/>
          <w:iCs w:val="false"/>
          <w:sz w:val="28"/>
          <w:szCs w:val="28"/>
          <w:vertAlign w:val="subscript"/>
        </w:rPr>
        <w:t xml:space="preserve">альт,j</w:t>
      </w:r>
      <w:r>
        <w:rPr>
          <w:rFonts w:ascii="Times New Roman" w:cs="Times New Roman" w:eastAsia="Times New Roman" w:hAnsi="Times New Roman"/>
          <w:b w:val="false"/>
          <w:bCs w:val="false"/>
          <w:i w:val="false"/>
          <w:iCs w:val="false"/>
          <w:sz w:val="28"/>
          <w:szCs w:val="28"/>
        </w:rPr>
        <w:t xml:space="preserve"> — стоимость замещаемого ресурса для потребителя j; c</w:t>
      </w:r>
      <w:r>
        <w:rPr>
          <w:rFonts w:ascii="Times New Roman" w:cs="Times New Roman" w:eastAsia="Times New Roman" w:hAnsi="Times New Roman"/>
          <w:b w:val="false"/>
          <w:bCs w:val="false"/>
          <w:i w:val="false"/>
          <w:iCs w:val="false"/>
          <w:sz w:val="28"/>
          <w:szCs w:val="28"/>
          <w:vertAlign w:val="subscript"/>
        </w:rPr>
        <w:t xml:space="preserve">подг,j</w:t>
      </w:r>
      <w:r>
        <w:rPr>
          <w:rFonts w:ascii="Times New Roman" w:cs="Times New Roman" w:eastAsia="Times New Roman" w:hAnsi="Times New Roman"/>
          <w:b w:val="false"/>
          <w:bCs w:val="false"/>
          <w:i w:val="false"/>
          <w:iCs w:val="false"/>
          <w:sz w:val="28"/>
          <w:szCs w:val="28"/>
        </w:rPr>
        <w:t xml:space="preserve"> — затраты потребителя на подготовку к приёму ресурса, включая его долю капитальных вложений.</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Обмен реализуем по финансовому критерию, если p</w:t>
      </w:r>
      <w:r>
        <w:rPr>
          <w:rFonts w:ascii="Times New Roman" w:cs="Times New Roman" w:eastAsia="Times New Roman" w:hAnsi="Times New Roman"/>
          <w:b w:val="false"/>
          <w:bCs w:val="false"/>
          <w:i w:val="false"/>
          <w:iCs w:val="false"/>
          <w:sz w:val="28"/>
          <w:szCs w:val="28"/>
          <w:vertAlign w:val="subscript"/>
        </w:rPr>
        <w:t xml:space="preserve">min</w:t>
      </w:r>
      <w:r>
        <w:rPr>
          <w:rFonts w:ascii="Times New Roman" w:cs="Times New Roman" w:eastAsia="Times New Roman" w:hAnsi="Times New Roman"/>
          <w:b w:val="false"/>
          <w:bCs w:val="false"/>
          <w:i w:val="false"/>
          <w:iCs w:val="false"/>
          <w:sz w:val="28"/>
          <w:szCs w:val="28"/>
        </w:rPr>
        <w:t xml:space="preserve"> ≤ p</w:t>
      </w:r>
      <w:r>
        <w:rPr>
          <w:rFonts w:ascii="Times New Roman" w:cs="Times New Roman" w:eastAsia="Times New Roman" w:hAnsi="Times New Roman"/>
          <w:b w:val="false"/>
          <w:bCs w:val="false"/>
          <w:i w:val="false"/>
          <w:iCs w:val="false"/>
          <w:sz w:val="28"/>
          <w:szCs w:val="28"/>
          <w:vertAlign w:val="subscript"/>
        </w:rPr>
        <w:t xml:space="preserve">max</w:t>
      </w:r>
      <w:r>
        <w:rPr>
          <w:rFonts w:ascii="Times New Roman" w:cs="Times New Roman" w:eastAsia="Times New Roman" w:hAnsi="Times New Roman"/>
          <w:b w:val="false"/>
          <w:bCs w:val="false"/>
          <w:i w:val="false"/>
          <w:iCs w:val="false"/>
          <w:sz w:val="28"/>
          <w:szCs w:val="28"/>
        </w:rPr>
        <w:t xml:space="preserve">, то есть если коридор непуст; этим условием определяется индикатор I</w:t>
      </w:r>
      <w:r>
        <w:rPr>
          <w:rFonts w:ascii="Times New Roman" w:cs="Times New Roman" w:eastAsia="Times New Roman" w:hAnsi="Times New Roman"/>
          <w:b w:val="false"/>
          <w:bCs w:val="false"/>
          <w:i w:val="false"/>
          <w:iCs w:val="false"/>
          <w:sz w:val="28"/>
          <w:szCs w:val="28"/>
          <w:vertAlign w:val="subscript"/>
        </w:rPr>
        <w:t xml:space="preserve">фин</w:t>
      </w:r>
      <w:r>
        <w:rPr>
          <w:rFonts w:ascii="Times New Roman" w:cs="Times New Roman" w:eastAsia="Times New Roman" w:hAnsi="Times New Roman"/>
          <w:b w:val="false"/>
          <w:bCs w:val="false"/>
          <w:i w:val="false"/>
          <w:iCs w:val="false"/>
          <w:sz w:val="28"/>
          <w:szCs w:val="28"/>
        </w:rPr>
        <w:t xml:space="preserve"> в формуле (2.2). Ширина коридора, умноженная на объём, равна чистому эффекту обмена до вычета общих затрат платформы. Положение цены внутри коридора определяет раздел этого эффекта. При равной переговорной силе решение Нэша для задачи двусторонней торговли помещает цену в середину коридора</w:t>
      </w:r>
      <w:r>
        <w:rPr>
          <w:rStyle w:val="FootnoteReference"/>
        </w:rPr>
        <w:footnoteReference w:id="12"/>
      </w:r>
      <w:r>
        <w:rPr>
          <w:rFonts w:ascii="Times New Roman" w:cs="Times New Roman" w:eastAsia="Times New Roman" w:hAnsi="Times New Roman"/>
          <w:b w:val="false"/>
          <w:bCs w:val="false"/>
          <w:i w:val="false"/>
          <w:iCs w:val="false"/>
          <w:sz w:val="28"/>
          <w:szCs w:val="28"/>
        </w:rPr>
        <w:t xml:space="preserve">, а при неравной цена смещается к границе, выгодной более сильной стороне.</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При отсутствии коридора положительный общественный, в том числе экологический, эффект не делает сделку коммерчески осуществимой. Субсидирование такого обмена может быть оправдано, но решение о нём принимается за пределами ценового механизма, с учётом бюджетных ограничений и действующих правил предоставления государственной поддержки.</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Выбор точки внутри коридора опирается на один из пяти методов, перечисленных в таблице 2.8. Каждый метод использует собственное основание и несёт собственный риск.</w:t>
      </w:r>
    </w:p>
    <w:p>
      <w:pPr>
        <w:keepNext/>
        <w:spacing w:after="0" w:before="0" w:line="360" w:lineRule="auto"/>
        <w:ind w:firstLine="0"/>
        <w:jc w:val="right"/>
      </w:pPr>
      <w:r>
        <w:rPr>
          <w:rFonts w:ascii="Times New Roman" w:cs="Times New Roman" w:eastAsia="Times New Roman" w:hAnsi="Times New Roman"/>
          <w:b w:val="false"/>
          <w:bCs w:val="false"/>
          <w:i w:val="false"/>
          <w:iCs w:val="false"/>
          <w:sz w:val="28"/>
          <w:szCs w:val="28"/>
        </w:rPr>
        <w:t xml:space="preserve">Таблица 2.8</w:t>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8"/>
          <w:szCs w:val="28"/>
        </w:rPr>
        <w:t xml:space="preserve">Методы определения договорной цены симбиотического ресурса</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449"/>
        <w:gridCol w:w="1868"/>
        <w:gridCol w:w="2039"/>
        <w:gridCol w:w="1848"/>
        <w:gridCol w:w="2151"/>
      </w:tblGrid>
      <w:tr>
        <w:trPr>
          <w:cantSplit/>
          <w:tblHeader/>
        </w:trPr>
        <w:tc>
          <w:tcPr>
            <w:tcW w:type="dxa" w:w="144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Метод</w:t>
            </w:r>
          </w:p>
        </w:tc>
        <w:tc>
          <w:tcPr>
            <w:tcW w:type="dxa" w:w="18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Формула цены</w:t>
            </w:r>
          </w:p>
        </w:tc>
        <w:tc>
          <w:tcPr>
            <w:tcW w:type="dxa" w:w="203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Основание</w:t>
            </w:r>
          </w:p>
        </w:tc>
        <w:tc>
          <w:tcPr>
            <w:tcW w:type="dxa" w:w="184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Сфера применения</w:t>
            </w:r>
          </w:p>
        </w:tc>
        <w:tc>
          <w:tcPr>
            <w:tcW w:type="dxa" w:w="21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Основной риск</w:t>
            </w:r>
          </w:p>
        </w:tc>
      </w:tr>
      <w:tr>
        <w:trPr>
          <w:cantSplit/>
          <w:tblHeader w:val="false"/>
        </w:trPr>
        <w:tc>
          <w:tcPr>
            <w:tcW w:type="dxa" w:w="144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Затраты плюс (CP)</w:t>
            </w:r>
          </w:p>
        </w:tc>
        <w:tc>
          <w:tcPr>
            <w:tcW w:type="dxa" w:w="186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p = C</w:t>
            </w:r>
            <w:r>
              <w:rPr>
                <w:rFonts w:ascii="Times New Roman" w:cs="Times New Roman" w:eastAsia="Times New Roman" w:hAnsi="Times New Roman"/>
                <w:b w:val="false"/>
                <w:bCs w:val="false"/>
                <w:i w:val="false"/>
                <w:iCs w:val="false"/>
                <w:sz w:val="24"/>
                <w:szCs w:val="24"/>
                <w:vertAlign w:val="subscript"/>
              </w:rPr>
              <w:t xml:space="preserve">ij</w:t>
            </w:r>
            <w:r>
              <w:rPr>
                <w:rFonts w:ascii="Times New Roman" w:cs="Times New Roman" w:eastAsia="Times New Roman" w:hAnsi="Times New Roman"/>
                <w:b w:val="false"/>
                <w:bCs w:val="false"/>
                <w:i w:val="false"/>
                <w:iCs w:val="false"/>
                <w:sz w:val="24"/>
                <w:szCs w:val="24"/>
              </w:rPr>
              <w:t xml:space="preserve"> · (1 + m)</w:t>
            </w:r>
          </w:p>
        </w:tc>
        <w:tc>
          <w:tcPr>
            <w:tcW w:type="dxa" w:w="203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Подтверждённые удельные затраты поставщика и надбавка m</w:t>
            </w:r>
          </w:p>
        </w:tc>
        <w:tc>
          <w:tcPr>
            <w:tcW w:type="dxa" w:w="184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Уникальный побочный поток без рынка</w:t>
            </w:r>
          </w:p>
        </w:tc>
        <w:tc>
          <w:tcPr>
            <w:tcW w:type="dxa" w:w="215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Неполный учёт капитальных затрат, отсутствие стимула к их снижению</w:t>
            </w:r>
          </w:p>
        </w:tc>
      </w:tr>
      <w:tr>
        <w:trPr>
          <w:cantSplit/>
          <w:tblHeader w:val="false"/>
        </w:trPr>
        <w:tc>
          <w:tcPr>
            <w:tcW w:type="dxa" w:w="144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Рыночный аналог (MB)</w:t>
            </w:r>
          </w:p>
        </w:tc>
        <w:tc>
          <w:tcPr>
            <w:tcW w:type="dxa" w:w="186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p = P</w:t>
            </w:r>
            <w:r>
              <w:rPr>
                <w:rFonts w:ascii="Times New Roman" w:cs="Times New Roman" w:eastAsia="Times New Roman" w:hAnsi="Times New Roman"/>
                <w:b w:val="false"/>
                <w:bCs w:val="false"/>
                <w:i w:val="false"/>
                <w:iCs w:val="false"/>
                <w:sz w:val="24"/>
                <w:szCs w:val="24"/>
                <w:vertAlign w:val="subscript"/>
              </w:rPr>
              <w:t xml:space="preserve">ref</w:t>
            </w:r>
            <w:r>
              <w:rPr>
                <w:rFonts w:ascii="Times New Roman" w:cs="Times New Roman" w:eastAsia="Times New Roman" w:hAnsi="Times New Roman"/>
                <w:b w:val="false"/>
                <w:bCs w:val="false"/>
                <w:i w:val="false"/>
                <w:iCs w:val="false"/>
                <w:sz w:val="24"/>
                <w:szCs w:val="24"/>
              </w:rPr>
              <w:t xml:space="preserve"> − δ</w:t>
            </w:r>
            <w:r>
              <w:rPr>
                <w:rFonts w:ascii="Times New Roman" w:cs="Times New Roman" w:eastAsia="Times New Roman" w:hAnsi="Times New Roman"/>
                <w:b w:val="false"/>
                <w:bCs w:val="false"/>
                <w:i w:val="false"/>
                <w:iCs w:val="false"/>
                <w:sz w:val="24"/>
                <w:szCs w:val="24"/>
                <w:vertAlign w:val="subscript"/>
              </w:rPr>
              <w:t xml:space="preserve">trans</w:t>
            </w:r>
          </w:p>
        </w:tc>
        <w:tc>
          <w:tcPr>
            <w:tcW w:type="dxa" w:w="203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Цена сопоставимого ресурса с поправкой на качество и логистику</w:t>
            </w:r>
          </w:p>
        </w:tc>
        <w:tc>
          <w:tcPr>
            <w:tcW w:type="dxa" w:w="184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Ликвидное вторичное сырьё</w:t>
            </w:r>
          </w:p>
        </w:tc>
        <w:tc>
          <w:tcPr>
            <w:tcW w:type="dxa" w:w="215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Несопоставимость качества, волатильность котировок</w:t>
            </w:r>
          </w:p>
        </w:tc>
      </w:tr>
      <w:tr>
        <w:trPr>
          <w:cantSplit/>
          <w:tblHeader w:val="false"/>
        </w:trPr>
        <w:tc>
          <w:tcPr>
            <w:tcW w:type="dxa" w:w="144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Переговорная цена (NP)</w:t>
            </w:r>
          </w:p>
        </w:tc>
        <w:tc>
          <w:tcPr>
            <w:tcW w:type="dxa" w:w="186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p</w:t>
            </w:r>
            <w:r>
              <w:rPr>
                <w:rFonts w:ascii="Times New Roman" w:cs="Times New Roman" w:eastAsia="Times New Roman" w:hAnsi="Times New Roman"/>
                <w:b w:val="false"/>
                <w:bCs w:val="false"/>
                <w:i w:val="false"/>
                <w:iCs w:val="false"/>
                <w:sz w:val="24"/>
                <w:szCs w:val="24"/>
                <w:vertAlign w:val="subscript"/>
              </w:rPr>
              <w:t xml:space="preserve">min</w:t>
            </w:r>
            <w:r>
              <w:rPr>
                <w:rFonts w:ascii="Times New Roman" w:cs="Times New Roman" w:eastAsia="Times New Roman" w:hAnsi="Times New Roman"/>
                <w:b w:val="false"/>
                <w:bCs w:val="false"/>
                <w:i w:val="false"/>
                <w:iCs w:val="false"/>
                <w:sz w:val="24"/>
                <w:szCs w:val="24"/>
              </w:rPr>
              <w:t xml:space="preserve"> ≤ p ≤ p</w:t>
            </w:r>
            <w:r>
              <w:rPr>
                <w:rFonts w:ascii="Times New Roman" w:cs="Times New Roman" w:eastAsia="Times New Roman" w:hAnsi="Times New Roman"/>
                <w:b w:val="false"/>
                <w:bCs w:val="false"/>
                <w:i w:val="false"/>
                <w:iCs w:val="false"/>
                <w:sz w:val="24"/>
                <w:szCs w:val="24"/>
                <w:vertAlign w:val="subscript"/>
              </w:rPr>
              <w:t xml:space="preserve">max</w:t>
            </w:r>
          </w:p>
        </w:tc>
        <w:tc>
          <w:tcPr>
            <w:tcW w:type="dxa" w:w="203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Альтернативы сторон</w:t>
            </w:r>
          </w:p>
        </w:tc>
        <w:tc>
          <w:tcPr>
            <w:tcW w:type="dxa" w:w="184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Индивидуальный обмен со специфическими вложениями</w:t>
            </w:r>
          </w:p>
        </w:tc>
        <w:tc>
          <w:tcPr>
            <w:tcW w:type="dxa" w:w="215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Неравная переговорная сила, затяжной торг</w:t>
            </w:r>
          </w:p>
        </w:tc>
      </w:tr>
      <w:tr>
        <w:trPr>
          <w:cantSplit/>
          <w:tblHeader w:val="false"/>
        </w:trPr>
        <w:tc>
          <w:tcPr>
            <w:tcW w:type="dxa" w:w="144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Теневая оценка (SP)</w:t>
            </w:r>
          </w:p>
        </w:tc>
        <w:tc>
          <w:tcPr>
            <w:tcW w:type="dxa" w:w="186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Ставка предотвращённого платежа</w:t>
            </w:r>
          </w:p>
        </w:tc>
        <w:tc>
          <w:tcPr>
            <w:tcW w:type="dxa" w:w="203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Предотвращённые внешние издержки</w:t>
            </w:r>
          </w:p>
        </w:tc>
        <w:tc>
          <w:tcPr>
            <w:tcW w:type="dxa" w:w="184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Оценка экологического эффекта, не сделки</w:t>
            </w:r>
          </w:p>
        </w:tc>
        <w:tc>
          <w:tcPr>
            <w:tcW w:type="dxa" w:w="215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Подмена денежной цены оценкой ущерба</w:t>
            </w:r>
          </w:p>
        </w:tc>
      </w:tr>
      <w:tr>
        <w:trPr>
          <w:cantSplit/>
          <w:tblHeader w:val="false"/>
        </w:trPr>
        <w:tc>
          <w:tcPr>
            <w:tcW w:type="dxa" w:w="144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Гибридный (HP)</w:t>
            </w:r>
          </w:p>
        </w:tc>
        <w:tc>
          <w:tcPr>
            <w:tcW w:type="dxa" w:w="186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Формула (2.15)</w:t>
            </w:r>
          </w:p>
        </w:tc>
        <w:tc>
          <w:tcPr>
            <w:tcW w:type="dxa" w:w="203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Взвешивание затратной и рыночной оценки</w:t>
            </w:r>
          </w:p>
        </w:tc>
        <w:tc>
          <w:tcPr>
            <w:tcW w:type="dxa" w:w="184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Частично наблюдаемый рынок</w:t>
            </w:r>
          </w:p>
        </w:tc>
        <w:tc>
          <w:tcPr>
            <w:tcW w:type="dxa" w:w="215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Произвольный выбор веса ω</w:t>
            </w:r>
          </w:p>
        </w:tc>
      </w:tr>
    </w:tbl>
    <w:p>
      <w:pPr>
        <w:keepNext w:val="false"/>
        <w:spacing w:after="0" w:before="0" w:line="360" w:lineRule="auto"/>
        <w:ind w:firstLine="0"/>
        <w:jc w:val="left"/>
      </w:pPr>
      <w:r>
        <w:rPr>
          <w:rFonts w:ascii="Times New Roman" w:cs="Times New Roman" w:eastAsia="Times New Roman" w:hAnsi="Times New Roman"/>
          <w:b w:val="false"/>
          <w:bCs w:val="false"/>
          <w:i w:val="false"/>
          <w:iCs w:val="false"/>
          <w:sz w:val="24"/>
          <w:szCs w:val="24"/>
        </w:rPr>
        <w:t xml:space="preserve">Источник: составлено автором на основе </w:t>
      </w:r>
      <w:r>
        <w:rPr>
          <w:rFonts w:ascii="Times New Roman" w:cs="Times New Roman" w:eastAsia="Times New Roman" w:hAnsi="Times New Roman"/>
          <w:b w:val="false"/>
          <w:bCs w:val="false"/>
          <w:i w:val="false"/>
          <w:iCs w:val="false"/>
          <w:sz w:val="24"/>
          <w:szCs w:val="24"/>
        </w:rPr>
        <w:t xml:space="preserve">[66]</w:t>
      </w:r>
      <w:r>
        <w:rPr>
          <w:rFonts w:ascii="Times New Roman" w:cs="Times New Roman" w:eastAsia="Times New Roman" w:hAnsi="Times New Roman"/>
          <w:b w:val="false"/>
          <w:bCs w:val="false"/>
          <w:i w:val="false"/>
          <w:iCs w:val="false"/>
          <w:sz w:val="24"/>
          <w:szCs w:val="24"/>
        </w:rPr>
        <w:t xml:space="preserve">.</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 таблице 2.8 обращает на себя внимание то, что теневая оценка отличается от остальных методов по природе. Она не определяет денежную цену сделки, а оценивает выгоду, которая возникает у одного участника независимо от платежа другому. Так, предотвращённая плата за НВОС достаётся образователю отходов, а не перерабатывающему предприятию; включение её в цену сырья и одновременно в эффект как предотвращённого платежа означало бы двойной счёт.</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Гибридный метод требует отдельного пояснения, поскольку он единственный содержит свободный параметр. Цена определяется взвешиванием двух базовых оценок:</w:t>
      </w:r>
    </w:p>
    <w:p>
      <w:pPr>
        <w:tabs>
          <w:tab w:val="center" w:pos="4678"/>
          <w:tab w:val="right" w:pos="9355"/>
        </w:tabs>
        <w:spacing w:after="0" w:before="0" w:line="360" w:lineRule="auto"/>
        <w:ind w:firstLine="0"/>
        <w:jc w:val="left"/>
      </w:pPr>
      <w:r>
        <w:rPr>
          <w:rFonts w:ascii="Times New Roman" w:cs="Times New Roman" w:eastAsia="Times New Roman" w:hAnsi="Times New Roman"/>
          <w:sz w:val="28"/>
          <w:szCs w:val="28"/>
        </w:rPr>
        <w:t xml:space="preserve">	</w:t>
      </w:r>
      <m:oMath xmlns:m="http://schemas.openxmlformats.org/officeDocument/2006/math" xmlns:w="http://schemas.openxmlformats.org/wordprocessingml/2006/main">
        <m:sSub>
          <m:e>
            <m:r>
              <w:rPr>
                <w:rFonts w:ascii="Cambria Math" w:hAnsi="Cambria Math"/>
                <w:i/>
                <w:sz w:val="28"/>
                <w:szCs w:val="28"/>
              </w:rPr>
              <m:t xml:space="preserve">p</m:t>
            </m:r>
          </m:e>
          <m:sub>
            <m:r>
              <w:rPr>
                <w:rFonts w:ascii="Cambria Math" w:hAnsi="Cambria Math"/>
                <w:i/>
                <w:sz w:val="28"/>
                <w:szCs w:val="28"/>
              </w:rPr>
              <m:t xml:space="preserve">HP</m:t>
            </m:r>
          </m:sub>
        </m:sSub>
        <m:r>
          <m:rPr>
            <m:sty m:val="p"/>
          </m:rPr>
          <w:rPr>
            <w:rFonts w:ascii="Cambria Math" w:hAnsi="Cambria Math"/>
            <w:i w:val="0"/>
            <w:sz w:val="28"/>
            <w:szCs w:val="28"/>
          </w:rPr>
          <m:t xml:space="preserve"> = </m:t>
        </m:r>
        <m:r>
          <w:rPr>
            <w:rFonts w:ascii="Cambria Math" w:hAnsi="Cambria Math"/>
            <w:i/>
            <w:sz w:val="28"/>
            <w:szCs w:val="28"/>
          </w:rPr>
          <m:t xml:space="preserve">ω</m:t>
        </m:r>
        <m:r>
          <m:rPr>
            <m:sty m:val="p"/>
          </m:rPr>
          <w:rPr>
            <w:rFonts w:ascii="Cambria Math" w:hAnsi="Cambria Math"/>
            <w:i w:val="0"/>
            <w:sz w:val="28"/>
            <w:szCs w:val="28"/>
          </w:rPr>
          <m:t xml:space="preserve">·</m:t>
        </m:r>
        <m:sSub>
          <m:e>
            <m:r>
              <w:rPr>
                <w:rFonts w:ascii="Cambria Math" w:hAnsi="Cambria Math"/>
                <w:i/>
                <w:sz w:val="28"/>
                <w:szCs w:val="28"/>
              </w:rPr>
              <m:t xml:space="preserve">p</m:t>
            </m:r>
          </m:e>
          <m:sub>
            <m:r>
              <w:rPr>
                <w:rFonts w:ascii="Cambria Math" w:hAnsi="Cambria Math"/>
                <w:i/>
                <w:sz w:val="28"/>
                <w:szCs w:val="28"/>
              </w:rPr>
              <m:t xml:space="preserve">CP</m:t>
            </m:r>
          </m:sub>
        </m:sSub>
        <m:r>
          <m:rPr>
            <m:sty m:val="p"/>
          </m:rPr>
          <w:rPr>
            <w:rFonts w:ascii="Cambria Math" w:hAnsi="Cambria Math"/>
            <w:i w:val="0"/>
            <w:sz w:val="28"/>
            <w:szCs w:val="28"/>
          </w:rPr>
          <m:t xml:space="preserve"> + </m:t>
        </m:r>
        <m:d>
          <m:dPr>
            <m:begChr m:val="("/>
            <m:endChr m:val=")"/>
          </m:dPr>
          <m:e>
            <m:r>
              <m:rPr>
                <m:sty m:val="p"/>
              </m:rPr>
              <w:rPr>
                <w:rFonts w:ascii="Cambria Math" w:hAnsi="Cambria Math"/>
                <w:i w:val="0"/>
                <w:sz w:val="28"/>
                <w:szCs w:val="28"/>
              </w:rPr>
              <m:t xml:space="preserve">1 − </m:t>
            </m:r>
            <m:r>
              <w:rPr>
                <w:rFonts w:ascii="Cambria Math" w:hAnsi="Cambria Math"/>
                <w:i/>
                <w:sz w:val="28"/>
                <w:szCs w:val="28"/>
              </w:rPr>
              <m:t xml:space="preserve">ω</m:t>
            </m:r>
          </m:e>
        </m:d>
        <m:r>
          <m:rPr>
            <m:sty m:val="p"/>
          </m:rPr>
          <w:rPr>
            <w:rFonts w:ascii="Cambria Math" w:hAnsi="Cambria Math"/>
            <w:i w:val="0"/>
            <w:sz w:val="28"/>
            <w:szCs w:val="28"/>
          </w:rPr>
          <m:t xml:space="preserve">·</m:t>
        </m:r>
        <m:sSub>
          <m:e>
            <m:r>
              <w:rPr>
                <w:rFonts w:ascii="Cambria Math" w:hAnsi="Cambria Math"/>
                <w:i/>
                <w:sz w:val="28"/>
                <w:szCs w:val="28"/>
              </w:rPr>
              <m:t xml:space="preserve">p</m:t>
            </m:r>
          </m:e>
          <m:sub>
            <m:r>
              <w:rPr>
                <w:rFonts w:ascii="Cambria Math" w:hAnsi="Cambria Math"/>
                <w:i/>
                <w:sz w:val="28"/>
                <w:szCs w:val="28"/>
              </w:rPr>
              <m:t xml:space="preserve">MB</m:t>
            </m:r>
          </m:sub>
        </m:sSub>
      </m:oMath>
      <w:r>
        <w:rPr>
          <w:rFonts w:ascii="Times New Roman" w:cs="Times New Roman" w:eastAsia="Times New Roman" w:hAnsi="Times New Roman"/>
          <w:sz w:val="28"/>
          <w:szCs w:val="28"/>
        </w:rPr>
        <w:t xml:space="preserve">	(2.15)</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где p</w:t>
      </w:r>
      <w:r>
        <w:rPr>
          <w:rFonts w:ascii="Times New Roman" w:cs="Times New Roman" w:eastAsia="Times New Roman" w:hAnsi="Times New Roman"/>
          <w:b w:val="false"/>
          <w:bCs w:val="false"/>
          <w:i w:val="false"/>
          <w:iCs w:val="false"/>
          <w:sz w:val="28"/>
          <w:szCs w:val="28"/>
          <w:vertAlign w:val="subscript"/>
        </w:rPr>
        <w:t xml:space="preserve">HP</w:t>
      </w:r>
      <w:r>
        <w:rPr>
          <w:rFonts w:ascii="Times New Roman" w:cs="Times New Roman" w:eastAsia="Times New Roman" w:hAnsi="Times New Roman"/>
          <w:b w:val="false"/>
          <w:bCs w:val="false"/>
          <w:i w:val="false"/>
          <w:iCs w:val="false"/>
          <w:sz w:val="28"/>
          <w:szCs w:val="28"/>
        </w:rPr>
        <w:t xml:space="preserve"> — цена по гибридному методу; p</w:t>
      </w:r>
      <w:r>
        <w:rPr>
          <w:rFonts w:ascii="Times New Roman" w:cs="Times New Roman" w:eastAsia="Times New Roman" w:hAnsi="Times New Roman"/>
          <w:b w:val="false"/>
          <w:bCs w:val="false"/>
          <w:i w:val="false"/>
          <w:iCs w:val="false"/>
          <w:sz w:val="28"/>
          <w:szCs w:val="28"/>
          <w:vertAlign w:val="subscript"/>
        </w:rPr>
        <w:t xml:space="preserve">CP</w:t>
      </w:r>
      <w:r>
        <w:rPr>
          <w:rFonts w:ascii="Times New Roman" w:cs="Times New Roman" w:eastAsia="Times New Roman" w:hAnsi="Times New Roman"/>
          <w:b w:val="false"/>
          <w:bCs w:val="false"/>
          <w:i w:val="false"/>
          <w:iCs w:val="false"/>
          <w:sz w:val="28"/>
          <w:szCs w:val="28"/>
        </w:rPr>
        <w:t xml:space="preserve"> — цена по методу «затраты плюс»; p</w:t>
      </w:r>
      <w:r>
        <w:rPr>
          <w:rFonts w:ascii="Times New Roman" w:cs="Times New Roman" w:eastAsia="Times New Roman" w:hAnsi="Times New Roman"/>
          <w:b w:val="false"/>
          <w:bCs w:val="false"/>
          <w:i w:val="false"/>
          <w:iCs w:val="false"/>
          <w:sz w:val="28"/>
          <w:szCs w:val="28"/>
          <w:vertAlign w:val="subscript"/>
        </w:rPr>
        <w:t xml:space="preserve">MB</w:t>
      </w:r>
      <w:r>
        <w:rPr>
          <w:rFonts w:ascii="Times New Roman" w:cs="Times New Roman" w:eastAsia="Times New Roman" w:hAnsi="Times New Roman"/>
          <w:b w:val="false"/>
          <w:bCs w:val="false"/>
          <w:i w:val="false"/>
          <w:iCs w:val="false"/>
          <w:sz w:val="28"/>
          <w:szCs w:val="28"/>
        </w:rPr>
        <w:t xml:space="preserve"> — цена по методу рыночного аналога; ω — вес затратной оценки, 0 ≤ ω ≤ 1.</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Вес ω нельзя выбирать произвольно. В работе предлагается связывать его с качеством данных: ω равен доле затрат поставщика, подтверждённых первичными документами, если рыночная котировка доступна по сопоставимому ресурсу. Чем лучше документированы затраты, тем ближе цена к затратной оценке; при отсутствии подтверждения затрат цена определяется рынком. Такое правило воспроизводимо и не оставляет простора для торга о весе.</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2.4.3. Алгоритм выбора метода цены</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Порядок выбора метода представлен в виде дерева решений на рисунке 2.5. Дерево применяется к каждому классу ресурса отдельно и заранее указывает, какие данные необходимо получить от участников.</w:t>
      </w:r>
    </w:p>
    <w:p>
      <w:pPr>
        <w:keepNext/>
        <w:jc w:val="center"/>
      </w:pPr>
      <w:r>
        <w:drawing>
          <wp:inline distT="0" distB="0" distL="0" distR="0">
            <wp:extent cx="5715000" cy="3324225"/>
            <wp:effectExtent t="0" r="0" b="0" l="0"/>
            <wp:docPr id="1" name="fig2_5.svg" descr="fig2_5.svg" title="fig2_5.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extLst>
                        <a:ext uri="{96DAC541-7B7A-43D3-8B79-37D633B846F1}">
                          <asvg:svgBlip xmlns:asvg="http://schemas.microsoft.com/office/drawing/2016/SVG/main" r:embed="rId16"/>
                        </a:ext>
                      </a:extLst>
                    </a:blip>
                    <a:srcRect/>
                    <a:stretch>
                      <a:fillRect/>
                    </a:stretch>
                  </pic:blipFill>
                  <pic:spPr bwMode="auto">
                    <a:xfrm>
                      <a:off x="0" y="0"/>
                      <a:ext cx="5715000" cy="3324225"/>
                    </a:xfrm>
                    <a:prstGeom prst="rect">
                      <a:avLst/>
                    </a:prstGeom>
                  </pic:spPr>
                </pic:pic>
              </a:graphicData>
            </a:graphic>
          </wp:inline>
        </w:drawing>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8"/>
          <w:szCs w:val="28"/>
        </w:rPr>
        <w:t xml:space="preserve">Рисунок 2.5 – Дерево выбора метода договорной цены симбиотического ресурса</w:t>
      </w:r>
    </w:p>
    <w:p>
      <w:pPr>
        <w:keepNext w:val="false"/>
        <w:spacing w:after="0" w:before="0" w:line="360" w:lineRule="auto"/>
        <w:ind w:firstLine="0"/>
        <w:jc w:val="center"/>
      </w:pPr>
      <w:r>
        <w:rPr>
          <w:rFonts w:ascii="Times New Roman" w:cs="Times New Roman" w:eastAsia="Times New Roman" w:hAnsi="Times New Roman"/>
          <w:b w:val="false"/>
          <w:bCs w:val="false"/>
          <w:i w:val="false"/>
          <w:iCs w:val="false"/>
          <w:sz w:val="24"/>
          <w:szCs w:val="24"/>
        </w:rPr>
        <w:t xml:space="preserve">Источник: составлено автором.</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Последовательность вопросов на рисунке 2.5 отражает убывание надёжности ценового основания. Наблюдаемая рыночная цена надёжнее подтверждённых затрат, затраты надёжнее переговорной оценки. Если применимы и рыночный аналог, и затратный метод, используется гибридный метод с весом по правилу, изложенному выше. Теневая оценка выведена на отдельную ветвь: она учитывается вне цены сделки.</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Для энергетических потоков дерево дополняется проверкой регулирования. Если передача тепла сторонним потребителям требует установления тарифа органом регулирования </w:t>
      </w:r>
      <w:r>
        <w:rPr>
          <w:rFonts w:ascii="Times New Roman" w:cs="Times New Roman" w:eastAsia="Times New Roman" w:hAnsi="Times New Roman"/>
          <w:b w:val="false"/>
          <w:bCs w:val="false"/>
          <w:i w:val="false"/>
          <w:iCs w:val="false"/>
          <w:sz w:val="28"/>
          <w:szCs w:val="28"/>
        </w:rPr>
        <w:t xml:space="preserve">[5]</w:t>
      </w:r>
      <w:r>
        <w:rPr>
          <w:rFonts w:ascii="Times New Roman" w:cs="Times New Roman" w:eastAsia="Times New Roman" w:hAnsi="Times New Roman"/>
          <w:b w:val="false"/>
          <w:bCs w:val="false"/>
          <w:i w:val="false"/>
          <w:iCs w:val="false"/>
          <w:sz w:val="28"/>
          <w:szCs w:val="28"/>
        </w:rPr>
        <w:t xml:space="preserve">, договорная цена заменяется тарифом, и коридор (2.14) используется для проверки, будет ли сделка выгодна при этом тарифе. Р. Сакки и Я. Рамшева, исследуя систему централизованного теплоснабжения Ольборга, показали, что ценовое регулирование способно как стимулировать, так и подавлять использование избыточного промышленного тепла, и ослабление ограничений увеличивает его предложение примерно вдвое</w:t>
      </w:r>
      <w:r>
        <w:rPr>
          <w:rStyle w:val="FootnoteReference"/>
        </w:rPr>
        <w:footnoteReference w:id="13"/>
      </w:r>
      <w:r>
        <w:rPr>
          <w:rFonts w:ascii="Times New Roman" w:cs="Times New Roman" w:eastAsia="Times New Roman" w:hAnsi="Times New Roman"/>
          <w:b w:val="false"/>
          <w:bCs w:val="false"/>
          <w:i w:val="false"/>
          <w:iCs w:val="false"/>
          <w:sz w:val="28"/>
          <w:szCs w:val="28"/>
        </w:rPr>
        <w:t xml:space="preserve">. Для Невинномысска это означает, что статус теплового обмена должен быть согласован с Региональной тарифной комиссией Ставропольского края до проектирования теплотрассы.</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2.4.4. Ценовые коридоры для потоков базового сценария</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Расчёт границ коридоров для четырёх потоков демонстрационного сценария приведён в таблице 2.9. Удельная доля капитальных вложений рассчитана делением аннуитета (2.8) на годовой объём: для теплотрассы 39,4 млн руб. / 219 тыс. Гкал = 180 руб./Гкал, для узла CO₂ 13,1 млн руб. / 12 тыс. т = 1096 руб./т.</w:t>
      </w:r>
    </w:p>
    <w:p>
      <w:pPr>
        <w:keepNext/>
        <w:spacing w:after="0" w:before="0" w:line="360" w:lineRule="auto"/>
        <w:ind w:firstLine="0"/>
        <w:jc w:val="right"/>
      </w:pPr>
      <w:r>
        <w:rPr>
          <w:rFonts w:ascii="Times New Roman" w:cs="Times New Roman" w:eastAsia="Times New Roman" w:hAnsi="Times New Roman"/>
          <w:b w:val="false"/>
          <w:bCs w:val="false"/>
          <w:i w:val="false"/>
          <w:iCs w:val="false"/>
          <w:sz w:val="28"/>
          <w:szCs w:val="28"/>
        </w:rPr>
        <w:t xml:space="preserve">Таблица 2.9</w:t>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8"/>
          <w:szCs w:val="28"/>
        </w:rPr>
        <w:t xml:space="preserve">Ценовые коридоры для потоков демонстрационного сценария</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445"/>
        <w:gridCol w:w="1086"/>
        <w:gridCol w:w="1273"/>
        <w:gridCol w:w="1196"/>
        <w:gridCol w:w="1808"/>
        <w:gridCol w:w="2547"/>
      </w:tblGrid>
      <w:tr>
        <w:trPr>
          <w:cantSplit/>
          <w:tblHeader/>
        </w:trPr>
        <w:tc>
          <w:tcPr>
            <w:tcW w:type="dxa" w:w="144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Поток</w:t>
            </w:r>
          </w:p>
        </w:tc>
        <w:tc>
          <w:tcPr>
            <w:tcW w:type="dxa" w:w="108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Метод</w:t>
            </w:r>
          </w:p>
        </w:tc>
        <w:tc>
          <w:tcPr>
            <w:tcW w:type="dxa" w:w="127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Нижняя граница p</w:t>
            </w:r>
            <w:r>
              <w:rPr>
                <w:rFonts w:ascii="Times New Roman" w:cs="Times New Roman" w:eastAsia="Times New Roman" w:hAnsi="Times New Roman"/>
                <w:b/>
                <w:bCs/>
                <w:i w:val="false"/>
                <w:iCs w:val="false"/>
                <w:sz w:val="24"/>
                <w:szCs w:val="24"/>
                <w:vertAlign w:val="subscript"/>
              </w:rPr>
              <w:t xml:space="preserve">min</w:t>
            </w:r>
          </w:p>
        </w:tc>
        <w:tc>
          <w:tcPr>
            <w:tcW w:type="dxa" w:w="11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Верхняя граница p</w:t>
            </w:r>
            <w:r>
              <w:rPr>
                <w:rFonts w:ascii="Times New Roman" w:cs="Times New Roman" w:eastAsia="Times New Roman" w:hAnsi="Times New Roman"/>
                <w:b/>
                <w:bCs/>
                <w:i w:val="false"/>
                <w:iCs w:val="false"/>
                <w:sz w:val="24"/>
                <w:szCs w:val="24"/>
                <w:vertAlign w:val="subscript"/>
              </w:rPr>
              <w:t xml:space="preserve">max</w:t>
            </w:r>
          </w:p>
        </w:tc>
        <w:tc>
          <w:tcPr>
            <w:tcW w:type="dxa" w:w="180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Ширина коридора × объём, млн руб./год</w:t>
            </w:r>
          </w:p>
        </w:tc>
        <w:tc>
          <w:tcPr>
            <w:tcW w:type="dxa" w:w="254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Условие реализуемости</w:t>
            </w:r>
          </w:p>
        </w:tc>
      </w:tr>
      <w:tr>
        <w:trPr>
          <w:cantSplit/>
          <w:tblHeader w:val="false"/>
        </w:trPr>
        <w:tc>
          <w:tcPr>
            <w:tcW w:type="dxa" w:w="144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Тепло, вложения несёт потребитель</w:t>
            </w:r>
          </w:p>
        </w:tc>
        <w:tc>
          <w:tcPr>
            <w:tcW w:type="dxa" w:w="108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NP, проверка тарифом</w:t>
            </w:r>
          </w:p>
        </w:tc>
        <w:tc>
          <w:tcPr>
            <w:tcW w:type="dxa" w:w="127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50 руб./Гкал (o</w:t>
            </w:r>
            <w:r>
              <w:rPr>
                <w:rFonts w:ascii="Times New Roman" w:cs="Times New Roman" w:eastAsia="Times New Roman" w:hAnsi="Times New Roman"/>
                <w:b w:val="false"/>
                <w:bCs w:val="false"/>
                <w:i w:val="false"/>
                <w:iCs w:val="false"/>
                <w:sz w:val="24"/>
                <w:szCs w:val="24"/>
                <w:vertAlign w:val="subscript"/>
              </w:rPr>
              <w:t xml:space="preserve">i</w:t>
            </w:r>
            <w:r>
              <w:rPr>
                <w:rFonts w:ascii="Times New Roman" w:cs="Times New Roman" w:eastAsia="Times New Roman" w:hAnsi="Times New Roman"/>
                <w:b w:val="false"/>
                <w:bCs w:val="false"/>
                <w:i w:val="false"/>
                <w:iCs w:val="false"/>
                <w:sz w:val="24"/>
                <w:szCs w:val="24"/>
              </w:rPr>
              <w:t xml:space="preserve"> = 0)</w:t>
            </w:r>
          </w:p>
        </w:tc>
        <w:tc>
          <w:tcPr>
            <w:tcW w:type="dxa" w:w="119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360 − 180 = 180 руб./Гкал</w:t>
            </w:r>
          </w:p>
        </w:tc>
        <w:tc>
          <w:tcPr>
            <w:tcW w:type="dxa" w:w="180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130 · 0,219 = 28,5</w:t>
            </w:r>
          </w:p>
        </w:tc>
        <w:tc>
          <w:tcPr>
            <w:tcW w:type="dxa" w:w="254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Тариф, если он устанавливается, не выше 180 руб./Гкал</w:t>
            </w:r>
          </w:p>
        </w:tc>
      </w:tr>
      <w:tr>
        <w:trPr>
          <w:cantSplit/>
          <w:tblHeader w:val="false"/>
        </w:trPr>
        <w:tc>
          <w:tcPr>
            <w:tcW w:type="dxa" w:w="144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Тепло, вложения несёт поставщик или публичный партнёр</w:t>
            </w:r>
          </w:p>
        </w:tc>
        <w:tc>
          <w:tcPr>
            <w:tcW w:type="dxa" w:w="108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NP, проверка тарифом</w:t>
            </w:r>
          </w:p>
        </w:tc>
        <w:tc>
          <w:tcPr>
            <w:tcW w:type="dxa" w:w="127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50 + 180 = 230 руб./Гкал</w:t>
            </w:r>
          </w:p>
        </w:tc>
        <w:tc>
          <w:tcPr>
            <w:tcW w:type="dxa" w:w="119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360 руб./Гкал</w:t>
            </w:r>
          </w:p>
        </w:tc>
        <w:tc>
          <w:tcPr>
            <w:tcW w:type="dxa" w:w="180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28,5 (при финансировании публичным партнёром 67,9)</w:t>
            </w:r>
          </w:p>
        </w:tc>
        <w:tc>
          <w:tcPr>
            <w:tcW w:type="dxa" w:w="254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Долгосрочный договор на срок окупаемости теплотрассы</w:t>
            </w:r>
          </w:p>
        </w:tc>
      </w:tr>
      <w:tr>
        <w:trPr>
          <w:cantSplit/>
          <w:tblHeader w:val="false"/>
        </w:trPr>
        <w:tc>
          <w:tcPr>
            <w:tcW w:type="dxa" w:w="144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CO</w:t>
            </w:r>
            <w:r>
              <w:rPr>
                <w:rFonts w:ascii="Times New Roman" w:cs="Times New Roman" w:eastAsia="Times New Roman" w:hAnsi="Times New Roman"/>
                <w:b w:val="false"/>
                <w:bCs w:val="false"/>
                <w:i w:val="false"/>
                <w:iCs w:val="false"/>
                <w:sz w:val="24"/>
                <w:szCs w:val="24"/>
                <w:vertAlign w:val="subscript"/>
              </w:rPr>
              <w:t xml:space="preserve">2</w:t>
            </w:r>
            <w:r>
              <w:rPr>
                <w:rFonts w:ascii="Times New Roman" w:cs="Times New Roman" w:eastAsia="Times New Roman" w:hAnsi="Times New Roman"/>
                <w:b w:val="false"/>
                <w:bCs w:val="false"/>
                <w:i w:val="false"/>
                <w:iCs w:val="false"/>
                <w:sz w:val="24"/>
                <w:szCs w:val="24"/>
              </w:rPr>
              <w:t xml:space="preserve">, прирост сверх базовых продаж</w:t>
            </w:r>
          </w:p>
        </w:tc>
        <w:tc>
          <w:tcPr>
            <w:tcW w:type="dxa" w:w="108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NP или HP</w:t>
            </w:r>
          </w:p>
        </w:tc>
        <w:tc>
          <w:tcPr>
            <w:tcW w:type="dxa" w:w="127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2000 + 1096 ≈ 3100 руб./т (o</w:t>
            </w:r>
            <w:r>
              <w:rPr>
                <w:rFonts w:ascii="Times New Roman" w:cs="Times New Roman" w:eastAsia="Times New Roman" w:hAnsi="Times New Roman"/>
                <w:b w:val="false"/>
                <w:bCs w:val="false"/>
                <w:i w:val="false"/>
                <w:iCs w:val="false"/>
                <w:sz w:val="24"/>
                <w:szCs w:val="24"/>
                <w:vertAlign w:val="subscript"/>
              </w:rPr>
              <w:t xml:space="preserve">i</w:t>
            </w:r>
            <w:r>
              <w:rPr>
                <w:rFonts w:ascii="Times New Roman" w:cs="Times New Roman" w:eastAsia="Times New Roman" w:hAnsi="Times New Roman"/>
                <w:b w:val="false"/>
                <w:bCs w:val="false"/>
                <w:i w:val="false"/>
                <w:iCs w:val="false"/>
                <w:sz w:val="24"/>
                <w:szCs w:val="24"/>
              </w:rPr>
              <w:t xml:space="preserve"> = 0)</w:t>
            </w:r>
          </w:p>
        </w:tc>
        <w:tc>
          <w:tcPr>
            <w:tcW w:type="dxa" w:w="119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8000 руб./т</w:t>
            </w:r>
          </w:p>
        </w:tc>
        <w:tc>
          <w:tcPr>
            <w:tcW w:type="dxa" w:w="180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4900 · 0,012 = 58,9</w:t>
            </w:r>
          </w:p>
        </w:tc>
        <w:tc>
          <w:tcPr>
            <w:tcW w:type="dxa" w:w="254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Подтверждение качества, договор не короче 7 лет</w:t>
            </w:r>
          </w:p>
        </w:tc>
      </w:tr>
      <w:tr>
        <w:trPr>
          <w:cantSplit/>
        </w:trPr>
        <w:tc>
          <w:tcPr>
            <w:tcW w:type="dxa" w:w="144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CO</w:t>
            </w:r>
            <w:r>
              <w:rPr>
                <w:rFonts w:ascii="Times New Roman" w:cs="Times New Roman" w:eastAsia="Times New Roman" w:hAnsi="Times New Roman"/>
                <w:b w:val="false"/>
                <w:bCs w:val="false"/>
                <w:i w:val="false"/>
                <w:iCs w:val="false"/>
                <w:sz w:val="24"/>
                <w:szCs w:val="24"/>
                <w:vertAlign w:val="subscript"/>
              </w:rPr>
              <w:t xml:space="preserve">2</w:t>
            </w:r>
            <w:r>
              <w:rPr>
                <w:rFonts w:ascii="Times New Roman" w:cs="Times New Roman" w:eastAsia="Times New Roman" w:hAnsi="Times New Roman"/>
                <w:b w:val="false"/>
                <w:bCs w:val="false"/>
                <w:i w:val="false"/>
                <w:iCs w:val="false"/>
                <w:sz w:val="24"/>
                <w:szCs w:val="24"/>
              </w:rPr>
              <w:t xml:space="preserve">, переключаемый от действующих покупателей</w:t>
            </w:r>
          </w:p>
        </w:tc>
        <w:tc>
          <w:tcPr>
            <w:tcW w:type="dxa" w:w="108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NP</w:t>
            </w:r>
          </w:p>
        </w:tc>
        <w:tc>
          <w:tcPr>
            <w:tcW w:type="dxa" w:w="127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2000 + 8000 ≈ 10 000 руб./т (o</w:t>
            </w:r>
            <w:r>
              <w:rPr>
                <w:rFonts w:ascii="Times New Roman" w:cs="Times New Roman" w:eastAsia="Times New Roman" w:hAnsi="Times New Roman"/>
                <w:b w:val="false"/>
                <w:bCs w:val="false"/>
                <w:i w:val="false"/>
                <w:iCs w:val="false"/>
                <w:sz w:val="24"/>
                <w:szCs w:val="24"/>
                <w:vertAlign w:val="subscript"/>
              </w:rPr>
              <w:t xml:space="preserve">i</w:t>
            </w:r>
            <w:r>
              <w:rPr>
                <w:rFonts w:ascii="Times New Roman" w:cs="Times New Roman" w:eastAsia="Times New Roman" w:hAnsi="Times New Roman"/>
                <w:b w:val="false"/>
                <w:bCs w:val="false"/>
                <w:i w:val="false"/>
                <w:iCs w:val="false"/>
                <w:sz w:val="24"/>
                <w:szCs w:val="24"/>
              </w:rPr>
              <w:t xml:space="preserve"> — цена действующих продаж)</w:t>
            </w:r>
          </w:p>
        </w:tc>
        <w:tc>
          <w:tcPr>
            <w:tcW w:type="dxa" w:w="119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8000 руб./т</w:t>
            </w:r>
          </w:p>
        </w:tc>
        <w:tc>
          <w:tcPr>
            <w:tcW w:type="dxa" w:w="180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Коридор пуст; в ΔE не учитывается</w:t>
            </w:r>
          </w:p>
        </w:tc>
        <w:tc>
          <w:tcPr>
            <w:tcW w:type="dxa" w:w="254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Только если цена действующих продаж ниже p</w:t>
            </w:r>
            <w:r>
              <w:rPr>
                <w:rFonts w:ascii="Times New Roman" w:cs="Times New Roman" w:eastAsia="Times New Roman" w:hAnsi="Times New Roman"/>
                <w:b w:val="false"/>
                <w:bCs w:val="false"/>
                <w:i w:val="false"/>
                <w:iCs w:val="false"/>
                <w:sz w:val="24"/>
                <w:szCs w:val="24"/>
                <w:vertAlign w:val="subscript"/>
              </w:rPr>
              <w:t xml:space="preserve">альт</w:t>
            </w:r>
            <w:r>
              <w:rPr>
                <w:rFonts w:ascii="Times New Roman" w:cs="Times New Roman" w:eastAsia="Times New Roman" w:hAnsi="Times New Roman"/>
                <w:b w:val="false"/>
                <w:bCs w:val="false"/>
                <w:i w:val="false"/>
                <w:iCs w:val="false"/>
                <w:sz w:val="24"/>
                <w:szCs w:val="24"/>
              </w:rPr>
              <w:t xml:space="preserve"> − c</w:t>
            </w:r>
          </w:p>
        </w:tc>
      </w:tr>
      <w:tr>
        <w:trPr>
          <w:cantSplit/>
          <w:tblHeader w:val="false"/>
        </w:trPr>
        <w:tc>
          <w:tcPr>
            <w:tcW w:type="dxa" w:w="144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Вторичное сырьё</w:t>
            </w:r>
          </w:p>
        </w:tc>
        <w:tc>
          <w:tcPr>
            <w:tcW w:type="dxa" w:w="108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MB</w:t>
            </w:r>
          </w:p>
        </w:tc>
        <w:tc>
          <w:tcPr>
            <w:tcW w:type="dxa" w:w="127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P</w:t>
            </w:r>
            <w:r>
              <w:rPr>
                <w:rFonts w:ascii="Times New Roman" w:cs="Times New Roman" w:eastAsia="Times New Roman" w:hAnsi="Times New Roman"/>
                <w:b w:val="false"/>
                <w:bCs w:val="false"/>
                <w:i w:val="false"/>
                <w:iCs w:val="false"/>
                <w:sz w:val="24"/>
                <w:szCs w:val="24"/>
                <w:vertAlign w:val="subscript"/>
              </w:rPr>
              <w:t xml:space="preserve">ref</w:t>
            </w:r>
            <w:r>
              <w:rPr>
                <w:rFonts w:ascii="Times New Roman" w:cs="Times New Roman" w:eastAsia="Times New Roman" w:hAnsi="Times New Roman"/>
                <w:b w:val="false"/>
                <w:bCs w:val="false"/>
                <w:i w:val="false"/>
                <w:iCs w:val="false"/>
                <w:sz w:val="24"/>
                <w:szCs w:val="24"/>
              </w:rPr>
              <w:t xml:space="preserve"> − 2000 руб./т</w:t>
            </w:r>
          </w:p>
        </w:tc>
        <w:tc>
          <w:tcPr>
            <w:tcW w:type="dxa" w:w="119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P</w:t>
            </w:r>
            <w:r>
              <w:rPr>
                <w:rFonts w:ascii="Times New Roman" w:cs="Times New Roman" w:eastAsia="Times New Roman" w:hAnsi="Times New Roman"/>
                <w:b w:val="false"/>
                <w:bCs w:val="false"/>
                <w:i w:val="false"/>
                <w:iCs w:val="false"/>
                <w:sz w:val="24"/>
                <w:szCs w:val="24"/>
                <w:vertAlign w:val="subscript"/>
              </w:rPr>
              <w:t xml:space="preserve">ref</w:t>
            </w:r>
          </w:p>
        </w:tc>
        <w:tc>
          <w:tcPr>
            <w:tcW w:type="dxa" w:w="180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2000 · 0,030 = 60,0</w:t>
            </w:r>
          </w:p>
        </w:tc>
        <w:tc>
          <w:tcPr>
            <w:tcW w:type="dxa" w:w="254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Стабильность качества, котировка P</w:t>
            </w:r>
            <w:r>
              <w:rPr>
                <w:rFonts w:ascii="Times New Roman" w:cs="Times New Roman" w:eastAsia="Times New Roman" w:hAnsi="Times New Roman"/>
                <w:b w:val="false"/>
                <w:bCs w:val="false"/>
                <w:i w:val="false"/>
                <w:iCs w:val="false"/>
                <w:sz w:val="24"/>
                <w:szCs w:val="24"/>
                <w:vertAlign w:val="subscript"/>
              </w:rPr>
              <w:t xml:space="preserve">ref</w:t>
            </w:r>
          </w:p>
        </w:tc>
      </w:tr>
      <w:tr>
        <w:trPr>
          <w:cantSplit/>
          <w:tblHeader w:val="false"/>
        </w:trPr>
        <w:tc>
          <w:tcPr>
            <w:tcW w:type="dxa" w:w="144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Отходы вне размещения</w:t>
            </w:r>
          </w:p>
        </w:tc>
        <w:tc>
          <w:tcPr>
            <w:tcW w:type="dxa" w:w="108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SP</w:t>
            </w:r>
          </w:p>
        </w:tc>
        <w:tc>
          <w:tcPr>
            <w:tcW w:type="dxa" w:w="127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119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180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39,8 (у образователя отходов)</w:t>
            </w:r>
          </w:p>
        </w:tc>
        <w:tc>
          <w:tcPr>
            <w:tcW w:type="dxa" w:w="254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Переработка дешевле размещения с учётом платы за НВОС</w:t>
            </w:r>
          </w:p>
        </w:tc>
      </w:tr>
    </w:tbl>
    <w:p>
      <w:pPr>
        <w:keepNext w:val="false"/>
        <w:spacing w:after="0" w:before="0" w:line="360" w:lineRule="auto"/>
        <w:ind w:firstLine="0"/>
        <w:jc w:val="left"/>
      </w:pPr>
      <w:r>
        <w:rPr>
          <w:rFonts w:ascii="Times New Roman" w:cs="Times New Roman" w:eastAsia="Times New Roman" w:hAnsi="Times New Roman"/>
          <w:b w:val="false"/>
          <w:bCs w:val="false"/>
          <w:i w:val="false"/>
          <w:iCs w:val="false"/>
          <w:sz w:val="24"/>
          <w:szCs w:val="24"/>
        </w:rPr>
        <w:t xml:space="preserve">Источник: рассчитано автором по формулам (2.8), (2.14) с параметрами таблицы 2.5.</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Таблица 2.9 приводит к трём выводам. Во-первых, все четыре коридора в базовом сценарии непусты, и финансовый индикатор I</w:t>
      </w:r>
      <w:r>
        <w:rPr>
          <w:rFonts w:ascii="Times New Roman" w:cs="Times New Roman" w:eastAsia="Times New Roman" w:hAnsi="Times New Roman"/>
          <w:b w:val="false"/>
          <w:bCs w:val="false"/>
          <w:i w:val="false"/>
          <w:iCs w:val="false"/>
          <w:sz w:val="28"/>
          <w:szCs w:val="28"/>
          <w:vertAlign w:val="subscript"/>
        </w:rPr>
        <w:t xml:space="preserve">фин</w:t>
      </w:r>
      <w:r>
        <w:rPr>
          <w:rFonts w:ascii="Times New Roman" w:cs="Times New Roman" w:eastAsia="Times New Roman" w:hAnsi="Times New Roman"/>
          <w:b w:val="false"/>
          <w:bCs w:val="false"/>
          <w:i w:val="false"/>
          <w:iCs w:val="false"/>
          <w:sz w:val="28"/>
          <w:szCs w:val="28"/>
        </w:rPr>
        <w:t xml:space="preserve"> для них равен единице. Во-вторых, ширина коридора по тепловому потоку не зависит от того, кто несёт вложения в теплотрассу, но от этого зависит положение коридора: если вложения несёт потребитель, цена должна быть не выше 180 руб./Гкал, если поставщик — не ниже 230 руб./Гкал. Цена 200 руб./Гкал, которая часто рассматривается как ориентир, оказывается вне коридора в обоих случаях и приемлема только при разделении вложений между сторонами. В-третьих, если теплотрасса финансируется публичным партнёром по соглашению о партнёрстве, коридор расширяется до 50–360 руб./Гкал, а эффект теплового потока для участников возрастает до 67,9 млн руб. в год; ровно на величину аннуитета теплотрассы, которую в этом случае несёт бюджет.</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Строки по CO</w:t>
      </w:r>
      <w:r>
        <w:rPr>
          <w:rFonts w:ascii="Times New Roman" w:cs="Times New Roman" w:eastAsia="Times New Roman" w:hAnsi="Times New Roman"/>
          <w:b w:val="false"/>
          <w:bCs w:val="false"/>
          <w:i w:val="false"/>
          <w:iCs w:val="false"/>
          <w:sz w:val="28"/>
          <w:szCs w:val="28"/>
          <w:vertAlign w:val="subscript"/>
        </w:rPr>
        <w:t xml:space="preserve">2</w:t>
      </w:r>
      <w:r>
        <w:rPr>
          <w:rFonts w:ascii="Times New Roman" w:cs="Times New Roman" w:eastAsia="Times New Roman" w:hAnsi="Times New Roman"/>
          <w:b w:val="false"/>
          <w:bCs w:val="false"/>
          <w:i w:val="false"/>
          <w:iCs w:val="false"/>
          <w:sz w:val="28"/>
          <w:szCs w:val="28"/>
        </w:rPr>
        <w:t xml:space="preserve"> в таблице 2.9 разведены намеренно. Для объёма, который получают из сбрасываемого газа, альтернативная стоимость поставщика равна нулю, и коридор широк. Для углекислоты, которую уже покупают производители напитков, o</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 равна цене действующих продаж. При цене около 8000 руб./т нижняя граница превышает верхнюю, и переключение покупателей невыгодно «Азоту» без скидки, которая лишь перенесла бы выгоду от прежнего покупателя к резиденту. Создавать эффект способен только прирост выпуска углекислоты.</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Третий вывод раскрывает, как ценовой механизм связан с распределительным. Публичное финансирование инфраструктуры не создаёт эффекта, а перекладывает затраты, и участие государства оправдано только тогда, когда без него коридор пуст или настолько узок, что обмен не начнётся из-за риска. Проверка этого условия должна предшествовать любому решению о бюджетных вложениях.</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Для ценообразования по CO₂ ключевым является срок договора. Узел подготовки окупается за семь и более лет, и если потребитель может прекратить закупки раньше, поставщик рискует остаться с неокупленным активом. Это та самая проблема вымогательства, описанная в § 2.1.2, и её решение — не цена, а длительность договора и условие о компенсации при досрочном расторжении. О. Харт и Дж. Мур показали, что распределение прав на специфический актив определяет стимулы сторон к вложениям в него</w:t>
      </w:r>
      <w:r>
        <w:rPr>
          <w:rStyle w:val="FootnoteReference"/>
        </w:rPr>
        <w:footnoteReference w:id="14"/>
      </w:r>
      <w:r>
        <w:rPr>
          <w:rFonts w:ascii="Times New Roman" w:cs="Times New Roman" w:eastAsia="Times New Roman" w:hAnsi="Times New Roman"/>
          <w:b w:val="false"/>
          <w:bCs w:val="false"/>
          <w:i w:val="false"/>
          <w:iCs w:val="false"/>
          <w:sz w:val="28"/>
          <w:szCs w:val="28"/>
        </w:rPr>
        <w:t xml:space="preserve">; в контексте экоплатформы это значит, что узел подготовки CO₂ целесообразно закреплять за той стороной, чьи вложения в его эффективность важнее.</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Ценовой механизм экоплатформы не сводится к выбору числа. Он включает метод определения цены, коридор как условие участия, проверку регулирования и договорные условия о сроке и ответственности. Цена, рассчитанная без этих элементов, может оказаться точной, но недостаточной для заключения договора. М. Окби и Д. Аль-Моханнади, разработав для эко-индустриального парка схему, в которой смарт-контракты исполняют заранее согласованные правила расчётов, по существу автоматизировали эти договорные элементы, а не только сам расчёт цены </w:t>
      </w:r>
      <w:r>
        <w:rPr>
          <w:rFonts w:ascii="Times New Roman" w:cs="Times New Roman" w:eastAsia="Times New Roman" w:hAnsi="Times New Roman"/>
          <w:b w:val="false"/>
          <w:bCs w:val="false"/>
          <w:i w:val="false"/>
          <w:iCs w:val="false"/>
          <w:sz w:val="28"/>
          <w:szCs w:val="28"/>
        </w:rPr>
        <w:t xml:space="preserve">[67]</w:t>
      </w:r>
      <w:r>
        <w:rPr>
          <w:rFonts w:ascii="Times New Roman" w:cs="Times New Roman" w:eastAsia="Times New Roman" w:hAnsi="Times New Roman"/>
          <w:b w:val="false"/>
          <w:bCs w:val="false"/>
          <w:i w:val="false"/>
          <w:iCs w:val="false"/>
          <w:sz w:val="28"/>
          <w:szCs w:val="28"/>
        </w:rPr>
        <w:t xml:space="preserve">.</w:t>
      </w:r>
    </w:p>
    <w:p>
      <w:pPr>
        <w:keepNext/>
        <w:spacing w:after="0" w:before="0" w:line="360" w:lineRule="auto"/>
      </w:pPr>
    </w:p>
    <w:p>
      <w:pPr>
        <w:pStyle w:val="Heading2"/>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2.5. Распределение симбиотического дивиденда и механизм государственно-частного партнёрства</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2.5.1. Требования к правилу распределения</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Правило распределения отвечает на вопрос, который в двусторонней сделке решается ценой, а на уровне сети остаётся открытым: кто получает ту часть эффекта, которая создана не отдельной парой, а системой в целом. К этой части относятся выгоды от общей инфраструктуры учёта, от снижения издержек поиска для всех участников, от экологического эффекта, получаемого территорией. Симбиотический дивиденд (2.11) и есть денежное выражение этой части, выделенное соглашением участников.</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К правилу распределения предъявляются четыре требования. Полнота: сумма долей равна единице, и дивиденд не уходит за пределы системы. Неотрицательность: никакая доля не может быть отрицательной ни при каком значении связности. Индивидуальная рациональность: каждый участник получает от участия не меньше, чем без него, с учётом затрат подготовки. Проверяемость: доля каждого получателя рассчитывается по данным, доступным аудитору. Первые два требования выражаются условием:</w:t>
      </w:r>
    </w:p>
    <w:p>
      <w:pPr>
        <w:tabs>
          <w:tab w:val="center" w:pos="4678"/>
          <w:tab w:val="right" w:pos="9355"/>
        </w:tabs>
        <w:spacing w:after="0" w:before="0" w:line="360" w:lineRule="auto"/>
        <w:ind w:firstLine="0"/>
        <w:jc w:val="left"/>
      </w:pPr>
      <w:r>
        <w:rPr>
          <w:rFonts w:ascii="Times New Roman" w:cs="Times New Roman" w:eastAsia="Times New Roman" w:hAnsi="Times New Roman"/>
          <w:sz w:val="28"/>
          <w:szCs w:val="28"/>
        </w:rPr>
        <w:t xml:space="preserve">	</w:t>
      </w:r>
      <m:oMath xmlns:m="http://schemas.openxmlformats.org/officeDocument/2006/math" xmlns:w="http://schemas.openxmlformats.org/wordprocessingml/2006/main">
        <m:nary>
          <m:naryPr>
            <m:chr m:val="∑"/>
            <m:limLoc m:val="undOvr"/>
            <m:supHide m:val="1"/>
          </m:naryPr>
          <m:sub>
            <m:r>
              <w:rPr>
                <w:rFonts w:ascii="Cambria Math" w:hAnsi="Cambria Math"/>
                <w:i/>
                <w:sz w:val="28"/>
                <w:szCs w:val="28"/>
              </w:rPr>
              <m:t xml:space="preserve">h</m:t>
            </m:r>
          </m:sub>
          <m:sup/>
          <m:e>
            <m:sSub>
              <m:e>
                <m:r>
                  <w:rPr>
                    <w:rFonts w:ascii="Cambria Math" w:hAnsi="Cambria Math"/>
                    <w:i/>
                    <w:sz w:val="28"/>
                    <w:szCs w:val="28"/>
                  </w:rPr>
                  <m:t xml:space="preserve">γ</m:t>
                </m:r>
              </m:e>
              <m:sub>
                <m:r>
                  <w:rPr>
                    <w:rFonts w:ascii="Cambria Math" w:hAnsi="Cambria Math"/>
                    <w:i/>
                    <w:sz w:val="28"/>
                    <w:szCs w:val="28"/>
                  </w:rPr>
                  <m:t xml:space="preserve">h</m:t>
                </m:r>
              </m:sub>
            </m:sSub>
          </m:e>
        </m:nary>
        <m:r>
          <m:rPr>
            <m:sty m:val="p"/>
          </m:rPr>
          <w:rPr>
            <w:rFonts w:ascii="Cambria Math" w:hAnsi="Cambria Math"/>
            <w:i w:val="0"/>
            <w:sz w:val="28"/>
            <w:szCs w:val="28"/>
          </w:rPr>
          <m:t xml:space="preserve"> = 1;   </m:t>
        </m:r>
        <m:sSub>
          <m:e>
            <m:r>
              <w:rPr>
                <w:rFonts w:ascii="Cambria Math" w:hAnsi="Cambria Math"/>
                <w:i/>
                <w:sz w:val="28"/>
                <w:szCs w:val="28"/>
              </w:rPr>
              <m:t xml:space="preserve">D</m:t>
            </m:r>
          </m:e>
          <m:sub>
            <m:r>
              <w:rPr>
                <w:rFonts w:ascii="Cambria Math" w:hAnsi="Cambria Math"/>
                <w:i/>
                <w:sz w:val="28"/>
                <w:szCs w:val="28"/>
              </w:rPr>
              <m:t xml:space="preserve">h</m:t>
            </m:r>
          </m:sub>
        </m:sSub>
        <m:d>
          <m:dPr>
            <m:begChr m:val="("/>
            <m:endChr m:val=")"/>
          </m:dPr>
          <m:e>
            <m:r>
              <w:rPr>
                <w:rFonts w:ascii="Cambria Math" w:hAnsi="Cambria Math"/>
                <w:i/>
                <w:sz w:val="28"/>
                <w:szCs w:val="28"/>
              </w:rPr>
              <m:t xml:space="preserve">t</m:t>
            </m:r>
          </m:e>
        </m:d>
        <m:r>
          <m:rPr>
            <m:sty m:val="p"/>
          </m:rPr>
          <w:rPr>
            <w:rFonts w:ascii="Cambria Math" w:hAnsi="Cambria Math"/>
            <w:i w:val="0"/>
            <w:sz w:val="28"/>
            <w:szCs w:val="28"/>
          </w:rPr>
          <m:t xml:space="preserve"> = </m:t>
        </m:r>
        <m:sSub>
          <m:e>
            <m:r>
              <w:rPr>
                <w:rFonts w:ascii="Cambria Math" w:hAnsi="Cambria Math"/>
                <w:i/>
                <w:sz w:val="28"/>
                <w:szCs w:val="28"/>
              </w:rPr>
              <m:t xml:space="preserve">γ</m:t>
            </m:r>
          </m:e>
          <m:sub>
            <m:r>
              <w:rPr>
                <w:rFonts w:ascii="Cambria Math" w:hAnsi="Cambria Math"/>
                <w:i/>
                <w:sz w:val="28"/>
                <w:szCs w:val="28"/>
              </w:rPr>
              <m:t xml:space="preserve">h</m:t>
            </m:r>
          </m:sub>
        </m:sSub>
        <m:r>
          <m:rPr>
            <m:sty m:val="p"/>
          </m:rPr>
          <w:rPr>
            <w:rFonts w:ascii="Cambria Math" w:hAnsi="Cambria Math"/>
            <w:i w:val="0"/>
            <w:sz w:val="28"/>
            <w:szCs w:val="28"/>
          </w:rPr>
          <m:t xml:space="preserve">·</m:t>
        </m:r>
        <m:r>
          <w:rPr>
            <w:rFonts w:ascii="Cambria Math" w:hAnsi="Cambria Math"/>
            <w:i/>
            <w:sz w:val="28"/>
            <w:szCs w:val="28"/>
          </w:rPr>
          <m:t xml:space="preserve">SD</m:t>
        </m:r>
        <m:d>
          <m:dPr>
            <m:begChr m:val="("/>
            <m:endChr m:val=")"/>
          </m:dPr>
          <m:e>
            <m:r>
              <w:rPr>
                <w:rFonts w:ascii="Cambria Math" w:hAnsi="Cambria Math"/>
                <w:i/>
                <w:sz w:val="28"/>
                <w:szCs w:val="28"/>
              </w:rPr>
              <m:t xml:space="preserve">t</m:t>
            </m:r>
          </m:e>
        </m:d>
      </m:oMath>
      <w:r>
        <w:rPr>
          <w:rFonts w:ascii="Times New Roman" w:cs="Times New Roman" w:eastAsia="Times New Roman" w:hAnsi="Times New Roman"/>
          <w:sz w:val="28"/>
          <w:szCs w:val="28"/>
        </w:rPr>
        <w:t xml:space="preserve">	(2.16)</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где γ</w:t>
      </w:r>
      <w:r>
        <w:rPr>
          <w:rFonts w:ascii="Times New Roman" w:cs="Times New Roman" w:eastAsia="Times New Roman" w:hAnsi="Times New Roman"/>
          <w:b w:val="false"/>
          <w:bCs w:val="false"/>
          <w:i w:val="false"/>
          <w:iCs w:val="false"/>
          <w:sz w:val="28"/>
          <w:szCs w:val="28"/>
          <w:vertAlign w:val="subscript"/>
        </w:rPr>
        <w:t xml:space="preserve">h</w:t>
      </w:r>
      <w:r>
        <w:rPr>
          <w:rFonts w:ascii="Times New Roman" w:cs="Times New Roman" w:eastAsia="Times New Roman" w:hAnsi="Times New Roman"/>
          <w:b w:val="false"/>
          <w:bCs w:val="false"/>
          <w:i w:val="false"/>
          <w:iCs w:val="false"/>
          <w:sz w:val="28"/>
          <w:szCs w:val="28"/>
        </w:rPr>
        <w:t xml:space="preserve"> — договорная доля группы получателей h в симбиотическом дивиденде, γ</w:t>
      </w:r>
      <w:r>
        <w:rPr>
          <w:rFonts w:ascii="Times New Roman" w:cs="Times New Roman" w:eastAsia="Times New Roman" w:hAnsi="Times New Roman"/>
          <w:b w:val="false"/>
          <w:bCs w:val="false"/>
          <w:i w:val="false"/>
          <w:iCs w:val="false"/>
          <w:sz w:val="28"/>
          <w:szCs w:val="28"/>
          <w:vertAlign w:val="subscript"/>
        </w:rPr>
        <w:t xml:space="preserve">h</w:t>
      </w:r>
      <w:r>
        <w:rPr>
          <w:rFonts w:ascii="Times New Roman" w:cs="Times New Roman" w:eastAsia="Times New Roman" w:hAnsi="Times New Roman"/>
          <w:b w:val="false"/>
          <w:bCs w:val="false"/>
          <w:i w:val="false"/>
          <w:iCs w:val="false"/>
          <w:sz w:val="28"/>
          <w:szCs w:val="28"/>
        </w:rPr>
        <w:t xml:space="preserve"> ≥ 0; D</w:t>
      </w:r>
      <w:r>
        <w:rPr>
          <w:rFonts w:ascii="Times New Roman" w:cs="Times New Roman" w:eastAsia="Times New Roman" w:hAnsi="Times New Roman"/>
          <w:b w:val="false"/>
          <w:bCs w:val="false"/>
          <w:i w:val="false"/>
          <w:iCs w:val="false"/>
          <w:sz w:val="28"/>
          <w:szCs w:val="28"/>
          <w:vertAlign w:val="subscript"/>
        </w:rPr>
        <w:t xml:space="preserve">h</w:t>
      </w:r>
      <w:r>
        <w:rPr>
          <w:rFonts w:ascii="Times New Roman" w:cs="Times New Roman" w:eastAsia="Times New Roman" w:hAnsi="Times New Roman"/>
          <w:b w:val="false"/>
          <w:bCs w:val="false"/>
          <w:i w:val="false"/>
          <w:iCs w:val="false"/>
          <w:sz w:val="28"/>
          <w:szCs w:val="28"/>
        </w:rPr>
        <w:t xml:space="preserve">(t) — сумма, начисляемая группе h за период t; SD(t) — дивиденд (2.11); суммирование ведётся по всем группам получателей.</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Процедура, в которой распределение отделено от измерения, показана на рисунке 2.6. Её смысл в том, что ни один получатель не участвует в определении величины, от которой зависит его доля.</w:t>
      </w:r>
    </w:p>
    <w:p>
      <w:pPr>
        <w:keepNext/>
        <w:jc w:val="center"/>
      </w:pPr>
      <w:r>
        <w:drawing>
          <wp:inline distT="0" distB="0" distL="0" distR="0">
            <wp:extent cx="5715000" cy="2238375"/>
            <wp:effectExtent t="0" r="0" b="0" l="0"/>
            <wp:docPr id="1" name="fig2_6.svg" descr="fig2_6.svg" title="fig2_6.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extLst>
                        <a:ext uri="{96DAC541-7B7A-43D3-8B79-37D633B846F1}">
                          <asvg:svgBlip xmlns:asvg="http://schemas.microsoft.com/office/drawing/2016/SVG/main" r:embed="rId18"/>
                        </a:ext>
                      </a:extLst>
                    </a:blip>
                    <a:srcRect/>
                    <a:stretch>
                      <a:fillRect/>
                    </a:stretch>
                  </pic:blipFill>
                  <pic:spPr bwMode="auto">
                    <a:xfrm>
                      <a:off x="0" y="0"/>
                      <a:ext cx="5715000" cy="2238375"/>
                    </a:xfrm>
                    <a:prstGeom prst="rect">
                      <a:avLst/>
                    </a:prstGeom>
                  </pic:spPr>
                </pic:pic>
              </a:graphicData>
            </a:graphic>
          </wp:inline>
        </w:drawing>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8"/>
          <w:szCs w:val="28"/>
        </w:rPr>
        <w:t xml:space="preserve">Рисунок 2.6 – Процедура подтверждения эффекта и распределения симбиотического дивиденда</w:t>
      </w:r>
    </w:p>
    <w:p>
      <w:pPr>
        <w:keepNext w:val="false"/>
        <w:spacing w:after="0" w:before="0" w:line="360" w:lineRule="auto"/>
        <w:ind w:firstLine="0"/>
        <w:jc w:val="center"/>
      </w:pPr>
      <w:r>
        <w:rPr>
          <w:rFonts w:ascii="Times New Roman" w:cs="Times New Roman" w:eastAsia="Times New Roman" w:hAnsi="Times New Roman"/>
          <w:b w:val="false"/>
          <w:bCs w:val="false"/>
          <w:i w:val="false"/>
          <w:iCs w:val="false"/>
          <w:sz w:val="24"/>
          <w:szCs w:val="24"/>
        </w:rPr>
        <w:t xml:space="preserve">Источник: составлено автором.</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Из рисунка 2.6 видно, что ветвь «нет» после проверки знака эффекта ведёт к нулевому дивиденду без переноса убытка на следующие периоды. Коэффициент α фиксируется соглашением заранее и не пересматривается по итогам периода; иначе участники с сильной переговорной позицией добивались бы его снижения в удачные годы. Проверка индивидуальной рациональности выполняется после расчёта долей и служит сигналом для пересмотра соглашения на следующий период, если для какой-либо группы она не выполняется.</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2.5.2. Сравнение схем распределения</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 материалах исследования сложились три схемы распределения, различающиеся составом получателей и зависимостью долей от связности. Их нельзя смешивать, поскольку в них участвуют разные по экономическому смыслу публичные получатели.</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Схема А использует постоянные доли: публичный партнёр — 0,30, оператор — 0,25, резиденты — 0,25, экологический фонд — 0,20. Доли отражают авторскую оценку вклада и риска групп, но не являются нормой бюджетного законодательства или условием действующего соглашения.</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Схема Б вводит переменную долю публичного партнёра, который выступает инвестором в инфраструктуру и принимает наибольший риск на начальной стадии, когда сеть ещё не доказала жизнеспособность:</w:t>
      </w:r>
    </w:p>
    <w:p>
      <w:pPr>
        <w:tabs>
          <w:tab w:val="center" w:pos="4678"/>
          <w:tab w:val="right" w:pos="9355"/>
        </w:tabs>
        <w:spacing w:after="0" w:before="0" w:line="360" w:lineRule="auto"/>
        <w:ind w:firstLine="0"/>
        <w:jc w:val="left"/>
      </w:pPr>
      <w:r>
        <w:rPr>
          <w:rFonts w:ascii="Times New Roman" w:cs="Times New Roman" w:eastAsia="Times New Roman" w:hAnsi="Times New Roman"/>
          <w:sz w:val="28"/>
          <w:szCs w:val="28"/>
        </w:rPr>
        <w:t xml:space="preserve">	</w:t>
      </w:r>
      <m:oMath xmlns:m="http://schemas.openxmlformats.org/officeDocument/2006/math" xmlns:w="http://schemas.openxmlformats.org/wordprocessingml/2006/main">
        <m:sSub>
          <m:e>
            <m:r>
              <w:rPr>
                <w:rFonts w:ascii="Cambria Math" w:hAnsi="Cambria Math"/>
                <w:i/>
                <w:sz w:val="28"/>
                <w:szCs w:val="28"/>
              </w:rPr>
              <m:t xml:space="preserve">γ</m:t>
            </m:r>
          </m:e>
          <m:sub>
            <m:r>
              <m:rPr>
                <m:sty m:val="p"/>
              </m:rPr>
              <w:rPr>
                <w:rFonts w:ascii="Cambria Math" w:hAnsi="Cambria Math"/>
                <w:i w:val="0"/>
                <w:sz w:val="28"/>
                <w:szCs w:val="28"/>
              </w:rPr>
              <m:t xml:space="preserve">гос</m:t>
            </m:r>
          </m:sub>
        </m:sSub>
        <m:d>
          <m:dPr>
            <m:begChr m:val="("/>
            <m:endChr m:val=")"/>
          </m:dPr>
          <m:e>
            <m:r>
              <w:rPr>
                <w:rFonts w:ascii="Cambria Math" w:hAnsi="Cambria Math"/>
                <w:i/>
                <w:sz w:val="28"/>
                <w:szCs w:val="28"/>
              </w:rPr>
              <m:t xml:space="preserve">C</m:t>
            </m:r>
          </m:e>
        </m:d>
        <m:r>
          <m:rPr>
            <m:sty m:val="p"/>
          </m:rPr>
          <w:rPr>
            <w:rFonts w:ascii="Cambria Math" w:hAnsi="Cambria Math"/>
            <w:i w:val="0"/>
            <w:sz w:val="28"/>
            <w:szCs w:val="28"/>
          </w:rPr>
          <m:t xml:space="preserve"> = </m:t>
        </m:r>
        <m:sSubSup>
          <m:e>
            <m:r>
              <w:rPr>
                <w:rFonts w:ascii="Cambria Math" w:hAnsi="Cambria Math"/>
                <w:i/>
                <w:sz w:val="28"/>
                <w:szCs w:val="28"/>
              </w:rPr>
              <m:t xml:space="preserve">γ</m:t>
            </m:r>
          </m:e>
          <m:sub>
            <m:r>
              <m:rPr>
                <m:sty m:val="p"/>
              </m:rPr>
              <w:rPr>
                <w:rFonts w:ascii="Cambria Math" w:hAnsi="Cambria Math"/>
                <w:i w:val="0"/>
                <w:sz w:val="28"/>
                <w:szCs w:val="28"/>
              </w:rPr>
              <m:t xml:space="preserve">гос</m:t>
            </m:r>
          </m:sub>
          <m:sup>
            <m:r>
              <m:rPr>
                <m:sty m:val="p"/>
              </m:rPr>
              <w:rPr>
                <w:rFonts w:ascii="Cambria Math" w:hAnsi="Cambria Math"/>
                <w:i w:val="0"/>
                <w:sz w:val="28"/>
                <w:szCs w:val="28"/>
              </w:rPr>
              <m:t xml:space="preserve">1</m:t>
            </m:r>
          </m:sup>
        </m:sSubSup>
        <m:r>
          <m:rPr>
            <m:sty m:val="p"/>
          </m:rPr>
          <w:rPr>
            <w:rFonts w:ascii="Cambria Math" w:hAnsi="Cambria Math"/>
            <w:i w:val="0"/>
            <w:sz w:val="28"/>
            <w:szCs w:val="28"/>
          </w:rPr>
          <m:t xml:space="preserve"> + </m:t>
        </m:r>
        <m:d>
          <m:dPr>
            <m:begChr m:val="("/>
            <m:endChr m:val=")"/>
          </m:dPr>
          <m:e>
            <m:sSubSup>
              <m:e>
                <m:r>
                  <w:rPr>
                    <w:rFonts w:ascii="Cambria Math" w:hAnsi="Cambria Math"/>
                    <w:i/>
                    <w:sz w:val="28"/>
                    <w:szCs w:val="28"/>
                  </w:rPr>
                  <m:t xml:space="preserve">γ</m:t>
                </m:r>
              </m:e>
              <m:sub>
                <m:r>
                  <m:rPr>
                    <m:sty m:val="p"/>
                  </m:rPr>
                  <w:rPr>
                    <w:rFonts w:ascii="Cambria Math" w:hAnsi="Cambria Math"/>
                    <w:i w:val="0"/>
                    <w:sz w:val="28"/>
                    <w:szCs w:val="28"/>
                  </w:rPr>
                  <m:t xml:space="preserve">гос</m:t>
                </m:r>
              </m:sub>
              <m:sup>
                <m:r>
                  <m:rPr>
                    <m:sty m:val="p"/>
                  </m:rPr>
                  <w:rPr>
                    <w:rFonts w:ascii="Cambria Math" w:hAnsi="Cambria Math"/>
                    <w:i w:val="0"/>
                    <w:sz w:val="28"/>
                    <w:szCs w:val="28"/>
                  </w:rPr>
                  <m:t xml:space="preserve">0</m:t>
                </m:r>
              </m:sup>
            </m:sSubSup>
            <m:r>
              <m:rPr>
                <m:sty m:val="p"/>
              </m:rPr>
              <w:rPr>
                <w:rFonts w:ascii="Cambria Math" w:hAnsi="Cambria Math"/>
                <w:i w:val="0"/>
                <w:sz w:val="28"/>
                <w:szCs w:val="28"/>
              </w:rPr>
              <m:t xml:space="preserve"> − </m:t>
            </m:r>
            <m:sSubSup>
              <m:e>
                <m:r>
                  <w:rPr>
                    <w:rFonts w:ascii="Cambria Math" w:hAnsi="Cambria Math"/>
                    <w:i/>
                    <w:sz w:val="28"/>
                    <w:szCs w:val="28"/>
                  </w:rPr>
                  <m:t xml:space="preserve">γ</m:t>
                </m:r>
              </m:e>
              <m:sub>
                <m:r>
                  <m:rPr>
                    <m:sty m:val="p"/>
                  </m:rPr>
                  <w:rPr>
                    <w:rFonts w:ascii="Cambria Math" w:hAnsi="Cambria Math"/>
                    <w:i w:val="0"/>
                    <w:sz w:val="28"/>
                    <w:szCs w:val="28"/>
                  </w:rPr>
                  <m:t xml:space="preserve">гос</m:t>
                </m:r>
              </m:sub>
              <m:sup>
                <m:r>
                  <m:rPr>
                    <m:sty m:val="p"/>
                  </m:rPr>
                  <w:rPr>
                    <w:rFonts w:ascii="Cambria Math" w:hAnsi="Cambria Math"/>
                    <w:i w:val="0"/>
                    <w:sz w:val="28"/>
                    <w:szCs w:val="28"/>
                  </w:rPr>
                  <m:t xml:space="preserve">1</m:t>
                </m:r>
              </m:sup>
            </m:sSubSup>
          </m:e>
        </m:d>
        <m:r>
          <m:rPr>
            <m:sty m:val="p"/>
          </m:rPr>
          <w:rPr>
            <w:rFonts w:ascii="Cambria Math" w:hAnsi="Cambria Math"/>
            <w:i w:val="0"/>
            <w:sz w:val="28"/>
            <w:szCs w:val="28"/>
          </w:rPr>
          <m:t xml:space="preserve">·</m:t>
        </m:r>
        <m:d>
          <m:dPr>
            <m:begChr m:val="("/>
            <m:endChr m:val=")"/>
          </m:dPr>
          <m:e>
            <m:r>
              <m:rPr>
                <m:sty m:val="p"/>
              </m:rPr>
              <w:rPr>
                <w:rFonts w:ascii="Cambria Math" w:hAnsi="Cambria Math"/>
                <w:i w:val="0"/>
                <w:sz w:val="28"/>
                <w:szCs w:val="28"/>
              </w:rPr>
              <m:t xml:space="preserve">1 − </m:t>
            </m:r>
            <m:r>
              <w:rPr>
                <w:rFonts w:ascii="Cambria Math" w:hAnsi="Cambria Math"/>
                <w:i/>
                <w:sz w:val="28"/>
                <w:szCs w:val="28"/>
              </w:rPr>
              <m:t xml:space="preserve">φ</m:t>
            </m:r>
            <m:d>
              <m:dPr>
                <m:begChr m:val="("/>
                <m:endChr m:val=")"/>
              </m:dPr>
              <m:e>
                <m:r>
                  <w:rPr>
                    <w:rFonts w:ascii="Cambria Math" w:hAnsi="Cambria Math"/>
                    <w:i/>
                    <w:sz w:val="28"/>
                    <w:szCs w:val="28"/>
                  </w:rPr>
                  <m:t xml:space="preserve">C</m:t>
                </m:r>
              </m:e>
            </m:d>
          </m:e>
        </m:d>
      </m:oMath>
      <w:r>
        <w:rPr>
          <w:rFonts w:ascii="Times New Roman" w:cs="Times New Roman" w:eastAsia="Times New Roman" w:hAnsi="Times New Roman"/>
          <w:sz w:val="28"/>
          <w:szCs w:val="28"/>
        </w:rPr>
        <w:t xml:space="preserve">	(2.17)</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где γ</w:t>
      </w:r>
      <w:r>
        <w:rPr>
          <w:rFonts w:ascii="Times New Roman" w:cs="Times New Roman" w:eastAsia="Times New Roman" w:hAnsi="Times New Roman"/>
          <w:b w:val="false"/>
          <w:bCs w:val="false"/>
          <w:i w:val="false"/>
          <w:iCs w:val="false"/>
          <w:sz w:val="28"/>
          <w:szCs w:val="28"/>
          <w:vertAlign w:val="subscript"/>
        </w:rPr>
        <w:t xml:space="preserve">гос</w:t>
      </w:r>
      <w:r>
        <w:rPr>
          <w:rFonts w:ascii="Times New Roman" w:cs="Times New Roman" w:eastAsia="Times New Roman" w:hAnsi="Times New Roman"/>
          <w:b w:val="false"/>
          <w:bCs w:val="false"/>
          <w:i w:val="false"/>
          <w:iCs w:val="false"/>
          <w:sz w:val="28"/>
          <w:szCs w:val="28"/>
        </w:rPr>
        <w:t xml:space="preserve">(C) — доля публичного партнёра при связности C; γ</w:t>
      </w:r>
      <w:r>
        <w:rPr>
          <w:rFonts w:ascii="Times New Roman" w:cs="Times New Roman" w:eastAsia="Times New Roman" w:hAnsi="Times New Roman"/>
          <w:b w:val="false"/>
          <w:bCs w:val="false"/>
          <w:i w:val="false"/>
          <w:iCs w:val="false"/>
          <w:sz w:val="28"/>
          <w:szCs w:val="28"/>
          <w:vertAlign w:val="subscript"/>
        </w:rPr>
        <w:t xml:space="preserve">гос</w:t>
      </w:r>
      <w:r>
        <w:rPr>
          <w:rFonts w:ascii="Times New Roman" w:cs="Times New Roman" w:eastAsia="Times New Roman" w:hAnsi="Times New Roman"/>
          <w:b w:val="false"/>
          <w:bCs w:val="false"/>
          <w:i w:val="false"/>
          <w:iCs w:val="false"/>
          <w:sz w:val="28"/>
          <w:szCs w:val="28"/>
          <w:vertAlign w:val="superscript"/>
        </w:rPr>
        <w:t xml:space="preserve">0</w:t>
      </w:r>
      <w:r>
        <w:rPr>
          <w:rFonts w:ascii="Times New Roman" w:cs="Times New Roman" w:eastAsia="Times New Roman" w:hAnsi="Times New Roman"/>
          <w:b w:val="false"/>
          <w:bCs w:val="false"/>
          <w:i w:val="false"/>
          <w:iCs w:val="false"/>
          <w:sz w:val="28"/>
          <w:szCs w:val="28"/>
        </w:rPr>
        <w:t xml:space="preserve"> — доля на начальной стадии при C → 0 (в модели 0,40); γ</w:t>
      </w:r>
      <w:r>
        <w:rPr>
          <w:rFonts w:ascii="Times New Roman" w:cs="Times New Roman" w:eastAsia="Times New Roman" w:hAnsi="Times New Roman"/>
          <w:b w:val="false"/>
          <w:bCs w:val="false"/>
          <w:i w:val="false"/>
          <w:iCs w:val="false"/>
          <w:sz w:val="28"/>
          <w:szCs w:val="28"/>
          <w:vertAlign w:val="subscript"/>
        </w:rPr>
        <w:t xml:space="preserve">гос</w:t>
      </w:r>
      <w:r>
        <w:rPr>
          <w:rFonts w:ascii="Times New Roman" w:cs="Times New Roman" w:eastAsia="Times New Roman" w:hAnsi="Times New Roman"/>
          <w:b w:val="false"/>
          <w:bCs w:val="false"/>
          <w:i w:val="false"/>
          <w:iCs w:val="false"/>
          <w:sz w:val="28"/>
          <w:szCs w:val="28"/>
          <w:vertAlign w:val="superscript"/>
        </w:rPr>
        <w:t xml:space="preserve">1</w:t>
      </w:r>
      <w:r>
        <w:rPr>
          <w:rFonts w:ascii="Times New Roman" w:cs="Times New Roman" w:eastAsia="Times New Roman" w:hAnsi="Times New Roman"/>
          <w:b w:val="false"/>
          <w:bCs w:val="false"/>
          <w:i w:val="false"/>
          <w:iCs w:val="false"/>
          <w:sz w:val="28"/>
          <w:szCs w:val="28"/>
        </w:rPr>
        <w:t xml:space="preserve"> — предельная доля в зрелой сети (0,15); φ(C) — функция (2.5). Остаток 1 − γ</w:t>
      </w:r>
      <w:r>
        <w:rPr>
          <w:rFonts w:ascii="Times New Roman" w:cs="Times New Roman" w:eastAsia="Times New Roman" w:hAnsi="Times New Roman"/>
          <w:b w:val="false"/>
          <w:bCs w:val="false"/>
          <w:i w:val="false"/>
          <w:iCs w:val="false"/>
          <w:sz w:val="28"/>
          <w:szCs w:val="28"/>
          <w:vertAlign w:val="subscript"/>
        </w:rPr>
        <w:t xml:space="preserve">гос</w:t>
      </w:r>
      <w:r>
        <w:rPr>
          <w:rFonts w:ascii="Times New Roman" w:cs="Times New Roman" w:eastAsia="Times New Roman" w:hAnsi="Times New Roman"/>
          <w:b w:val="false"/>
          <w:bCs w:val="false"/>
          <w:i w:val="false"/>
          <w:iCs w:val="false"/>
          <w:sz w:val="28"/>
          <w:szCs w:val="28"/>
        </w:rPr>
        <w:t xml:space="preserve"> делится между оператором, резидентами и фондом пропорционально их долям в схеме А.</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Схема В реализована в симуляторе главы 3. В ней публичным получателем выступает бюджет территории, принимающей экологическую нагрузку, и его доля растёт со связностью:</w:t>
      </w:r>
    </w:p>
    <w:p>
      <w:pPr>
        <w:tabs>
          <w:tab w:val="center" w:pos="4678"/>
          <w:tab w:val="right" w:pos="9355"/>
        </w:tabs>
        <w:spacing w:after="0" w:before="0" w:line="360" w:lineRule="auto"/>
        <w:ind w:firstLine="0"/>
        <w:jc w:val="left"/>
      </w:pPr>
      <w:r>
        <w:rPr>
          <w:rFonts w:ascii="Times New Roman" w:cs="Times New Roman" w:eastAsia="Times New Roman" w:hAnsi="Times New Roman"/>
          <w:sz w:val="28"/>
          <w:szCs w:val="28"/>
        </w:rPr>
        <w:t xml:space="preserve">	</w:t>
      </w:r>
      <m:oMath xmlns:m="http://schemas.openxmlformats.org/officeDocument/2006/math" xmlns:w="http://schemas.openxmlformats.org/wordprocessingml/2006/main">
        <m:r>
          <w:rPr>
            <w:rFonts w:ascii="Cambria Math" w:hAnsi="Cambria Math"/>
            <w:i/>
            <w:sz w:val="28"/>
            <w:szCs w:val="28"/>
          </w:rPr>
          <m:t xml:space="preserve">β</m:t>
        </m:r>
        <m:d>
          <m:dPr>
            <m:begChr m:val="("/>
            <m:endChr m:val=")"/>
          </m:dPr>
          <m:e>
            <m:r>
              <w:rPr>
                <w:rFonts w:ascii="Cambria Math" w:hAnsi="Cambria Math"/>
                <w:i/>
                <w:sz w:val="28"/>
                <w:szCs w:val="28"/>
              </w:rPr>
              <m:t xml:space="preserve">C</m:t>
            </m:r>
          </m:e>
        </m:d>
        <m:r>
          <m:rPr>
            <m:sty m:val="p"/>
          </m:rPr>
          <w:rPr>
            <w:rFonts w:ascii="Cambria Math" w:hAnsi="Cambria Math"/>
            <w:i w:val="0"/>
            <w:sz w:val="28"/>
            <w:szCs w:val="28"/>
          </w:rPr>
          <m:t xml:space="preserve"> = </m:t>
        </m:r>
        <m:sSub>
          <m:e>
            <m:r>
              <w:rPr>
                <w:rFonts w:ascii="Cambria Math" w:hAnsi="Cambria Math"/>
                <w:i/>
                <w:sz w:val="28"/>
                <w:szCs w:val="28"/>
              </w:rPr>
              <m:t xml:space="preserve">β</m:t>
            </m:r>
          </m:e>
          <m:sub>
            <m:r>
              <m:rPr>
                <m:sty m:val="p"/>
              </m:rPr>
              <w:rPr>
                <w:rFonts w:ascii="Cambria Math" w:hAnsi="Cambria Math"/>
                <w:i w:val="0"/>
                <w:sz w:val="28"/>
                <w:szCs w:val="28"/>
              </w:rPr>
              <m:t xml:space="preserve">0</m:t>
            </m:r>
          </m:sub>
        </m:sSub>
        <m:r>
          <m:rPr>
            <m:sty m:val="p"/>
          </m:rPr>
          <w:rPr>
            <w:rFonts w:ascii="Cambria Math" w:hAnsi="Cambria Math"/>
            <w:i w:val="0"/>
            <w:sz w:val="28"/>
            <w:szCs w:val="28"/>
          </w:rPr>
          <m:t xml:space="preserve">·</m:t>
        </m:r>
        <m:r>
          <w:rPr>
            <w:rFonts w:ascii="Cambria Math" w:hAnsi="Cambria Math"/>
            <w:i/>
            <w:sz w:val="28"/>
            <w:szCs w:val="28"/>
          </w:rPr>
          <m:t xml:space="preserve">φ</m:t>
        </m:r>
        <m:d>
          <m:dPr>
            <m:begChr m:val="("/>
            <m:endChr m:val=")"/>
          </m:dPr>
          <m:e>
            <m:r>
              <w:rPr>
                <w:rFonts w:ascii="Cambria Math" w:hAnsi="Cambria Math"/>
                <w:i/>
                <w:sz w:val="28"/>
                <w:szCs w:val="28"/>
              </w:rPr>
              <m:t xml:space="preserve">C</m:t>
            </m:r>
          </m:e>
        </m:d>
        <m:r>
          <m:rPr>
            <m:sty m:val="p"/>
          </m:rPr>
          <w:rPr>
            <w:rFonts w:ascii="Cambria Math" w:hAnsi="Cambria Math"/>
            <w:i w:val="0"/>
            <w:sz w:val="28"/>
            <w:szCs w:val="28"/>
          </w:rPr>
          <m:t xml:space="preserve"> + </m:t>
        </m:r>
        <m:sSub>
          <m:e>
            <m:r>
              <w:rPr>
                <w:rFonts w:ascii="Cambria Math" w:hAnsi="Cambria Math"/>
                <w:i/>
                <w:sz w:val="28"/>
                <w:szCs w:val="28"/>
              </w:rPr>
              <m:t xml:space="preserve">β</m:t>
            </m:r>
          </m:e>
          <m:sub>
            <m:r>
              <m:rPr>
                <m:sty m:val="p"/>
              </m:rPr>
              <w:rPr>
                <w:rFonts w:ascii="Cambria Math" w:hAnsi="Cambria Math"/>
                <w:i w:val="0"/>
                <w:sz w:val="28"/>
                <w:szCs w:val="28"/>
              </w:rPr>
              <m:t xml:space="preserve">1</m:t>
            </m:r>
          </m:sub>
        </m:sSub>
        <m:r>
          <m:rPr>
            <m:sty m:val="p"/>
          </m:rPr>
          <w:rPr>
            <w:rFonts w:ascii="Cambria Math" w:hAnsi="Cambria Math"/>
            <w:i w:val="0"/>
            <w:sz w:val="28"/>
            <w:szCs w:val="28"/>
          </w:rPr>
          <m:t xml:space="preserve">·</m:t>
        </m:r>
        <m:d>
          <m:dPr>
            <m:begChr m:val="("/>
            <m:endChr m:val=")"/>
          </m:dPr>
          <m:e>
            <m:r>
              <m:rPr>
                <m:sty m:val="p"/>
              </m:rPr>
              <w:rPr>
                <w:rFonts w:ascii="Cambria Math" w:hAnsi="Cambria Math"/>
                <w:i w:val="0"/>
                <w:sz w:val="28"/>
                <w:szCs w:val="28"/>
              </w:rPr>
              <m:t xml:space="preserve">1 − </m:t>
            </m:r>
            <m:r>
              <w:rPr>
                <w:rFonts w:ascii="Cambria Math" w:hAnsi="Cambria Math"/>
                <w:i/>
                <w:sz w:val="28"/>
                <w:szCs w:val="28"/>
              </w:rPr>
              <m:t xml:space="preserve">φ</m:t>
            </m:r>
            <m:d>
              <m:dPr>
                <m:begChr m:val="("/>
                <m:endChr m:val=")"/>
              </m:dPr>
              <m:e>
                <m:r>
                  <w:rPr>
                    <w:rFonts w:ascii="Cambria Math" w:hAnsi="Cambria Math"/>
                    <w:i/>
                    <w:sz w:val="28"/>
                    <w:szCs w:val="28"/>
                  </w:rPr>
                  <m:t xml:space="preserve">C</m:t>
                </m:r>
              </m:e>
            </m:d>
          </m:e>
        </m:d>
      </m:oMath>
      <w:r>
        <w:rPr>
          <w:rFonts w:ascii="Times New Roman" w:cs="Times New Roman" w:eastAsia="Times New Roman" w:hAnsi="Times New Roman"/>
          <w:sz w:val="28"/>
          <w:szCs w:val="28"/>
        </w:rPr>
        <w:t xml:space="preserve">	(2.18)</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где β(C) — доля бюджета территории; β</w:t>
      </w:r>
      <w:r>
        <w:rPr>
          <w:rFonts w:ascii="Times New Roman" w:cs="Times New Roman" w:eastAsia="Times New Roman" w:hAnsi="Times New Roman"/>
          <w:b w:val="false"/>
          <w:bCs w:val="false"/>
          <w:i w:val="false"/>
          <w:iCs w:val="false"/>
          <w:sz w:val="28"/>
          <w:szCs w:val="28"/>
          <w:vertAlign w:val="subscript"/>
        </w:rPr>
        <w:t xml:space="preserve">0</w:t>
      </w:r>
      <w:r>
        <w:rPr>
          <w:rFonts w:ascii="Times New Roman" w:cs="Times New Roman" w:eastAsia="Times New Roman" w:hAnsi="Times New Roman"/>
          <w:b w:val="false"/>
          <w:bCs w:val="false"/>
          <w:i w:val="false"/>
          <w:iCs w:val="false"/>
          <w:sz w:val="28"/>
          <w:szCs w:val="28"/>
        </w:rPr>
        <w:t xml:space="preserve"> — доля в экосистемном режиме (0,45); β</w:t>
      </w:r>
      <w:r>
        <w:rPr>
          <w:rFonts w:ascii="Times New Roman" w:cs="Times New Roman" w:eastAsia="Times New Roman" w:hAnsi="Times New Roman"/>
          <w:b w:val="false"/>
          <w:bCs w:val="false"/>
          <w:i w:val="false"/>
          <w:iCs w:val="false"/>
          <w:sz w:val="28"/>
          <w:szCs w:val="28"/>
          <w:vertAlign w:val="subscript"/>
        </w:rPr>
        <w:t xml:space="preserve">1</w:t>
      </w:r>
      <w:r>
        <w:rPr>
          <w:rFonts w:ascii="Times New Roman" w:cs="Times New Roman" w:eastAsia="Times New Roman" w:hAnsi="Times New Roman"/>
          <w:b w:val="false"/>
          <w:bCs w:val="false"/>
          <w:i w:val="false"/>
          <w:iCs w:val="false"/>
          <w:sz w:val="28"/>
          <w:szCs w:val="28"/>
        </w:rPr>
        <w:t xml:space="preserve"> — доля при низкой связности (0,25). Экологическому фонду отводится постоянная доля 0,08, а остаток 1 − β − 0,08 делится между оператором, поставщиками ресурсов и корпорацией развития края в пропорциях выбранного режима; в фискальном режиме они относятся как 0,25 : 0,15 : 0,12.</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Противоположная динамика долей в схемах Б и В не является противоречием. В схеме Б публичный партнёр получает возврат на вложенный капитал, и по мере снижения риска его премия уменьшается. В схеме В бюджет получает компенсацию за экологическую нагрузку и рост собственных функций по обслуживанию расширяющейся сети, которые увеличиваются вместе со связностью. Это две разные экономические роли государства, и выбор между схемами означает выбор роли, а не уточнение коэффициентов. Количественное сопоставление схем при одинаковом дивиденде базового сценария дано в таблице 2.10.</w:t>
      </w:r>
    </w:p>
    <w:p>
      <w:pPr>
        <w:keepNext/>
        <w:spacing w:after="0" w:before="0" w:line="360" w:lineRule="auto"/>
        <w:ind w:firstLine="0"/>
        <w:jc w:val="right"/>
      </w:pPr>
      <w:r>
        <w:rPr>
          <w:rFonts w:ascii="Times New Roman" w:cs="Times New Roman" w:eastAsia="Times New Roman" w:hAnsi="Times New Roman"/>
          <w:b w:val="false"/>
          <w:bCs w:val="false"/>
          <w:i w:val="false"/>
          <w:iCs w:val="false"/>
          <w:sz w:val="28"/>
          <w:szCs w:val="28"/>
        </w:rPr>
        <w:t xml:space="preserve">Таблица 2.10</w:t>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8"/>
          <w:szCs w:val="28"/>
        </w:rPr>
        <w:t xml:space="preserve">Распределение симбиотического дивиденда базового сценария по трём схемам при C</w:t>
      </w:r>
      <w:r>
        <w:rPr>
          <w:rFonts w:ascii="Times New Roman" w:cs="Times New Roman" w:eastAsia="Times New Roman" w:hAnsi="Times New Roman"/>
          <w:b w:val="false"/>
          <w:bCs w:val="false"/>
          <w:i w:val="false"/>
          <w:iCs w:val="false"/>
          <w:sz w:val="28"/>
          <w:szCs w:val="28"/>
          <w:vertAlign w:val="subscript"/>
        </w:rPr>
        <w:t xml:space="preserve">инд</w:t>
      </w:r>
      <w:r>
        <w:rPr>
          <w:rFonts w:ascii="Times New Roman" w:cs="Times New Roman" w:eastAsia="Times New Roman" w:hAnsi="Times New Roman"/>
          <w:b w:val="false"/>
          <w:bCs w:val="false"/>
          <w:i w:val="false"/>
          <w:iCs w:val="false"/>
          <w:sz w:val="28"/>
          <w:szCs w:val="28"/>
        </w:rPr>
        <w:t xml:space="preserve"> = 0,10</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949"/>
        <w:gridCol w:w="1043"/>
        <w:gridCol w:w="1043"/>
        <w:gridCol w:w="1043"/>
        <w:gridCol w:w="1043"/>
        <w:gridCol w:w="1128"/>
        <w:gridCol w:w="1106"/>
      </w:tblGrid>
      <w:tr>
        <w:trPr>
          <w:cantSplit/>
          <w:tblHeader/>
        </w:trPr>
        <w:tc>
          <w:tcPr>
            <w:tcW w:type="dxa" w:w="294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Получатель</w:t>
            </w:r>
          </w:p>
        </w:tc>
        <w:tc>
          <w:tcPr>
            <w:tcW w:type="dxa" w:w="104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Схема А: доля</w:t>
            </w:r>
          </w:p>
        </w:tc>
        <w:tc>
          <w:tcPr>
            <w:tcW w:type="dxa" w:w="104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Схема А: млн руб.</w:t>
            </w:r>
          </w:p>
        </w:tc>
        <w:tc>
          <w:tcPr>
            <w:tcW w:type="dxa" w:w="104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Схема Б: доля</w:t>
            </w:r>
          </w:p>
        </w:tc>
        <w:tc>
          <w:tcPr>
            <w:tcW w:type="dxa" w:w="104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Схема Б: млн руб.</w:t>
            </w:r>
          </w:p>
        </w:tc>
        <w:tc>
          <w:tcPr>
            <w:tcW w:type="dxa" w:w="11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Схема В: доля</w:t>
            </w:r>
          </w:p>
        </w:tc>
        <w:tc>
          <w:tcPr>
            <w:tcW w:type="dxa" w:w="11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Схема В: млн руб.</w:t>
            </w:r>
          </w:p>
        </w:tc>
      </w:tr>
      <w:tr>
        <w:trPr>
          <w:cantSplit/>
          <w:tblHeader w:val="false"/>
        </w:trPr>
        <w:tc>
          <w:tcPr>
            <w:tcW w:type="dxa" w:w="294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Публичный партнёр / бюджет территории</w:t>
            </w:r>
          </w:p>
        </w:tc>
        <w:tc>
          <w:tcPr>
            <w:tcW w:type="dxa" w:w="10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0,300</w:t>
            </w:r>
          </w:p>
        </w:tc>
        <w:tc>
          <w:tcPr>
            <w:tcW w:type="dxa" w:w="10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3,52</w:t>
            </w:r>
          </w:p>
        </w:tc>
        <w:tc>
          <w:tcPr>
            <w:tcW w:type="dxa" w:w="10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0,302</w:t>
            </w:r>
          </w:p>
        </w:tc>
        <w:tc>
          <w:tcPr>
            <w:tcW w:type="dxa" w:w="10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3,55</w:t>
            </w:r>
          </w:p>
        </w:tc>
        <w:tc>
          <w:tcPr>
            <w:tcW w:type="dxa" w:w="112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0,329</w:t>
            </w:r>
          </w:p>
        </w:tc>
        <w:tc>
          <w:tcPr>
            <w:tcW w:type="dxa" w:w="110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3,86</w:t>
            </w:r>
          </w:p>
        </w:tc>
      </w:tr>
      <w:tr>
        <w:trPr>
          <w:cantSplit/>
          <w:tblHeader w:val="false"/>
        </w:trPr>
        <w:tc>
          <w:tcPr>
            <w:tcW w:type="dxa" w:w="294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Оператор платформы</w:t>
            </w:r>
          </w:p>
        </w:tc>
        <w:tc>
          <w:tcPr>
            <w:tcW w:type="dxa" w:w="10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0,250</w:t>
            </w:r>
          </w:p>
        </w:tc>
        <w:tc>
          <w:tcPr>
            <w:tcW w:type="dxa" w:w="10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2,94</w:t>
            </w:r>
          </w:p>
        </w:tc>
        <w:tc>
          <w:tcPr>
            <w:tcW w:type="dxa" w:w="10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0,249</w:t>
            </w:r>
          </w:p>
        </w:tc>
        <w:tc>
          <w:tcPr>
            <w:tcW w:type="dxa" w:w="10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2,93</w:t>
            </w:r>
          </w:p>
        </w:tc>
        <w:tc>
          <w:tcPr>
            <w:tcW w:type="dxa" w:w="112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0,284</w:t>
            </w:r>
          </w:p>
        </w:tc>
        <w:tc>
          <w:tcPr>
            <w:tcW w:type="dxa" w:w="110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3,34</w:t>
            </w:r>
          </w:p>
        </w:tc>
      </w:tr>
      <w:tr>
        <w:trPr>
          <w:cantSplit/>
          <w:tblHeader w:val="false"/>
        </w:trPr>
        <w:tc>
          <w:tcPr>
            <w:tcW w:type="dxa" w:w="294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Резиденты / поставщики ресурсов</w:t>
            </w:r>
          </w:p>
        </w:tc>
        <w:tc>
          <w:tcPr>
            <w:tcW w:type="dxa" w:w="10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0,250</w:t>
            </w:r>
          </w:p>
        </w:tc>
        <w:tc>
          <w:tcPr>
            <w:tcW w:type="dxa" w:w="10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2,94</w:t>
            </w:r>
          </w:p>
        </w:tc>
        <w:tc>
          <w:tcPr>
            <w:tcW w:type="dxa" w:w="10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0,249</w:t>
            </w:r>
          </w:p>
        </w:tc>
        <w:tc>
          <w:tcPr>
            <w:tcW w:type="dxa" w:w="10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2,93</w:t>
            </w:r>
          </w:p>
        </w:tc>
        <w:tc>
          <w:tcPr>
            <w:tcW w:type="dxa" w:w="112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0,171</w:t>
            </w:r>
          </w:p>
        </w:tc>
        <w:tc>
          <w:tcPr>
            <w:tcW w:type="dxa" w:w="110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2,00</w:t>
            </w:r>
          </w:p>
        </w:tc>
      </w:tr>
      <w:tr>
        <w:trPr>
          <w:cantSplit/>
          <w:tblHeader w:val="false"/>
        </w:trPr>
        <w:tc>
          <w:tcPr>
            <w:tcW w:type="dxa" w:w="294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Корпорация развития края</w:t>
            </w:r>
          </w:p>
        </w:tc>
        <w:tc>
          <w:tcPr>
            <w:tcW w:type="dxa" w:w="10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10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10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10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112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0,136</w:t>
            </w:r>
          </w:p>
        </w:tc>
        <w:tc>
          <w:tcPr>
            <w:tcW w:type="dxa" w:w="110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1,60</w:t>
            </w:r>
          </w:p>
        </w:tc>
      </w:tr>
      <w:tr>
        <w:trPr>
          <w:cantSplit/>
          <w:tblHeader w:val="false"/>
        </w:trPr>
        <w:tc>
          <w:tcPr>
            <w:tcW w:type="dxa" w:w="294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Экологический фонд</w:t>
            </w:r>
          </w:p>
        </w:tc>
        <w:tc>
          <w:tcPr>
            <w:tcW w:type="dxa" w:w="10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0,200</w:t>
            </w:r>
          </w:p>
        </w:tc>
        <w:tc>
          <w:tcPr>
            <w:tcW w:type="dxa" w:w="10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2,35</w:t>
            </w:r>
          </w:p>
        </w:tc>
        <w:tc>
          <w:tcPr>
            <w:tcW w:type="dxa" w:w="10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0,199</w:t>
            </w:r>
          </w:p>
        </w:tc>
        <w:tc>
          <w:tcPr>
            <w:tcW w:type="dxa" w:w="10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2,34</w:t>
            </w:r>
          </w:p>
        </w:tc>
        <w:tc>
          <w:tcPr>
            <w:tcW w:type="dxa" w:w="112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0,080</w:t>
            </w:r>
          </w:p>
        </w:tc>
        <w:tc>
          <w:tcPr>
            <w:tcW w:type="dxa" w:w="110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0,94</w:t>
            </w:r>
          </w:p>
        </w:tc>
      </w:tr>
      <w:tr>
        <w:trPr>
          <w:cantSplit/>
          <w:tblHeader w:val="false"/>
        </w:trPr>
        <w:tc>
          <w:tcPr>
            <w:tcW w:type="dxa" w:w="294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Итого</w:t>
            </w:r>
          </w:p>
        </w:tc>
        <w:tc>
          <w:tcPr>
            <w:tcW w:type="dxa" w:w="10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1,000</w:t>
            </w:r>
          </w:p>
        </w:tc>
        <w:tc>
          <w:tcPr>
            <w:tcW w:type="dxa" w:w="10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11,74</w:t>
            </w:r>
          </w:p>
        </w:tc>
        <w:tc>
          <w:tcPr>
            <w:tcW w:type="dxa" w:w="10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1,000</w:t>
            </w:r>
          </w:p>
        </w:tc>
        <w:tc>
          <w:tcPr>
            <w:tcW w:type="dxa" w:w="10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11,74</w:t>
            </w:r>
          </w:p>
        </w:tc>
        <w:tc>
          <w:tcPr>
            <w:tcW w:type="dxa" w:w="112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1,000</w:t>
            </w:r>
          </w:p>
        </w:tc>
        <w:tc>
          <w:tcPr>
            <w:tcW w:type="dxa" w:w="110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11,74</w:t>
            </w:r>
          </w:p>
        </w:tc>
      </w:tr>
    </w:tbl>
    <w:p>
      <w:pPr>
        <w:keepNext w:val="false"/>
        <w:spacing w:after="0" w:before="0" w:line="360" w:lineRule="auto"/>
        <w:ind w:firstLine="0"/>
        <w:jc w:val="left"/>
      </w:pPr>
      <w:r>
        <w:rPr>
          <w:rFonts w:ascii="Times New Roman" w:cs="Times New Roman" w:eastAsia="Times New Roman" w:hAnsi="Times New Roman"/>
          <w:b w:val="false"/>
          <w:bCs w:val="false"/>
          <w:i w:val="false"/>
          <w:iCs w:val="false"/>
          <w:sz w:val="24"/>
          <w:szCs w:val="24"/>
        </w:rPr>
        <w:t xml:space="preserve">Источник: рассчитано автором по формулам (2.16)–(2.18); SD = 11,74 млн руб. (таблица 2.6), φ(0,10) = 0,393 при k = 5.</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Таблица 2.10 показывает, что при связности 0,10 схемы А и Б практически совпадают: переменная доля публичного партнёра в этой точке равна 0,302. Расхождение проявится при росте связности: при C = 0,25 доля публичного партнёра по схеме Б снизится до 0,222, а доля бюджета по схеме В возрастёт до 0,393. Схема В заметно меньше отдаёт экологическому фонду (0,94 против 2,35 млн руб.) и вводит дополнительного получателя — корпорацию развития. Во всех трёх схемах условие полноты выполняется точно, а все доли положительны при любом C из отрезка [0; 1].</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Главный вывод из таблицы касается абсолютных величин, а не долей. При дивиденде около 12 млн руб. в год каждая группа получает от 1 до 4 млн руб. Для оператора с годовыми эксплуатационными затратами 30 млн руб. и для бюджета с обязательствами по ликвидации накопленного ущерба это суммы второго порядка. Распределительный механизм поэтому не может служить основным источником финансирования ни платформы, ни экологических программ; он задаёт стимулы, а финансирование должно строиться иначе.</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2.5.3. Проверка правила распределения вектором Шепли</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Доли в схемах А–В заданы экспертно. Для проверки их соответствия вкладу участников используется вектор Шепли (формула 1.9), который распределяет совокупный выигрыш пропорционально среднему предельному вкладу участника по всем порядкам присоединения к коалиции</w:t>
      </w:r>
      <w:r>
        <w:rPr>
          <w:rStyle w:val="FootnoteReference"/>
        </w:rPr>
        <w:footnoteReference w:id="15"/>
      </w:r>
      <w:r>
        <w:rPr>
          <w:rFonts w:ascii="Times New Roman" w:cs="Times New Roman" w:eastAsia="Times New Roman" w:hAnsi="Times New Roman"/>
          <w:b w:val="false"/>
          <w:bCs w:val="false"/>
          <w:i w:val="false"/>
          <w:iCs w:val="false"/>
          <w:sz w:val="28"/>
          <w:szCs w:val="28"/>
        </w:rPr>
        <w:t xml:space="preserve">. Р. Тан и соавторы предложили применять кооперативные игры для распределения затрат и выгод при межзаводской интеграции процессов</w:t>
      </w:r>
      <w:r>
        <w:rPr>
          <w:rStyle w:val="FootnoteReference"/>
        </w:rPr>
        <w:footnoteReference w:id="16"/>
      </w:r>
      <w:r>
        <w:rPr>
          <w:rFonts w:ascii="Times New Roman" w:cs="Times New Roman" w:eastAsia="Times New Roman" w:hAnsi="Times New Roman"/>
          <w:b w:val="false"/>
          <w:bCs w:val="false"/>
          <w:i w:val="false"/>
          <w:iCs w:val="false"/>
          <w:sz w:val="28"/>
          <w:szCs w:val="28"/>
        </w:rPr>
        <w:t xml:space="preserve">, М. Хите, Й. Людвиг и Ф. Шульманн — для раздела экономии от межфирменной интеграции теплоснабжения</w:t>
      </w:r>
      <w:r>
        <w:rPr>
          <w:rStyle w:val="FootnoteReference"/>
        </w:rPr>
        <w:footnoteReference w:id="17"/>
      </w:r>
      <w:r>
        <w:rPr>
          <w:rFonts w:ascii="Times New Roman" w:cs="Times New Roman" w:eastAsia="Times New Roman" w:hAnsi="Times New Roman"/>
          <w:b w:val="false"/>
          <w:bCs w:val="false"/>
          <w:i w:val="false"/>
          <w:iCs w:val="false"/>
          <w:sz w:val="28"/>
          <w:szCs w:val="28"/>
        </w:rPr>
        <w:t xml:space="preserve">, а Ф. Фадзил и соавторы — для раздела прибыли при совместном использовании квот на выбросы в сети симбиоза </w:t>
      </w:r>
      <w:r>
        <w:rPr>
          <w:rFonts w:ascii="Times New Roman" w:cs="Times New Roman" w:eastAsia="Times New Roman" w:hAnsi="Times New Roman"/>
          <w:b w:val="false"/>
          <w:bCs w:val="false"/>
          <w:i w:val="false"/>
          <w:iCs w:val="false"/>
          <w:sz w:val="28"/>
          <w:szCs w:val="28"/>
        </w:rPr>
        <w:t xml:space="preserve">[48]</w:t>
      </w:r>
      <w:r>
        <w:rPr>
          <w:rFonts w:ascii="Times New Roman" w:cs="Times New Roman" w:eastAsia="Times New Roman" w:hAnsi="Times New Roman"/>
          <w:b w:val="false"/>
          <w:bCs w:val="false"/>
          <w:i w:val="false"/>
          <w:iCs w:val="false"/>
          <w:sz w:val="28"/>
          <w:szCs w:val="28"/>
        </w:rPr>
        <w:t xml:space="preserve">.</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Для демонстрационного сценария построена игра пяти участников: ГРЭС, «Азот», ЭПП, группа резидентов и оператор. Каждый поток создаёт эффект только при наличии в коалиции обеих сторон (тепло: ГРЭС и резиденты; CO₂: «Азот» и резиденты; вторичное сырьё: ЭПП и резиденты; сокращение размещения отходов: «Азот» и ЭПП). Коалиция с оператором получает полный чистый вклад потоков за вычетом затрат платформы 69,6 млн руб.; коалиция без оператора может заключать обмены напрямую, но получает лишь долю s их чистого вклада из-за более высоких издержек поиска и согласования. Коалиция выбирает лучший из двух вариантов. При s = 0,3 вектор Шепли распределяет 117,4 млн руб. так: резиденты — 31 %, ЭПП — 25 %, «Азот» — 25 %, оператор — 12 %, ГРЭС — 7 %. При s = 0,5 доля оператора снижается до 4,5 %, резидентов — растёт до 36 %.</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Расчёт выявляет две особенности, которые не видны при экспертном задании долей. Первая: вклад оператора резко зависит от того, какую часть эффекта участники могли бы получить без него. Если прямые обмены почти так же эффективны, платформа приносит мало, и её право на долю ослабевает; если без неё обмены не заключаются, её вклад сопоставим с вкладом крупного поставщика. Параметр s поэтому подлежит оценке, а не принятию по умолчанию. Вторая: резиденты как группа участвуют во всех трёх потоках, где они выступают потребителями, и по Шепли получают наибольшую долю, тогда как схема В отводит поставщикам и резидентам вместе лишь 17 %. Значит, эта схема может нарушать индивидуальную рациональность резидентов, что проверяется в § 2.6.</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Вектор Шепли распределяет весь эффект ΔE, а не только дивиденд. Его сопоставление со схемами распределения SD корректно в следующем смысле: основная часть эффекта достаётся участникам через цену, и если цены лежат внутри коридоров таблицы 2.9, распределение по Шепли может быть приближено ценами, а дивиденд служит корректирующим трансфертом. Если же цена смещена к границе коридора в пользу сильной стороны, дивиденд должен компенсировать слабой стороне недополученное.</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2.5.4. Финансовая состоятельность оператора и выгода публичного партнёра</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Оператор участвует в соглашении добровольно и только при неотрицательной чистой приведённой стоимости своей деятельности:</w:t>
      </w:r>
    </w:p>
    <w:p>
      <w:pPr>
        <w:tabs>
          <w:tab w:val="center" w:pos="4678"/>
          <w:tab w:val="right" w:pos="9355"/>
        </w:tabs>
        <w:spacing w:after="0" w:before="0" w:line="360" w:lineRule="auto"/>
        <w:ind w:firstLine="0"/>
        <w:jc w:val="left"/>
      </w:pPr>
      <w:r>
        <w:rPr>
          <w:rFonts w:ascii="Times New Roman" w:cs="Times New Roman" w:eastAsia="Times New Roman" w:hAnsi="Times New Roman"/>
          <w:sz w:val="28"/>
          <w:szCs w:val="28"/>
        </w:rPr>
        <w:t xml:space="preserve">	</w:t>
      </w:r>
      <m:oMath xmlns:m="http://schemas.openxmlformats.org/officeDocument/2006/math" xmlns:w="http://schemas.openxmlformats.org/wordprocessingml/2006/main">
        <m:sSub>
          <m:e>
            <m:r>
              <m:rPr>
                <m:sty m:val="p"/>
              </m:rPr>
              <w:rPr>
                <w:rFonts w:ascii="Cambria Math" w:hAnsi="Cambria Math"/>
                <w:i w:val="0"/>
                <w:sz w:val="28"/>
                <w:szCs w:val="28"/>
              </w:rPr>
              <m:t xml:space="preserve">NPV</m:t>
            </m:r>
          </m:e>
          <m:sub>
            <m:r>
              <m:rPr>
                <m:sty m:val="p"/>
              </m:rPr>
              <w:rPr>
                <w:rFonts w:ascii="Cambria Math" w:hAnsi="Cambria Math"/>
                <w:i w:val="0"/>
                <w:sz w:val="28"/>
                <w:szCs w:val="28"/>
              </w:rPr>
              <m:t xml:space="preserve">опер</m:t>
            </m:r>
          </m:sub>
        </m:sSub>
        <m:r>
          <m:rPr>
            <m:sty m:val="p"/>
          </m:rPr>
          <w:rPr>
            <w:rFonts w:ascii="Cambria Math" w:hAnsi="Cambria Math"/>
            <w:i w:val="0"/>
            <w:sz w:val="28"/>
            <w:szCs w:val="28"/>
          </w:rPr>
          <m:t xml:space="preserve"> = </m:t>
        </m:r>
        <m:nary>
          <m:naryPr>
            <m:chr m:val="∑"/>
            <m:limLoc m:val="undOvr"/>
          </m:naryPr>
          <m:sub>
            <m:r>
              <w:rPr>
                <w:rFonts w:ascii="Cambria Math" w:hAnsi="Cambria Math"/>
                <w:i/>
                <w:sz w:val="28"/>
                <w:szCs w:val="28"/>
              </w:rPr>
              <m:t xml:space="preserve">t</m:t>
            </m:r>
            <m:r>
              <m:rPr>
                <m:sty m:val="p"/>
              </m:rPr>
              <w:rPr>
                <w:rFonts w:ascii="Cambria Math" w:hAnsi="Cambria Math"/>
                <w:i w:val="0"/>
                <w:sz w:val="28"/>
                <w:szCs w:val="28"/>
              </w:rPr>
              <m:t xml:space="preserve">=1</m:t>
            </m:r>
          </m:sub>
          <m:sup>
            <m:r>
              <w:rPr>
                <w:rFonts w:ascii="Cambria Math" w:hAnsi="Cambria Math"/>
                <w:i/>
                <w:sz w:val="28"/>
                <w:szCs w:val="28"/>
              </w:rPr>
              <m:t xml:space="preserve">T</m:t>
            </m:r>
          </m:sup>
          <m:e>
            <m:f>
              <m:num>
                <m:sSub>
                  <m:e>
                    <m:r>
                      <w:rPr>
                        <w:rFonts w:ascii="Cambria Math" w:hAnsi="Cambria Math"/>
                        <w:i/>
                        <w:sz w:val="28"/>
                        <w:szCs w:val="28"/>
                      </w:rPr>
                      <m:t xml:space="preserve">F</m:t>
                    </m:r>
                  </m:e>
                  <m:sub>
                    <m:r>
                      <w:rPr>
                        <w:rFonts w:ascii="Cambria Math" w:hAnsi="Cambria Math"/>
                        <w:i/>
                        <w:sz w:val="28"/>
                        <w:szCs w:val="28"/>
                      </w:rPr>
                      <m:t xml:space="preserve">t</m:t>
                    </m:r>
                  </m:sub>
                </m:sSub>
                <m:r>
                  <m:rPr>
                    <m:sty m:val="p"/>
                  </m:rPr>
                  <w:rPr>
                    <w:rFonts w:ascii="Cambria Math" w:hAnsi="Cambria Math"/>
                    <w:i w:val="0"/>
                    <w:sz w:val="28"/>
                    <w:szCs w:val="28"/>
                  </w:rPr>
                  <m:t xml:space="preserve"> + </m:t>
                </m:r>
                <m:sSub>
                  <m:e>
                    <m:r>
                      <w:rPr>
                        <w:rFonts w:ascii="Cambria Math" w:hAnsi="Cambria Math"/>
                        <w:i/>
                        <w:sz w:val="28"/>
                        <w:szCs w:val="28"/>
                      </w:rPr>
                      <m:t xml:space="preserve">γ</m:t>
                    </m:r>
                  </m:e>
                  <m:sub>
                    <m:r>
                      <m:rPr>
                        <m:sty m:val="p"/>
                      </m:rPr>
                      <w:rPr>
                        <w:rFonts w:ascii="Cambria Math" w:hAnsi="Cambria Math"/>
                        <w:i w:val="0"/>
                        <w:sz w:val="28"/>
                        <w:szCs w:val="28"/>
                      </w:rPr>
                      <m:t xml:space="preserve">опер</m:t>
                    </m:r>
                  </m:sub>
                </m:sSub>
                <m:r>
                  <m:rPr>
                    <m:sty m:val="p"/>
                  </m:rPr>
                  <w:rPr>
                    <w:rFonts w:ascii="Cambria Math" w:hAnsi="Cambria Math"/>
                    <w:i w:val="0"/>
                    <w:sz w:val="28"/>
                    <w:szCs w:val="28"/>
                  </w:rPr>
                  <m:t xml:space="preserve">·</m:t>
                </m:r>
                <m:sSub>
                  <m:e>
                    <m:r>
                      <w:rPr>
                        <w:rFonts w:ascii="Cambria Math" w:hAnsi="Cambria Math"/>
                        <w:i/>
                        <w:sz w:val="28"/>
                        <w:szCs w:val="28"/>
                      </w:rPr>
                      <m:t xml:space="preserve">SD</m:t>
                    </m:r>
                  </m:e>
                  <m:sub>
                    <m:r>
                      <w:rPr>
                        <w:rFonts w:ascii="Cambria Math" w:hAnsi="Cambria Math"/>
                        <w:i/>
                        <w:sz w:val="28"/>
                        <w:szCs w:val="28"/>
                      </w:rPr>
                      <m:t xml:space="preserve">t</m:t>
                    </m:r>
                  </m:sub>
                </m:sSub>
                <m:r>
                  <m:rPr>
                    <m:sty m:val="p"/>
                  </m:rPr>
                  <w:rPr>
                    <w:rFonts w:ascii="Cambria Math" w:hAnsi="Cambria Math"/>
                    <w:i w:val="0"/>
                    <w:sz w:val="28"/>
                    <w:szCs w:val="28"/>
                  </w:rPr>
                  <m:t xml:space="preserve"> − </m:t>
                </m:r>
                <m:sSub>
                  <m:e>
                    <m:r>
                      <w:rPr>
                        <w:rFonts w:ascii="Cambria Math" w:hAnsi="Cambria Math"/>
                        <w:i/>
                        <w:sz w:val="28"/>
                        <w:szCs w:val="28"/>
                      </w:rPr>
                      <m:t xml:space="preserve">C</m:t>
                    </m:r>
                  </m:e>
                  <m:sub>
                    <m:r>
                      <m:rPr>
                        <m:sty m:val="p"/>
                      </m:rPr>
                      <w:rPr>
                        <w:rFonts w:ascii="Cambria Math" w:hAnsi="Cambria Math"/>
                        <w:i w:val="0"/>
                        <w:sz w:val="28"/>
                        <w:szCs w:val="28"/>
                      </w:rPr>
                      <m:t xml:space="preserve">опер,</m:t>
                    </m:r>
                    <m:r>
                      <w:rPr>
                        <w:rFonts w:ascii="Cambria Math" w:hAnsi="Cambria Math"/>
                        <w:i/>
                        <w:sz w:val="28"/>
                        <w:szCs w:val="28"/>
                      </w:rPr>
                      <m:t xml:space="preserve">t</m:t>
                    </m:r>
                  </m:sub>
                </m:sSub>
              </m:num>
              <m:den>
                <m:sSup>
                  <m:e>
                    <m:d>
                      <m:dPr>
                        <m:begChr m:val="("/>
                        <m:endChr m:val=")"/>
                      </m:dPr>
                      <m:e>
                        <m:r>
                          <m:rPr>
                            <m:sty m:val="p"/>
                          </m:rPr>
                          <w:rPr>
                            <w:rFonts w:ascii="Cambria Math" w:hAnsi="Cambria Math"/>
                            <w:i w:val="0"/>
                            <w:sz w:val="28"/>
                            <w:szCs w:val="28"/>
                          </w:rPr>
                          <m:t xml:space="preserve">1 + </m:t>
                        </m:r>
                        <m:r>
                          <w:rPr>
                            <w:rFonts w:ascii="Cambria Math" w:hAnsi="Cambria Math"/>
                            <w:i/>
                            <w:sz w:val="28"/>
                            <w:szCs w:val="28"/>
                          </w:rPr>
                          <m:t xml:space="preserve">r</m:t>
                        </m:r>
                      </m:e>
                    </m:d>
                  </m:e>
                  <m:sup>
                    <m:r>
                      <w:rPr>
                        <w:rFonts w:ascii="Cambria Math" w:hAnsi="Cambria Math"/>
                        <w:i/>
                        <w:sz w:val="28"/>
                        <w:szCs w:val="28"/>
                      </w:rPr>
                      <m:t xml:space="preserve">t</m:t>
                    </m:r>
                  </m:sup>
                </m:sSup>
              </m:den>
            </m:f>
          </m:e>
        </m:nary>
        <m:r>
          <m:rPr>
            <m:sty m:val="p"/>
          </m:rPr>
          <w:rPr>
            <w:rFonts w:ascii="Cambria Math" w:hAnsi="Cambria Math"/>
            <w:i w:val="0"/>
            <w:sz w:val="28"/>
            <w:szCs w:val="28"/>
          </w:rPr>
          <m:t xml:space="preserve"> − </m:t>
        </m:r>
        <m:sSub>
          <m:e>
            <m:r>
              <w:rPr>
                <w:rFonts w:ascii="Cambria Math" w:hAnsi="Cambria Math"/>
                <w:i/>
                <w:sz w:val="28"/>
                <w:szCs w:val="28"/>
              </w:rPr>
              <m:t xml:space="preserve">K</m:t>
            </m:r>
          </m:e>
          <m:sub>
            <m:r>
              <m:rPr>
                <m:sty m:val="p"/>
              </m:rPr>
              <w:rPr>
                <w:rFonts w:ascii="Cambria Math" w:hAnsi="Cambria Math"/>
                <w:i w:val="0"/>
                <w:sz w:val="28"/>
                <w:szCs w:val="28"/>
              </w:rPr>
              <m:t xml:space="preserve">пл</m:t>
            </m:r>
          </m:sub>
        </m:sSub>
        <m:r>
          <m:rPr>
            <m:sty m:val="p"/>
          </m:rPr>
          <w:rPr>
            <w:rFonts w:ascii="Cambria Math" w:hAnsi="Cambria Math"/>
            <w:i w:val="0"/>
            <w:sz w:val="28"/>
            <w:szCs w:val="28"/>
          </w:rPr>
          <m:t xml:space="preserve"> ≥ 0</m:t>
        </m:r>
      </m:oMath>
      <w:r>
        <w:rPr>
          <w:rFonts w:ascii="Times New Roman" w:cs="Times New Roman" w:eastAsia="Times New Roman" w:hAnsi="Times New Roman"/>
          <w:sz w:val="28"/>
          <w:szCs w:val="28"/>
        </w:rPr>
        <w:t xml:space="preserve">	(2.19)</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где NPV</w:t>
      </w:r>
      <w:r>
        <w:rPr>
          <w:rFonts w:ascii="Times New Roman" w:cs="Times New Roman" w:eastAsia="Times New Roman" w:hAnsi="Times New Roman"/>
          <w:b w:val="false"/>
          <w:bCs w:val="false"/>
          <w:i w:val="false"/>
          <w:iCs w:val="false"/>
          <w:sz w:val="28"/>
          <w:szCs w:val="28"/>
          <w:vertAlign w:val="subscript"/>
        </w:rPr>
        <w:t xml:space="preserve">опер</w:t>
      </w:r>
      <w:r>
        <w:rPr>
          <w:rFonts w:ascii="Times New Roman" w:cs="Times New Roman" w:eastAsia="Times New Roman" w:hAnsi="Times New Roman"/>
          <w:b w:val="false"/>
          <w:bCs w:val="false"/>
          <w:i w:val="false"/>
          <w:iCs w:val="false"/>
          <w:sz w:val="28"/>
          <w:szCs w:val="28"/>
        </w:rPr>
        <w:t xml:space="preserve"> — чистая приведённая стоимость деятельности оператора, млн руб.; F</w:t>
      </w:r>
      <w:r>
        <w:rPr>
          <w:rFonts w:ascii="Times New Roman" w:cs="Times New Roman" w:eastAsia="Times New Roman" w:hAnsi="Times New Roman"/>
          <w:b w:val="false"/>
          <w:bCs w:val="false"/>
          <w:i w:val="false"/>
          <w:iCs w:val="false"/>
          <w:sz w:val="28"/>
          <w:szCs w:val="28"/>
          <w:vertAlign w:val="subscript"/>
        </w:rPr>
        <w:t xml:space="preserve">t</w:t>
      </w:r>
      <w:r>
        <w:rPr>
          <w:rFonts w:ascii="Times New Roman" w:cs="Times New Roman" w:eastAsia="Times New Roman" w:hAnsi="Times New Roman"/>
          <w:b w:val="false"/>
          <w:bCs w:val="false"/>
          <w:i w:val="false"/>
          <w:iCs w:val="false"/>
          <w:sz w:val="28"/>
          <w:szCs w:val="28"/>
        </w:rPr>
        <w:t xml:space="preserve"> — сервисный платёж участников оператору в период t; γ</w:t>
      </w:r>
      <w:r>
        <w:rPr>
          <w:rFonts w:ascii="Times New Roman" w:cs="Times New Roman" w:eastAsia="Times New Roman" w:hAnsi="Times New Roman"/>
          <w:b w:val="false"/>
          <w:bCs w:val="false"/>
          <w:i w:val="false"/>
          <w:iCs w:val="false"/>
          <w:sz w:val="28"/>
          <w:szCs w:val="28"/>
          <w:vertAlign w:val="subscript"/>
        </w:rPr>
        <w:t xml:space="preserve">опер</w:t>
      </w:r>
      <w:r>
        <w:rPr>
          <w:rFonts w:ascii="Times New Roman" w:cs="Times New Roman" w:eastAsia="Times New Roman" w:hAnsi="Times New Roman"/>
          <w:b w:val="false"/>
          <w:bCs w:val="false"/>
          <w:i w:val="false"/>
          <w:iCs w:val="false"/>
          <w:sz w:val="28"/>
          <w:szCs w:val="28"/>
        </w:rPr>
        <w:t xml:space="preserve"> — доля оператора в дивиденде; SD</w:t>
      </w:r>
      <w:r>
        <w:rPr>
          <w:rFonts w:ascii="Times New Roman" w:cs="Times New Roman" w:eastAsia="Times New Roman" w:hAnsi="Times New Roman"/>
          <w:b w:val="false"/>
          <w:bCs w:val="false"/>
          <w:i w:val="false"/>
          <w:iCs w:val="false"/>
          <w:sz w:val="28"/>
          <w:szCs w:val="28"/>
          <w:vertAlign w:val="subscript"/>
        </w:rPr>
        <w:t xml:space="preserve">t</w:t>
      </w:r>
      <w:r>
        <w:rPr>
          <w:rFonts w:ascii="Times New Roman" w:cs="Times New Roman" w:eastAsia="Times New Roman" w:hAnsi="Times New Roman"/>
          <w:b w:val="false"/>
          <w:bCs w:val="false"/>
          <w:i w:val="false"/>
          <w:iCs w:val="false"/>
          <w:sz w:val="28"/>
          <w:szCs w:val="28"/>
        </w:rPr>
        <w:t xml:space="preserve"> — дивиденд периода t; C</w:t>
      </w:r>
      <w:r>
        <w:rPr>
          <w:rFonts w:ascii="Times New Roman" w:cs="Times New Roman" w:eastAsia="Times New Roman" w:hAnsi="Times New Roman"/>
          <w:b w:val="false"/>
          <w:bCs w:val="false"/>
          <w:i w:val="false"/>
          <w:iCs w:val="false"/>
          <w:sz w:val="28"/>
          <w:szCs w:val="28"/>
          <w:vertAlign w:val="subscript"/>
        </w:rPr>
        <w:t xml:space="preserve">опер,t</w:t>
      </w:r>
      <w:r>
        <w:rPr>
          <w:rFonts w:ascii="Times New Roman" w:cs="Times New Roman" w:eastAsia="Times New Roman" w:hAnsi="Times New Roman"/>
          <w:b w:val="false"/>
          <w:bCs w:val="false"/>
          <w:i w:val="false"/>
          <w:iCs w:val="false"/>
          <w:sz w:val="28"/>
          <w:szCs w:val="28"/>
        </w:rPr>
        <w:t xml:space="preserve"> — эксплуатационные затраты оператора; K</w:t>
      </w:r>
      <w:r>
        <w:rPr>
          <w:rFonts w:ascii="Times New Roman" w:cs="Times New Roman" w:eastAsia="Times New Roman" w:hAnsi="Times New Roman"/>
          <w:b w:val="false"/>
          <w:bCs w:val="false"/>
          <w:i w:val="false"/>
          <w:iCs w:val="false"/>
          <w:sz w:val="28"/>
          <w:szCs w:val="28"/>
          <w:vertAlign w:val="subscript"/>
        </w:rPr>
        <w:t xml:space="preserve">пл</w:t>
      </w:r>
      <w:r>
        <w:rPr>
          <w:rFonts w:ascii="Times New Roman" w:cs="Times New Roman" w:eastAsia="Times New Roman" w:hAnsi="Times New Roman"/>
          <w:b w:val="false"/>
          <w:bCs w:val="false"/>
          <w:i w:val="false"/>
          <w:iCs w:val="false"/>
          <w:sz w:val="28"/>
          <w:szCs w:val="28"/>
        </w:rPr>
        <w:t xml:space="preserve"> — вложения в программно-аппаратный комплекс платформы; r и T — ставка дисконтирования и горизонт.</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Формула (2.19) выявляет развилку в модели финансирования оператора. Если сервисный платёж покрывает эксплуатационные затраты и возврат капитала (30 + 24,6 = 54,6 млн руб. в год), доход от дивиденда (2,94 млн руб. в год по схеме А) образует чистую премию, и NPV</w:t>
      </w:r>
      <w:r>
        <w:rPr>
          <w:rFonts w:ascii="Times New Roman" w:cs="Times New Roman" w:eastAsia="Times New Roman" w:hAnsi="Times New Roman"/>
          <w:b w:val="false"/>
          <w:bCs w:val="false"/>
          <w:i w:val="false"/>
          <w:iCs w:val="false"/>
          <w:sz w:val="28"/>
          <w:szCs w:val="28"/>
          <w:vertAlign w:val="subscript"/>
        </w:rPr>
        <w:t xml:space="preserve">опер</w:t>
      </w:r>
      <w:r>
        <w:rPr>
          <w:rFonts w:ascii="Times New Roman" w:cs="Times New Roman" w:eastAsia="Times New Roman" w:hAnsi="Times New Roman"/>
          <w:b w:val="false"/>
          <w:bCs w:val="false"/>
          <w:i w:val="false"/>
          <w:iCs w:val="false"/>
          <w:sz w:val="28"/>
          <w:szCs w:val="28"/>
        </w:rPr>
        <w:t xml:space="preserve"> за семь лет при r = 0,10 составляет около 14 млн руб. Если же платёж покрывает только эксплуатацию, а вложения в платформу должны окупиться из дивиденда, NPV</w:t>
      </w:r>
      <w:r>
        <w:rPr>
          <w:rFonts w:ascii="Times New Roman" w:cs="Times New Roman" w:eastAsia="Times New Roman" w:hAnsi="Times New Roman"/>
          <w:b w:val="false"/>
          <w:bCs w:val="false"/>
          <w:i w:val="false"/>
          <w:iCs w:val="false"/>
          <w:sz w:val="28"/>
          <w:szCs w:val="28"/>
          <w:vertAlign w:val="subscript"/>
        </w:rPr>
        <w:t xml:space="preserve">опер</w:t>
      </w:r>
      <w:r>
        <w:rPr>
          <w:rFonts w:ascii="Times New Roman" w:cs="Times New Roman" w:eastAsia="Times New Roman" w:hAnsi="Times New Roman"/>
          <w:b w:val="false"/>
          <w:bCs w:val="false"/>
          <w:i w:val="false"/>
          <w:iCs w:val="false"/>
          <w:sz w:val="28"/>
          <w:szCs w:val="28"/>
        </w:rPr>
        <w:t xml:space="preserve"> = −120 + 2,94 · 4,87 ≈ −106 млн руб. Оператор, рассчитывающий на дивиденд как на источник возврата капитала, разорится; дивиденд может быть только премией за результат.</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Сервисный платёж 54,6 млн руб. в год вместе с издержками аудита 15 млн руб. составляет около 29 % валовой экономии участников. Это высокая ставка, и она оправдана лишь при том условии, что без платформы участники получали бы существенно меньше; при s = 0,5 её оправданность сомнительна. Для снижения нагрузки на участников часть вложений в платформу может быть профинансирована публичным партнёром, и тогда сервисный платёж уменьшается на аннуитет этих вложений.</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Внутри каждой группы получателей, состоящей из нескольких лиц, дивиденд делится пропорционально подтверждённому вкладу. Для группы резидентов правило имеет вид:</w:t>
      </w:r>
    </w:p>
    <w:p>
      <w:pPr>
        <w:tabs>
          <w:tab w:val="center" w:pos="4678"/>
          <w:tab w:val="right" w:pos="9355"/>
        </w:tabs>
        <w:spacing w:after="0" w:before="0" w:line="360" w:lineRule="auto"/>
        <w:ind w:firstLine="0"/>
        <w:jc w:val="left"/>
      </w:pPr>
      <w:r>
        <w:rPr>
          <w:rFonts w:ascii="Times New Roman" w:cs="Times New Roman" w:eastAsia="Times New Roman" w:hAnsi="Times New Roman"/>
          <w:sz w:val="28"/>
          <w:szCs w:val="28"/>
        </w:rPr>
        <w:t xml:space="preserve">	</w:t>
      </w:r>
      <m:oMath xmlns:m="http://schemas.openxmlformats.org/officeDocument/2006/math" xmlns:w="http://schemas.openxmlformats.org/wordprocessingml/2006/main">
        <m:sSub>
          <m:e>
            <m:r>
              <w:rPr>
                <w:rFonts w:ascii="Cambria Math" w:hAnsi="Cambria Math"/>
                <w:i/>
                <w:sz w:val="28"/>
                <w:szCs w:val="28"/>
              </w:rPr>
              <m:t xml:space="preserve">D</m:t>
            </m:r>
          </m:e>
          <m:sub>
            <m:r>
              <w:rPr>
                <w:rFonts w:ascii="Cambria Math" w:hAnsi="Cambria Math"/>
                <w:i/>
                <w:sz w:val="28"/>
                <w:szCs w:val="28"/>
              </w:rPr>
              <m:t xml:space="preserve">i</m:t>
            </m:r>
          </m:sub>
        </m:sSub>
        <m:r>
          <m:rPr>
            <m:sty m:val="p"/>
          </m:rPr>
          <w:rPr>
            <w:rFonts w:ascii="Cambria Math" w:hAnsi="Cambria Math"/>
            <w:i w:val="0"/>
            <w:sz w:val="28"/>
            <w:szCs w:val="28"/>
          </w:rPr>
          <m:t xml:space="preserve"> = </m:t>
        </m:r>
        <m:sSub>
          <m:e>
            <m:r>
              <w:rPr>
                <w:rFonts w:ascii="Cambria Math" w:hAnsi="Cambria Math"/>
                <w:i/>
                <w:sz w:val="28"/>
                <w:szCs w:val="28"/>
              </w:rPr>
              <m:t xml:space="preserve">γ</m:t>
            </m:r>
          </m:e>
          <m:sub>
            <m:r>
              <m:rPr>
                <m:sty m:val="p"/>
              </m:rPr>
              <w:rPr>
                <w:rFonts w:ascii="Cambria Math" w:hAnsi="Cambria Math"/>
                <w:i w:val="0"/>
                <w:sz w:val="28"/>
                <w:szCs w:val="28"/>
              </w:rPr>
              <m:t xml:space="preserve">рез</m:t>
            </m:r>
          </m:sub>
        </m:sSub>
        <m:r>
          <m:rPr>
            <m:sty m:val="p"/>
          </m:rPr>
          <w:rPr>
            <w:rFonts w:ascii="Cambria Math" w:hAnsi="Cambria Math"/>
            <w:i w:val="0"/>
            <w:sz w:val="28"/>
            <w:szCs w:val="28"/>
          </w:rPr>
          <m:t xml:space="preserve">·</m:t>
        </m:r>
        <m:r>
          <w:rPr>
            <w:rFonts w:ascii="Cambria Math" w:hAnsi="Cambria Math"/>
            <w:i/>
            <w:sz w:val="28"/>
            <w:szCs w:val="28"/>
          </w:rPr>
          <m:t xml:space="preserve">SD</m:t>
        </m:r>
        <m:r>
          <m:rPr>
            <m:sty m:val="p"/>
          </m:rPr>
          <w:rPr>
            <w:rFonts w:ascii="Cambria Math" w:hAnsi="Cambria Math"/>
            <w:i w:val="0"/>
            <w:sz w:val="28"/>
            <w:szCs w:val="28"/>
          </w:rPr>
          <m:t xml:space="preserve">·</m:t>
        </m:r>
        <m:f>
          <m:num>
            <m:sSub>
              <m:e>
                <m:r>
                  <w:rPr>
                    <w:rFonts w:ascii="Cambria Math" w:hAnsi="Cambria Math"/>
                    <w:i/>
                    <w:sz w:val="28"/>
                    <w:szCs w:val="28"/>
                  </w:rPr>
                  <m:t xml:space="preserve">ΔE</m:t>
                </m:r>
              </m:e>
              <m:sub>
                <m:r>
                  <w:rPr>
                    <w:rFonts w:ascii="Cambria Math" w:hAnsi="Cambria Math"/>
                    <w:i/>
                    <w:sz w:val="28"/>
                    <w:szCs w:val="28"/>
                  </w:rPr>
                  <m:t xml:space="preserve">i</m:t>
                </m:r>
              </m:sub>
            </m:sSub>
          </m:num>
          <m:den>
            <m:nary>
              <m:naryPr>
                <m:chr m:val="∑"/>
                <m:limLoc m:val="undOvr"/>
                <m:supHide m:val="1"/>
              </m:naryPr>
              <m:sub>
                <m:r>
                  <w:rPr>
                    <w:rFonts w:ascii="Cambria Math" w:hAnsi="Cambria Math"/>
                    <w:i/>
                    <w:sz w:val="28"/>
                    <w:szCs w:val="28"/>
                  </w:rPr>
                  <m:t xml:space="preserve">j</m:t>
                </m:r>
              </m:sub>
              <m:sup/>
              <m:e>
                <m:sSub>
                  <m:e>
                    <m:r>
                      <w:rPr>
                        <w:rFonts w:ascii="Cambria Math" w:hAnsi="Cambria Math"/>
                        <w:i/>
                        <w:sz w:val="28"/>
                        <w:szCs w:val="28"/>
                      </w:rPr>
                      <m:t xml:space="preserve">ΔE</m:t>
                    </m:r>
                  </m:e>
                  <m:sub>
                    <m:r>
                      <w:rPr>
                        <w:rFonts w:ascii="Cambria Math" w:hAnsi="Cambria Math"/>
                        <w:i/>
                        <w:sz w:val="28"/>
                        <w:szCs w:val="28"/>
                      </w:rPr>
                      <m:t xml:space="preserve">j</m:t>
                    </m:r>
                  </m:sub>
                </m:sSub>
              </m:e>
            </m:nary>
          </m:den>
        </m:f>
      </m:oMath>
      <w:r>
        <w:rPr>
          <w:rFonts w:ascii="Times New Roman" w:cs="Times New Roman" w:eastAsia="Times New Roman" w:hAnsi="Times New Roman"/>
          <w:sz w:val="28"/>
          <w:szCs w:val="28"/>
        </w:rPr>
        <w:t xml:space="preserve">	(2.20)</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где D</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 — дивиденд, начисляемый резиденту i; γ</w:t>
      </w:r>
      <w:r>
        <w:rPr>
          <w:rFonts w:ascii="Times New Roman" w:cs="Times New Roman" w:eastAsia="Times New Roman" w:hAnsi="Times New Roman"/>
          <w:b w:val="false"/>
          <w:bCs w:val="false"/>
          <w:i w:val="false"/>
          <w:iCs w:val="false"/>
          <w:sz w:val="28"/>
          <w:szCs w:val="28"/>
          <w:vertAlign w:val="subscript"/>
        </w:rPr>
        <w:t xml:space="preserve">рез</w:t>
      </w:r>
      <w:r>
        <w:rPr>
          <w:rFonts w:ascii="Times New Roman" w:cs="Times New Roman" w:eastAsia="Times New Roman" w:hAnsi="Times New Roman"/>
          <w:b w:val="false"/>
          <w:bCs w:val="false"/>
          <w:i w:val="false"/>
          <w:iCs w:val="false"/>
          <w:sz w:val="28"/>
          <w:szCs w:val="28"/>
        </w:rPr>
        <w:t xml:space="preserve"> — доля группы резидентов; ΔE</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 — подтверждённый эффект обменов, в которых участвует резидент i; суммирование в знаменателе ведётся по всем резидентам группы.</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Формула (2.20) привязывает долю резидента к его обменам и тем самым исключает начисление тем, кто формально присоединился к платформе, но не передаёт и не получает ресурсов. Её применение к базовому сценарию рассмотрено в § 2.6.</w:t>
      </w:r>
    </w:p>
    <w:p>
      <w:pPr>
        <w:spacing w:after="0" w:before="0" w:line="360" w:lineRule="auto"/>
        <w:ind w:firstLine="709"/>
        <w:jc w:val="both"/>
      </w:pPr>
      <w:r>
        <w:rPr>
          <w:rFonts w:ascii="Times New Roman" w:cs="Times New Roman" w:eastAsia="Times New Roman" w:hAnsi="Times New Roman"/>
          <w:sz w:val="28"/>
          <w:szCs w:val="28"/>
        </w:rPr>
        <w:t xml:space="preserve">Формула (2.20) оставляет открытым, кто входит в знаменатель: только резиденты, уже ведущие обмены, или вся группа. Для одного года с заданным составом участников это безразлично, в динамике – нет. Если знаменатель составляют лишь подключённые, вход нового резидента уменьшает доли остальных, и стимул присоединяться слабеет по мере роста сети. Поэтому в § 3.2.2 правило уточнено (формула 2.20′): сумма в знаменателе берётся по потенциальному эффекту всех резидентов группы, включая неподключившихся, а приходящаяся на них часть дивиденда остаётся в резерве наблюдательного совета до их подключения.</w:t>
      </w:r>
    </w:p>
    <w:p>
      <w:pPr>
        <w:spacing w:after="0" w:before="0" w:line="360" w:lineRule="auto"/>
        <w:ind w:firstLine="709"/>
        <w:jc w:val="both"/>
      </w:pPr>
      <w:r>
        <w:rPr>
          <w:rFonts w:ascii="Times New Roman" w:cs="Times New Roman" w:eastAsia="Times New Roman" w:hAnsi="Times New Roman"/>
          <w:sz w:val="28"/>
          <w:szCs w:val="28"/>
        </w:rPr>
        <w:t xml:space="preserve">Для примера § 2.6 уточнение означает, что каждый из пяти участвующих резидентов получит не более 0,59 млн руб. в год, а разница поступит в резерв. Вывод параграфа о том, что дивиденд сам по себе едва окупает участие, от этого только усиливается.</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Выгода публичного партнёра оценивается отношением суммы начислений γ</w:t>
      </w:r>
      <w:r>
        <w:rPr>
          <w:rFonts w:ascii="Times New Roman" w:cs="Times New Roman" w:eastAsia="Times New Roman" w:hAnsi="Times New Roman"/>
          <w:b w:val="false"/>
          <w:bCs w:val="false"/>
          <w:i w:val="false"/>
          <w:iCs w:val="false"/>
          <w:sz w:val="28"/>
          <w:szCs w:val="28"/>
          <w:vertAlign w:val="subscript"/>
        </w:rPr>
        <w:t xml:space="preserve">гос</w:t>
      </w:r>
      <w:r>
        <w:rPr>
          <w:rFonts w:ascii="Times New Roman" w:cs="Times New Roman" w:eastAsia="Times New Roman" w:hAnsi="Times New Roman"/>
          <w:b w:val="false"/>
          <w:bCs w:val="false"/>
          <w:i w:val="false"/>
          <w:iCs w:val="false"/>
          <w:sz w:val="28"/>
          <w:szCs w:val="28"/>
        </w:rPr>
        <w:t xml:space="preserve">·SD за горизонт к вложениям бюджета. При дивиденде базового сценария публичный партнёр за десять лет получит по схеме А около 35 млн руб., тогда как стоимость экопромышленного парка составляет около 930 млн руб. </w:t>
      </w:r>
      <w:r>
        <w:rPr>
          <w:rFonts w:ascii="Times New Roman" w:cs="Times New Roman" w:eastAsia="Times New Roman" w:hAnsi="Times New Roman"/>
          <w:b w:val="false"/>
          <w:bCs w:val="false"/>
          <w:i w:val="false"/>
          <w:iCs w:val="false"/>
          <w:sz w:val="28"/>
          <w:szCs w:val="28"/>
        </w:rPr>
        <w:t xml:space="preserve">[30]</w:t>
      </w:r>
      <w:r>
        <w:rPr>
          <w:rFonts w:ascii="Times New Roman" w:cs="Times New Roman" w:eastAsia="Times New Roman" w:hAnsi="Times New Roman"/>
          <w:b w:val="false"/>
          <w:bCs w:val="false"/>
          <w:i w:val="false"/>
          <w:iCs w:val="false"/>
          <w:sz w:val="28"/>
          <w:szCs w:val="28"/>
        </w:rPr>
        <w:t xml:space="preserve">. Возврат вложений из дивиденда невозможен даже теоретически, и его не следует закладывать в обоснование бюджетных расходов.</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К этому добавляется уже упомянутый эффект платы за НВОС: сокращение размещения отходов на 60 тыс. т в год уменьшает соответствующие поступления в бюджетную систему примерно на 40 млн руб. Для бюджета годовой денежный баланс экоплатформы в базовом сценарии отрицателен (около −36 млн руб. по схеме А), а положительная сторона его участия лежит вне денежного потока: снижение экологической нагрузки, рост налоговой базы резидентов, сохранение промышленной занятости. Э. Энгель, Р. Фишер и А. Галетович подчёркивали, что обоснование государственно-частного партнёрства бюджетной экономией, которой нет, ведёт к недооценке будущих обязательств бюджета</w:t>
      </w:r>
      <w:r>
        <w:rPr>
          <w:rStyle w:val="FootnoteReference"/>
        </w:rPr>
        <w:footnoteReference w:id="18"/>
      </w:r>
      <w:r>
        <w:rPr>
          <w:rFonts w:ascii="Times New Roman" w:cs="Times New Roman" w:eastAsia="Times New Roman" w:hAnsi="Times New Roman"/>
          <w:b w:val="false"/>
          <w:bCs w:val="false"/>
          <w:i w:val="false"/>
          <w:iCs w:val="false"/>
          <w:sz w:val="28"/>
          <w:szCs w:val="28"/>
        </w:rPr>
        <w:t xml:space="preserve">. Методика экоплатформы предлагает обратное: признать публичный интерес неденежным и оценивать его натуральными показателями, а дивиденд рассматривать как инструмент стимулов.</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Ограничение, заложенное в симулятор, — доля бюджета должна покрывать стоимость ликвидации экологического ущерба C</w:t>
      </w:r>
      <w:r>
        <w:rPr>
          <w:rFonts w:ascii="Times New Roman" w:cs="Times New Roman" w:eastAsia="Times New Roman" w:hAnsi="Times New Roman"/>
          <w:b w:val="false"/>
          <w:bCs w:val="false"/>
          <w:i w:val="false"/>
          <w:iCs w:val="false"/>
          <w:sz w:val="28"/>
          <w:szCs w:val="28"/>
          <w:vertAlign w:val="subscript"/>
        </w:rPr>
        <w:t xml:space="preserve">ликв</w:t>
      </w:r>
      <w:r>
        <w:rPr>
          <w:rFonts w:ascii="Times New Roman" w:cs="Times New Roman" w:eastAsia="Times New Roman" w:hAnsi="Times New Roman"/>
          <w:b w:val="false"/>
          <w:bCs w:val="false"/>
          <w:i w:val="false"/>
          <w:iCs w:val="false"/>
          <w:sz w:val="28"/>
          <w:szCs w:val="28"/>
        </w:rPr>
        <w:t xml:space="preserve">, оцениваемую в 15,5–20,5 млн руб. в год, — в базовом сценарии не выполняется: по схеме В бюджет получает 3,9 млн руб. Ограничение не выполняется и при параметрах симулятора по умолчанию (C</w:t>
      </w:r>
      <w:r>
        <w:rPr>
          <w:rFonts w:ascii="Times New Roman" w:cs="Times New Roman" w:eastAsia="Times New Roman" w:hAnsi="Times New Roman"/>
          <w:b w:val="false"/>
          <w:bCs w:val="false"/>
          <w:i w:val="false"/>
          <w:iCs w:val="false"/>
          <w:sz w:val="28"/>
          <w:szCs w:val="28"/>
          <w:vertAlign w:val="subscript"/>
        </w:rPr>
        <w:t xml:space="preserve">инд</w:t>
      </w:r>
      <w:r>
        <w:rPr>
          <w:rFonts w:ascii="Times New Roman" w:cs="Times New Roman" w:eastAsia="Times New Roman" w:hAnsi="Times New Roman"/>
          <w:b w:val="false"/>
          <w:bCs w:val="false"/>
          <w:i w:val="false"/>
          <w:iCs w:val="false"/>
          <w:sz w:val="28"/>
          <w:szCs w:val="28"/>
        </w:rPr>
        <w:t xml:space="preserve"> = 0,15, k = 5, α = 0,10), где расчётный дивиденд составляет около 10,1 млн руб., а доля бюджета — 3,6 млн руб. Совпадение порядка величины дивиденда в симуляторе и в прозрачном расчёте таблицы 2.6 (10,1 и 11,7 млн руб.) подтверждает согласованность двух моделей, но одновременно обнаруживает, что ликвидация накопленного ущерба требует самостоятельного источника финансирования. Этот вывод передаётся в главу 3 как гипотеза, подлежащая проверке на всём диапазоне сценариев. По предварительному расчёту условие SD</w:t>
      </w:r>
      <w:r>
        <w:rPr>
          <w:rFonts w:ascii="Times New Roman" w:cs="Times New Roman" w:eastAsia="Times New Roman" w:hAnsi="Times New Roman"/>
          <w:b w:val="false"/>
          <w:bCs w:val="false"/>
          <w:i w:val="false"/>
          <w:iCs w:val="false"/>
          <w:sz w:val="28"/>
          <w:szCs w:val="28"/>
          <w:vertAlign w:val="subscript"/>
        </w:rPr>
        <w:t xml:space="preserve">б</w:t>
      </w:r>
      <w:r>
        <w:rPr>
          <w:rFonts w:ascii="Times New Roman" w:cs="Times New Roman" w:eastAsia="Times New Roman" w:hAnsi="Times New Roman"/>
          <w:b w:val="false"/>
          <w:bCs w:val="false"/>
          <w:i w:val="false"/>
          <w:iCs w:val="false"/>
          <w:sz w:val="28"/>
          <w:szCs w:val="28"/>
        </w:rPr>
        <w:t xml:space="preserve"> ≥ C</w:t>
      </w:r>
      <w:r>
        <w:rPr>
          <w:rFonts w:ascii="Times New Roman" w:cs="Times New Roman" w:eastAsia="Times New Roman" w:hAnsi="Times New Roman"/>
          <w:b w:val="false"/>
          <w:bCs w:val="false"/>
          <w:i w:val="false"/>
          <w:iCs w:val="false"/>
          <w:sz w:val="28"/>
          <w:szCs w:val="28"/>
          <w:vertAlign w:val="subscript"/>
        </w:rPr>
        <w:t xml:space="preserve">ликв</w:t>
      </w:r>
      <w:r>
        <w:rPr>
          <w:rFonts w:ascii="Times New Roman" w:cs="Times New Roman" w:eastAsia="Times New Roman" w:hAnsi="Times New Roman"/>
          <w:b w:val="false"/>
          <w:bCs w:val="false"/>
          <w:i w:val="false"/>
          <w:iCs w:val="false"/>
          <w:sz w:val="28"/>
          <w:szCs w:val="28"/>
        </w:rPr>
        <w:t xml:space="preserve"> не выполняется даже в верхнем сценарии при α = 0,12 и C</w:t>
      </w:r>
      <w:r>
        <w:rPr>
          <w:rFonts w:ascii="Times New Roman" w:cs="Times New Roman" w:eastAsia="Times New Roman" w:hAnsi="Times New Roman"/>
          <w:b w:val="false"/>
          <w:bCs w:val="false"/>
          <w:i w:val="false"/>
          <w:iCs w:val="false"/>
          <w:sz w:val="28"/>
          <w:szCs w:val="28"/>
          <w:vertAlign w:val="subscript"/>
        </w:rPr>
        <w:t xml:space="preserve">инд</w:t>
      </w:r>
      <w:r>
        <w:rPr>
          <w:rFonts w:ascii="Times New Roman" w:cs="Times New Roman" w:eastAsia="Times New Roman" w:hAnsi="Times New Roman"/>
          <w:b w:val="false"/>
          <w:bCs w:val="false"/>
          <w:i w:val="false"/>
          <w:iCs w:val="false"/>
          <w:sz w:val="28"/>
          <w:szCs w:val="28"/>
        </w:rPr>
        <w:t xml:space="preserve"> = 0,25 (13,6 млн руб.) и достигается лишь в пределе, когда φ приближается к единице.</w:t>
      </w:r>
    </w:p>
    <w:p>
      <w:pPr>
        <w:keepNext/>
        <w:spacing w:after="0" w:before="0" w:line="360" w:lineRule="auto"/>
      </w:pPr>
    </w:p>
    <w:p>
      <w:pPr>
        <w:pStyle w:val="Heading2"/>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2.6. Индивидуальные стимулы участников и устойчивость кооперации</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2.6.1. Игровая постановка: координация или дилемма заключённого</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Положительный совокупный эффект не гарантирует, что каждый участник захочет в нём участвовать. Резидент, присоединяющийся к экоплатформе, раскрывает сведения о составе и объёме своих потоков, несёт затраты на приборы учёта и согласование, принимает риск срыва поставки. Часть резидентов конкурирует друг с другом на рынках готовой продукции, и сведения о потоках сырья и отходов могут раскрыть конкуренту технологию или загрузку мощностей. А. Бранденбургер и Б. Нейлбафф назвали такое одновременное сотрудничество и соперничество коопетицией</w:t>
      </w:r>
      <w:r>
        <w:rPr>
          <w:rStyle w:val="FootnoteReference"/>
        </w:rPr>
        <w:footnoteReference w:id="19"/>
      </w:r>
      <w:r>
        <w:rPr>
          <w:rFonts w:ascii="Times New Roman" w:cs="Times New Roman" w:eastAsia="Times New Roman" w:hAnsi="Times New Roman"/>
          <w:b w:val="false"/>
          <w:bCs w:val="false"/>
          <w:i w:val="false"/>
          <w:iCs w:val="false"/>
          <w:sz w:val="28"/>
          <w:szCs w:val="28"/>
        </w:rPr>
        <w:t xml:space="preserve">, а М. Бенгтссон и С. Кок показали, что в деловых сетях оно устойчиво, только если сферы сотрудничества и конкуренции разделены</w:t>
      </w:r>
      <w:r>
        <w:rPr>
          <w:rStyle w:val="FootnoteReference"/>
        </w:rPr>
        <w:footnoteReference w:id="20"/>
      </w:r>
      <w:r>
        <w:rPr>
          <w:rFonts w:ascii="Times New Roman" w:cs="Times New Roman" w:eastAsia="Times New Roman" w:hAnsi="Times New Roman"/>
          <w:b w:val="false"/>
          <w:bCs w:val="false"/>
          <w:i w:val="false"/>
          <w:iCs w:val="false"/>
          <w:sz w:val="28"/>
          <w:szCs w:val="28"/>
        </w:rPr>
        <w:t xml:space="preserve">.</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Для двух резидентов, каждый из которых решает, участвовать ли в обмене, игра задаётся матрицей дополнительных выигрышей относительно автономного состояния. Автономный результат каждого принят за нуль, и в матрицу входят только изменения. Пусть g</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 — чистая выгода участника i при взаимном участии; c</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 — безвозвратные затраты подготовки, которые он несёт, если согласился, а партнёр нет; f</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 — дополнительный выигрыш от уклонения при участии партнёра, если такой выигрыш технологически возможен (например, использование раскрытых партнёром сведений без собственного раскрытия). Матрица представлена в таблице 2.11.</w:t>
      </w:r>
    </w:p>
    <w:p>
      <w:pPr>
        <w:keepNext/>
        <w:spacing w:after="0" w:before="0" w:line="360" w:lineRule="auto"/>
        <w:ind w:firstLine="0"/>
        <w:jc w:val="right"/>
      </w:pPr>
      <w:r>
        <w:rPr>
          <w:rFonts w:ascii="Times New Roman" w:cs="Times New Roman" w:eastAsia="Times New Roman" w:hAnsi="Times New Roman"/>
          <w:b w:val="false"/>
          <w:bCs w:val="false"/>
          <w:i w:val="false"/>
          <w:iCs w:val="false"/>
          <w:sz w:val="28"/>
          <w:szCs w:val="28"/>
        </w:rPr>
        <w:t xml:space="preserve">Таблица 2.11</w:t>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8"/>
          <w:szCs w:val="28"/>
        </w:rPr>
        <w:t xml:space="preserve">Матрица дополнительных выигрышей двух резидентов</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3853"/>
        <w:gridCol w:w="2786"/>
        <w:gridCol w:w="2716"/>
      </w:tblGrid>
      <w:tr>
        <w:trPr>
          <w:cantSplit/>
          <w:tblHeader/>
        </w:trPr>
        <w:tc>
          <w:tcPr>
            <w:tcW w:type="dxa" w:w="385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Резидент i / резидент j</w:t>
            </w:r>
          </w:p>
        </w:tc>
        <w:tc>
          <w:tcPr>
            <w:tcW w:type="dxa" w:w="278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j участвует</w:t>
            </w:r>
          </w:p>
        </w:tc>
        <w:tc>
          <w:tcPr>
            <w:tcW w:type="dxa" w:w="271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j не участвует</w:t>
            </w:r>
          </w:p>
        </w:tc>
      </w:tr>
      <w:tr>
        <w:trPr>
          <w:cantSplit/>
          <w:tblHeader w:val="false"/>
        </w:trPr>
        <w:tc>
          <w:tcPr>
            <w:tcW w:type="dxa" w:w="385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i участвует</w:t>
            </w:r>
          </w:p>
        </w:tc>
        <w:tc>
          <w:tcPr>
            <w:tcW w:type="dxa" w:w="278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(g</w:t>
            </w:r>
            <w:r>
              <w:rPr>
                <w:rFonts w:ascii="Times New Roman" w:cs="Times New Roman" w:eastAsia="Times New Roman" w:hAnsi="Times New Roman"/>
                <w:b w:val="false"/>
                <w:bCs w:val="false"/>
                <w:i w:val="false"/>
                <w:iCs w:val="false"/>
                <w:sz w:val="24"/>
                <w:szCs w:val="24"/>
                <w:vertAlign w:val="subscript"/>
              </w:rPr>
              <w:t xml:space="preserve">i</w:t>
            </w:r>
            <w:r>
              <w:rPr>
                <w:rFonts w:ascii="Times New Roman" w:cs="Times New Roman" w:eastAsia="Times New Roman" w:hAnsi="Times New Roman"/>
                <w:b w:val="false"/>
                <w:bCs w:val="false"/>
                <w:i w:val="false"/>
                <w:iCs w:val="false"/>
                <w:sz w:val="24"/>
                <w:szCs w:val="24"/>
              </w:rPr>
              <w:t xml:space="preserve">; g</w:t>
            </w:r>
            <w:r>
              <w:rPr>
                <w:rFonts w:ascii="Times New Roman" w:cs="Times New Roman" w:eastAsia="Times New Roman" w:hAnsi="Times New Roman"/>
                <w:b w:val="false"/>
                <w:bCs w:val="false"/>
                <w:i w:val="false"/>
                <w:iCs w:val="false"/>
                <w:sz w:val="24"/>
                <w:szCs w:val="24"/>
                <w:vertAlign w:val="subscript"/>
              </w:rPr>
              <w:t xml:space="preserve">j</w:t>
            </w:r>
            <w:r>
              <w:rPr>
                <w:rFonts w:ascii="Times New Roman" w:cs="Times New Roman" w:eastAsia="Times New Roman" w:hAnsi="Times New Roman"/>
                <w:b w:val="false"/>
                <w:bCs w:val="false"/>
                <w:i w:val="false"/>
                <w:iCs w:val="false"/>
                <w:sz w:val="24"/>
                <w:szCs w:val="24"/>
              </w:rPr>
              <w:t xml:space="preserve">)</w:t>
            </w:r>
          </w:p>
        </w:tc>
        <w:tc>
          <w:tcPr>
            <w:tcW w:type="dxa" w:w="271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w:t>
            </w:r>
            <w:r>
              <w:rPr>
                <w:rFonts w:ascii="Times New Roman" w:cs="Times New Roman" w:eastAsia="Times New Roman" w:hAnsi="Times New Roman"/>
                <w:b w:val="false"/>
                <w:bCs w:val="false"/>
                <w:i w:val="false"/>
                <w:iCs w:val="false"/>
                <w:sz w:val="24"/>
                <w:szCs w:val="24"/>
                <w:vertAlign w:val="subscript"/>
              </w:rPr>
              <w:t xml:space="preserve">i</w:t>
            </w:r>
            <w:r>
              <w:rPr>
                <w:rFonts w:ascii="Times New Roman" w:cs="Times New Roman" w:eastAsia="Times New Roman" w:hAnsi="Times New Roman"/>
                <w:b w:val="false"/>
                <w:bCs w:val="false"/>
                <w:i w:val="false"/>
                <w:iCs w:val="false"/>
                <w:sz w:val="24"/>
                <w:szCs w:val="24"/>
              </w:rPr>
              <w:t xml:space="preserve">; f</w:t>
            </w:r>
            <w:r>
              <w:rPr>
                <w:rFonts w:ascii="Times New Roman" w:cs="Times New Roman" w:eastAsia="Times New Roman" w:hAnsi="Times New Roman"/>
                <w:b w:val="false"/>
                <w:bCs w:val="false"/>
                <w:i w:val="false"/>
                <w:iCs w:val="false"/>
                <w:sz w:val="24"/>
                <w:szCs w:val="24"/>
                <w:vertAlign w:val="subscript"/>
              </w:rPr>
              <w:t xml:space="preserve">j</w:t>
            </w:r>
            <w:r>
              <w:rPr>
                <w:rFonts w:ascii="Times New Roman" w:cs="Times New Roman" w:eastAsia="Times New Roman" w:hAnsi="Times New Roman"/>
                <w:b w:val="false"/>
                <w:bCs w:val="false"/>
                <w:i w:val="false"/>
                <w:iCs w:val="false"/>
                <w:sz w:val="24"/>
                <w:szCs w:val="24"/>
              </w:rPr>
              <w:t xml:space="preserve">)</w:t>
            </w:r>
          </w:p>
        </w:tc>
      </w:tr>
      <w:tr>
        <w:trPr>
          <w:cantSplit/>
          <w:tblHeader w:val="false"/>
        </w:trPr>
        <w:tc>
          <w:tcPr>
            <w:tcW w:type="dxa" w:w="385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i не участвует</w:t>
            </w:r>
          </w:p>
        </w:tc>
        <w:tc>
          <w:tcPr>
            <w:tcW w:type="dxa" w:w="278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(f</w:t>
            </w:r>
            <w:r>
              <w:rPr>
                <w:rFonts w:ascii="Times New Roman" w:cs="Times New Roman" w:eastAsia="Times New Roman" w:hAnsi="Times New Roman"/>
                <w:b w:val="false"/>
                <w:bCs w:val="false"/>
                <w:i w:val="false"/>
                <w:iCs w:val="false"/>
                <w:sz w:val="24"/>
                <w:szCs w:val="24"/>
                <w:vertAlign w:val="subscript"/>
              </w:rPr>
              <w:t xml:space="preserve">i</w:t>
            </w:r>
            <w:r>
              <w:rPr>
                <w:rFonts w:ascii="Times New Roman" w:cs="Times New Roman" w:eastAsia="Times New Roman" w:hAnsi="Times New Roman"/>
                <w:b w:val="false"/>
                <w:bCs w:val="false"/>
                <w:i w:val="false"/>
                <w:iCs w:val="false"/>
                <w:sz w:val="24"/>
                <w:szCs w:val="24"/>
              </w:rPr>
              <w:t xml:space="preserve">; −c</w:t>
            </w:r>
            <w:r>
              <w:rPr>
                <w:rFonts w:ascii="Times New Roman" w:cs="Times New Roman" w:eastAsia="Times New Roman" w:hAnsi="Times New Roman"/>
                <w:b w:val="false"/>
                <w:bCs w:val="false"/>
                <w:i w:val="false"/>
                <w:iCs w:val="false"/>
                <w:sz w:val="24"/>
                <w:szCs w:val="24"/>
                <w:vertAlign w:val="subscript"/>
              </w:rPr>
              <w:t xml:space="preserve">j</w:t>
            </w:r>
            <w:r>
              <w:rPr>
                <w:rFonts w:ascii="Times New Roman" w:cs="Times New Roman" w:eastAsia="Times New Roman" w:hAnsi="Times New Roman"/>
                <w:b w:val="false"/>
                <w:bCs w:val="false"/>
                <w:i w:val="false"/>
                <w:iCs w:val="false"/>
                <w:sz w:val="24"/>
                <w:szCs w:val="24"/>
              </w:rPr>
              <w:t xml:space="preserve">)</w:t>
            </w:r>
          </w:p>
        </w:tc>
        <w:tc>
          <w:tcPr>
            <w:tcW w:type="dxa" w:w="271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(0; 0)</w:t>
            </w:r>
          </w:p>
        </w:tc>
      </w:tr>
    </w:tbl>
    <w:p>
      <w:pPr>
        <w:keepNext w:val="false"/>
        <w:spacing w:after="0" w:before="0" w:line="360" w:lineRule="auto"/>
        <w:ind w:firstLine="0"/>
        <w:jc w:val="left"/>
      </w:pPr>
      <w:r>
        <w:rPr>
          <w:rFonts w:ascii="Times New Roman" w:cs="Times New Roman" w:eastAsia="Times New Roman" w:hAnsi="Times New Roman"/>
          <w:b w:val="false"/>
          <w:bCs w:val="false"/>
          <w:i w:val="false"/>
          <w:iCs w:val="false"/>
          <w:sz w:val="24"/>
          <w:szCs w:val="24"/>
        </w:rPr>
        <w:t xml:space="preserve">Источник: составлено автором.</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Матрица таблицы 2.11 не предрешает тип игры: он зависит от соотношения параметров. Взаимное участие является равновесием Нэша, если ни одному из участников невыгодно отклониться в одностороннем порядке:</w:t>
      </w:r>
    </w:p>
    <w:p>
      <w:pPr>
        <w:tabs>
          <w:tab w:val="center" w:pos="4678"/>
          <w:tab w:val="right" w:pos="9355"/>
        </w:tabs>
        <w:spacing w:after="0" w:before="0" w:line="360" w:lineRule="auto"/>
        <w:ind w:firstLine="0"/>
        <w:jc w:val="left"/>
      </w:pPr>
      <w:r>
        <w:rPr>
          <w:rFonts w:ascii="Times New Roman" w:cs="Times New Roman" w:eastAsia="Times New Roman" w:hAnsi="Times New Roman"/>
          <w:sz w:val="28"/>
          <w:szCs w:val="28"/>
        </w:rPr>
        <w:t xml:space="preserve">	</w:t>
      </w:r>
      <m:oMath xmlns:m="http://schemas.openxmlformats.org/officeDocument/2006/math" xmlns:w="http://schemas.openxmlformats.org/wordprocessingml/2006/main">
        <m:sSub>
          <m:e>
            <m:r>
              <w:rPr>
                <w:rFonts w:ascii="Cambria Math" w:hAnsi="Cambria Math"/>
                <w:i/>
                <w:sz w:val="28"/>
                <w:szCs w:val="28"/>
              </w:rPr>
              <m:t xml:space="preserve">g</m:t>
            </m:r>
          </m:e>
          <m:sub>
            <m:r>
              <w:rPr>
                <w:rFonts w:ascii="Cambria Math" w:hAnsi="Cambria Math"/>
                <w:i/>
                <w:sz w:val="28"/>
                <w:szCs w:val="28"/>
              </w:rPr>
              <m:t xml:space="preserve">i</m:t>
            </m:r>
          </m:sub>
        </m:sSub>
        <m:r>
          <m:rPr>
            <m:sty m:val="p"/>
          </m:rPr>
          <w:rPr>
            <w:rFonts w:ascii="Cambria Math" w:hAnsi="Cambria Math"/>
            <w:i w:val="0"/>
            <w:sz w:val="28"/>
            <w:szCs w:val="28"/>
          </w:rPr>
          <m:t xml:space="preserve"> ≥ </m:t>
        </m:r>
        <m:sSub>
          <m:e>
            <m:r>
              <w:rPr>
                <w:rFonts w:ascii="Cambria Math" w:hAnsi="Cambria Math"/>
                <w:i/>
                <w:sz w:val="28"/>
                <w:szCs w:val="28"/>
              </w:rPr>
              <m:t xml:space="preserve">f</m:t>
            </m:r>
          </m:e>
          <m:sub>
            <m:r>
              <w:rPr>
                <w:rFonts w:ascii="Cambria Math" w:hAnsi="Cambria Math"/>
                <w:i/>
                <w:sz w:val="28"/>
                <w:szCs w:val="28"/>
              </w:rPr>
              <m:t xml:space="preserve">i</m:t>
            </m:r>
          </m:sub>
        </m:sSub>
        <m:r>
          <m:rPr>
            <m:sty m:val="p"/>
          </m:rPr>
          <w:rPr>
            <w:rFonts w:ascii="Cambria Math" w:hAnsi="Cambria Math"/>
            <w:i w:val="0"/>
            <w:sz w:val="28"/>
            <w:szCs w:val="28"/>
          </w:rPr>
          <m:t xml:space="preserve">  ∧  </m:t>
        </m:r>
        <m:sSub>
          <m:e>
            <m:r>
              <w:rPr>
                <w:rFonts w:ascii="Cambria Math" w:hAnsi="Cambria Math"/>
                <w:i/>
                <w:sz w:val="28"/>
                <w:szCs w:val="28"/>
              </w:rPr>
              <m:t xml:space="preserve">g</m:t>
            </m:r>
          </m:e>
          <m:sub>
            <m:r>
              <w:rPr>
                <w:rFonts w:ascii="Cambria Math" w:hAnsi="Cambria Math"/>
                <w:i/>
                <w:sz w:val="28"/>
                <w:szCs w:val="28"/>
              </w:rPr>
              <m:t xml:space="preserve">j</m:t>
            </m:r>
          </m:sub>
        </m:sSub>
        <m:r>
          <m:rPr>
            <m:sty m:val="p"/>
          </m:rPr>
          <w:rPr>
            <w:rFonts w:ascii="Cambria Math" w:hAnsi="Cambria Math"/>
            <w:i w:val="0"/>
            <w:sz w:val="28"/>
            <w:szCs w:val="28"/>
          </w:rPr>
          <m:t xml:space="preserve"> ≥ </m:t>
        </m:r>
        <m:sSub>
          <m:e>
            <m:r>
              <w:rPr>
                <w:rFonts w:ascii="Cambria Math" w:hAnsi="Cambria Math"/>
                <w:i/>
                <w:sz w:val="28"/>
                <w:szCs w:val="28"/>
              </w:rPr>
              <m:t xml:space="preserve">f</m:t>
            </m:r>
          </m:e>
          <m:sub>
            <m:r>
              <w:rPr>
                <w:rFonts w:ascii="Cambria Math" w:hAnsi="Cambria Math"/>
                <w:i/>
                <w:sz w:val="28"/>
                <w:szCs w:val="28"/>
              </w:rPr>
              <m:t xml:space="preserve">j</m:t>
            </m:r>
          </m:sub>
        </m:sSub>
      </m:oMath>
      <w:r>
        <w:rPr>
          <w:rFonts w:ascii="Times New Roman" w:cs="Times New Roman" w:eastAsia="Times New Roman" w:hAnsi="Times New Roman"/>
          <w:sz w:val="28"/>
          <w:szCs w:val="28"/>
        </w:rPr>
        <w:t xml:space="preserve">	(2.21)</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где g</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 g</w:t>
      </w:r>
      <w:r>
        <w:rPr>
          <w:rFonts w:ascii="Times New Roman" w:cs="Times New Roman" w:eastAsia="Times New Roman" w:hAnsi="Times New Roman"/>
          <w:b w:val="false"/>
          <w:bCs w:val="false"/>
          <w:i w:val="false"/>
          <w:iCs w:val="false"/>
          <w:sz w:val="28"/>
          <w:szCs w:val="28"/>
          <w:vertAlign w:val="subscript"/>
        </w:rPr>
        <w:t xml:space="preserve">j</w:t>
      </w:r>
      <w:r>
        <w:rPr>
          <w:rFonts w:ascii="Times New Roman" w:cs="Times New Roman" w:eastAsia="Times New Roman" w:hAnsi="Times New Roman"/>
          <w:b w:val="false"/>
          <w:bCs w:val="false"/>
          <w:i w:val="false"/>
          <w:iCs w:val="false"/>
          <w:sz w:val="28"/>
          <w:szCs w:val="28"/>
        </w:rPr>
        <w:t xml:space="preserve"> — выгоды участников при взаимном участии; f</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 f</w:t>
      </w:r>
      <w:r>
        <w:rPr>
          <w:rFonts w:ascii="Times New Roman" w:cs="Times New Roman" w:eastAsia="Times New Roman" w:hAnsi="Times New Roman"/>
          <w:b w:val="false"/>
          <w:bCs w:val="false"/>
          <w:i w:val="false"/>
          <w:iCs w:val="false"/>
          <w:sz w:val="28"/>
          <w:szCs w:val="28"/>
          <w:vertAlign w:val="subscript"/>
        </w:rPr>
        <w:t xml:space="preserve">j</w:t>
      </w:r>
      <w:r>
        <w:rPr>
          <w:rFonts w:ascii="Times New Roman" w:cs="Times New Roman" w:eastAsia="Times New Roman" w:hAnsi="Times New Roman"/>
          <w:b w:val="false"/>
          <w:bCs w:val="false"/>
          <w:i w:val="false"/>
          <w:iCs w:val="false"/>
          <w:sz w:val="28"/>
          <w:szCs w:val="28"/>
        </w:rPr>
        <w:t xml:space="preserve"> — выгоды от одностороннего уклонения при участии партнёра; ∧ — логическое «и».</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Если условие (2.21) выполнено, а затраты одностороннего участия c положительны, игра имеет два равновесия — взаимное участие и взаимный отказ — и представляет собой игру координации. Участники предпочли бы взаимное участие, но каждый опасается оказаться единственным, кто понёс затраты. Если же f &gt; g, то есть уклонение выгоднее участия, игра превращается в дилемму заключённого, и единственное равновесие — взаимный отказ, хотя оба выиграли бы от сотрудничества.</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Различие принципиально для выбора инструмента. В игре координации достаточно снять неопределённость: публичное обязательство якорного участника, гарантия возврата затрат подготовки при несостоявшемся обмене, синхронное подписание договоров через платформу. В дилемме заключённого этого мало, и нужно менять сами выигрыши: уменьшать f за счёт ограничения доступа к данным и увеличивать g за счёт дивиденда. Автоматическое отнесение симбиотического взаимодействия к дилемме заключённого, распространённое в литературе, ведёт к избыточно жёстким механизмам там, где хватило бы координации. М. Моллика, Л. Фраккашия и А. Настази показали, что выбор предприятия между кооперацией в симбиозе и конкурирующей стратегией разработки нового продукта определяется рыночными условиями — объёмом рынка, готовностью покупателей платить и необходимыми вложениями </w:t>
      </w:r>
      <w:r>
        <w:rPr>
          <w:rFonts w:ascii="Times New Roman" w:cs="Times New Roman" w:eastAsia="Times New Roman" w:hAnsi="Times New Roman"/>
          <w:b w:val="false"/>
          <w:bCs w:val="false"/>
          <w:i w:val="false"/>
          <w:iCs w:val="false"/>
          <w:sz w:val="28"/>
          <w:szCs w:val="28"/>
        </w:rPr>
        <w:t xml:space="preserve">[63]</w:t>
      </w:r>
      <w:r>
        <w:rPr>
          <w:rFonts w:ascii="Times New Roman" w:cs="Times New Roman" w:eastAsia="Times New Roman" w:hAnsi="Times New Roman"/>
          <w:b w:val="false"/>
          <w:bCs w:val="false"/>
          <w:i w:val="false"/>
          <w:iCs w:val="false"/>
          <w:sz w:val="28"/>
          <w:szCs w:val="28"/>
        </w:rPr>
        <w:t xml:space="preserve">, то есть тип игры для каждой пары нужно устанавливать по данным, а не постулировать.</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Для экоплатформы Невинномысска большинство пар относится к игре координации. ГРЭС и тепличный резидент не конкурируют, «Азот» и потребитель CO₂ работают на разных рынках, и выгода f от уклонения у них близка к нулю. Дилемма заключённого возникает в парах резидентов одной отрасли, например двух переработчиков полимеров, получающих вторичное сырьё от ЭПП, где раскрытие объёмов закупки сообщает конкуренту о загрузке мощностей.</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2.6.2. Повторяющееся взаимодействие и порог дальновидности</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Обмены в экоплатформе повторяются из года в год, и это меняет стимулы. В повторяющейся игре участник сравнивает выигрыш от сотрудничества во всех будущих периодах с разовым выигрышем от уклонения и последующей потерей доступа к платформе. Р. Аксельрод показал, что в повторяющейся дилемме заключённого сотрудничество устойчиво, если будущее достаточно важно для участников</w:t>
      </w:r>
      <w:r>
        <w:rPr>
          <w:rStyle w:val="FootnoteReference"/>
        </w:rPr>
        <w:footnoteReference w:id="21"/>
      </w:r>
      <w:r>
        <w:rPr>
          <w:rFonts w:ascii="Times New Roman" w:cs="Times New Roman" w:eastAsia="Times New Roman" w:hAnsi="Times New Roman"/>
          <w:b w:val="false"/>
          <w:bCs w:val="false"/>
          <w:i w:val="false"/>
          <w:iCs w:val="false"/>
          <w:sz w:val="28"/>
          <w:szCs w:val="28"/>
        </w:rPr>
        <w:t xml:space="preserve">, а Д. Фуденберг и Э. Маскин дали этому условию строгую форму</w:t>
      </w:r>
      <w:r>
        <w:rPr>
          <w:rStyle w:val="FootnoteReference"/>
        </w:rPr>
        <w:footnoteReference w:id="22"/>
      </w:r>
      <w:r>
        <w:rPr>
          <w:rFonts w:ascii="Times New Roman" w:cs="Times New Roman" w:eastAsia="Times New Roman" w:hAnsi="Times New Roman"/>
          <w:b w:val="false"/>
          <w:bCs w:val="false"/>
          <w:i w:val="false"/>
          <w:iCs w:val="false"/>
          <w:sz w:val="28"/>
          <w:szCs w:val="28"/>
        </w:rPr>
        <w:t xml:space="preserve">. Если D</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 — чистая выгода участия за период, c</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 — разовый выигрыш от уклонения, а уклонившийся участник исключается из распределения, сотрудничество устойчиво при условии D</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/(1 − δ</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 ≥ D</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 + c</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 откуда:</w:t>
      </w:r>
    </w:p>
    <w:p>
      <w:pPr>
        <w:tabs>
          <w:tab w:val="center" w:pos="4678"/>
          <w:tab w:val="right" w:pos="9355"/>
        </w:tabs>
        <w:spacing w:after="0" w:before="0" w:line="360" w:lineRule="auto"/>
        <w:ind w:firstLine="0"/>
        <w:jc w:val="left"/>
      </w:pPr>
      <w:r>
        <w:rPr>
          <w:rFonts w:ascii="Times New Roman" w:cs="Times New Roman" w:eastAsia="Times New Roman" w:hAnsi="Times New Roman"/>
          <w:sz w:val="28"/>
          <w:szCs w:val="28"/>
        </w:rPr>
        <w:t xml:space="preserve">	</w:t>
      </w:r>
      <m:oMath xmlns:m="http://schemas.openxmlformats.org/officeDocument/2006/math" xmlns:w="http://schemas.openxmlformats.org/wordprocessingml/2006/main">
        <m:sSub>
          <m:e>
            <m:r>
              <w:rPr>
                <w:rFonts w:ascii="Cambria Math" w:hAnsi="Cambria Math"/>
                <w:i/>
                <w:sz w:val="28"/>
                <w:szCs w:val="28"/>
              </w:rPr>
              <m:t xml:space="preserve">δ</m:t>
            </m:r>
          </m:e>
          <m:sub>
            <m:r>
              <w:rPr>
                <w:rFonts w:ascii="Cambria Math" w:hAnsi="Cambria Math"/>
                <w:i/>
                <w:sz w:val="28"/>
                <w:szCs w:val="28"/>
              </w:rPr>
              <m:t xml:space="preserve">i</m:t>
            </m:r>
          </m:sub>
        </m:sSub>
        <m:r>
          <m:rPr>
            <m:sty m:val="p"/>
          </m:rPr>
          <w:rPr>
            <w:rFonts w:ascii="Cambria Math" w:hAnsi="Cambria Math"/>
            <w:i w:val="0"/>
            <w:sz w:val="28"/>
            <w:szCs w:val="28"/>
          </w:rPr>
          <m:t xml:space="preserve"> ≥ </m:t>
        </m:r>
        <m:sSubSup>
          <m:e>
            <m:r>
              <w:rPr>
                <w:rFonts w:ascii="Cambria Math" w:hAnsi="Cambria Math"/>
                <w:i/>
                <w:sz w:val="28"/>
                <w:szCs w:val="28"/>
              </w:rPr>
              <m:t xml:space="preserve">δ</m:t>
            </m:r>
          </m:e>
          <m:sub>
            <m:r>
              <w:rPr>
                <w:rFonts w:ascii="Cambria Math" w:hAnsi="Cambria Math"/>
                <w:i/>
                <w:sz w:val="28"/>
                <w:szCs w:val="28"/>
              </w:rPr>
              <m:t xml:space="preserve">i</m:t>
            </m:r>
          </m:sub>
          <m:sup>
            <m:r>
              <m:rPr>
                <m:sty m:val="p"/>
              </m:rPr>
              <w:rPr>
                <w:rFonts w:ascii="Cambria Math" w:hAnsi="Cambria Math"/>
                <w:i w:val="0"/>
                <w:sz w:val="28"/>
                <w:szCs w:val="28"/>
              </w:rPr>
              <m:t xml:space="preserve">*</m:t>
            </m:r>
          </m:sup>
        </m:sSubSup>
        <m:r>
          <m:rPr>
            <m:sty m:val="p"/>
          </m:rPr>
          <w:rPr>
            <w:rFonts w:ascii="Cambria Math" w:hAnsi="Cambria Math"/>
            <w:i w:val="0"/>
            <w:sz w:val="28"/>
            <w:szCs w:val="28"/>
          </w:rPr>
          <m:t xml:space="preserve"> = </m:t>
        </m:r>
        <m:f>
          <m:num>
            <m:sSub>
              <m:e>
                <m:r>
                  <w:rPr>
                    <w:rFonts w:ascii="Cambria Math" w:hAnsi="Cambria Math"/>
                    <w:i/>
                    <w:sz w:val="28"/>
                    <w:szCs w:val="28"/>
                  </w:rPr>
                  <m:t xml:space="preserve">c</m:t>
                </m:r>
              </m:e>
              <m:sub>
                <m:r>
                  <w:rPr>
                    <w:rFonts w:ascii="Cambria Math" w:hAnsi="Cambria Math"/>
                    <w:i/>
                    <w:sz w:val="28"/>
                    <w:szCs w:val="28"/>
                  </w:rPr>
                  <m:t xml:space="preserve">i</m:t>
                </m:r>
              </m:sub>
            </m:sSub>
          </m:num>
          <m:den>
            <m:sSub>
              <m:e>
                <m:r>
                  <w:rPr>
                    <w:rFonts w:ascii="Cambria Math" w:hAnsi="Cambria Math"/>
                    <w:i/>
                    <w:sz w:val="28"/>
                    <w:szCs w:val="28"/>
                  </w:rPr>
                  <m:t xml:space="preserve">c</m:t>
                </m:r>
              </m:e>
              <m:sub>
                <m:r>
                  <w:rPr>
                    <w:rFonts w:ascii="Cambria Math" w:hAnsi="Cambria Math"/>
                    <w:i/>
                    <w:sz w:val="28"/>
                    <w:szCs w:val="28"/>
                  </w:rPr>
                  <m:t xml:space="preserve">i</m:t>
                </m:r>
              </m:sub>
            </m:sSub>
            <m:r>
              <m:rPr>
                <m:sty m:val="p"/>
              </m:rPr>
              <w:rPr>
                <w:rFonts w:ascii="Cambria Math" w:hAnsi="Cambria Math"/>
                <w:i w:val="0"/>
                <w:sz w:val="28"/>
                <w:szCs w:val="28"/>
              </w:rPr>
              <m:t xml:space="preserve"> + </m:t>
            </m:r>
            <m:sSub>
              <m:e>
                <m:r>
                  <w:rPr>
                    <w:rFonts w:ascii="Cambria Math" w:hAnsi="Cambria Math"/>
                    <w:i/>
                    <w:sz w:val="28"/>
                    <w:szCs w:val="28"/>
                  </w:rPr>
                  <m:t xml:space="preserve">D</m:t>
                </m:r>
              </m:e>
              <m:sub>
                <m:r>
                  <w:rPr>
                    <w:rFonts w:ascii="Cambria Math" w:hAnsi="Cambria Math"/>
                    <w:i/>
                    <w:sz w:val="28"/>
                    <w:szCs w:val="28"/>
                  </w:rPr>
                  <m:t xml:space="preserve">i</m:t>
                </m:r>
              </m:sub>
            </m:sSub>
          </m:den>
        </m:f>
      </m:oMath>
      <w:r>
        <w:rPr>
          <w:rFonts w:ascii="Times New Roman" w:cs="Times New Roman" w:eastAsia="Times New Roman" w:hAnsi="Times New Roman"/>
          <w:sz w:val="28"/>
          <w:szCs w:val="28"/>
        </w:rPr>
        <w:t xml:space="preserve">	(2.22)</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где δ</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 — коэффициент дисконтирования участника i, отражающий его оценку будущих периодов и вероятность продолжения взаимодействия; δ</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 — пороговое значение, выше которого сотрудничество устойчиво; c</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 — разовый выигрыш от уклонения; D</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 — чистая выгода участия за период.</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Порог (2.22) низок, когда выгода участия велика по сравнению с выигрышем от уклонения. При D</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 = 1,0 млн руб. и c</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 = 0,3 млн руб. δ\* = 0,23; при D</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 = 0,6 млн руб. порог возрастает до 0,33, а при c</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 = 0,5 млн руб. — до 0,45. Для сравнения: коэффициент дисконтирования предприятия, применяющего ставку 10 % и оценивающего вероятность продолжения сотрудничества в 0,9, составляет 0,9 / 1,1 ≈ 0,82, что многократно превышает пороги. Отсюда следует вывод, расходящийся с распространённым мнением: проблема кооперации в экоплатформе не в краткосрочной ориентации участников, а в достоверности угрозы исключения. Исключение возможно, только если уклонение наблюдаемо, то есть если оператор располагает данными учёта, по которым видно, что участник получил выгоду, не выполнив обязательств.</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Вывод требует оговорки. При конечном и известном горизонте сотрудничества (договор на пять лет без продления) обратная индукция разрушает кооперацию с последнего периода, и Д. Крепс с соавторами показали, что её поддерживает лишь неполная информация о типе партнёра</w:t>
      </w:r>
      <w:r>
        <w:rPr>
          <w:rStyle w:val="FootnoteReference"/>
        </w:rPr>
        <w:footnoteReference w:id="23"/>
      </w:r>
      <w:r>
        <w:rPr>
          <w:rFonts w:ascii="Times New Roman" w:cs="Times New Roman" w:eastAsia="Times New Roman" w:hAnsi="Times New Roman"/>
          <w:b w:val="false"/>
          <w:bCs w:val="false"/>
          <w:i w:val="false"/>
          <w:iCs w:val="false"/>
          <w:sz w:val="28"/>
          <w:szCs w:val="28"/>
        </w:rPr>
        <w:t xml:space="preserve">. Поэтому договоры экоплатформы целесообразно заключать с автоматической пролонгацией и без фиксированной даты прекращения всей системы.</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Применим формулы (2.20) и (2.22) к базовому сценарию. По схеме А группа резидентов получает 2,94 млн руб. в год. Если обмены ведут пять резидентов с равным вкладом, каждый получает около 0,59 млн руб. При затратах участия 0,3–0,5 млн руб. в год чистая выгода от дивиденда составляет лишь 0,09–0,29 млн руб., и сам по себе дивиденд едва окупает участие. Решающим оказывается не дивиденд, а выигрыш в цене обмена: потребитель CO₂, покупающий его посередине коридора таблицы 2.9, экономит около 2450 руб. на тонне, и при закупке 2 тыс. т в год его выгода составляет 4,9 млн руб. Дивиденд в этой структуре стимулов — премия, а не основа. По схеме В, где поставщики и резиденты вместе получают 2,0 млн руб., дивиденд на одного резидента ещё меньше, и условие индивидуальной рациональности для малых резидентов без ценового выигрыша не выполняется.</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Агентное моделирование подтверждает значение контрактов для устойчивости сетей. В. Альбино, Л. Фраккашия и И. Джанноккаро показали, что договоры о разделе выгод способствуют возникновению самоорганизующихся сетей симбиоза</w:t>
      </w:r>
      <w:r>
        <w:rPr>
          <w:rStyle w:val="FootnoteReference"/>
        </w:rPr>
        <w:footnoteReference w:id="24"/>
      </w:r>
      <w:r>
        <w:rPr>
          <w:rFonts w:ascii="Times New Roman" w:cs="Times New Roman" w:eastAsia="Times New Roman" w:hAnsi="Times New Roman"/>
          <w:b w:val="false"/>
          <w:bCs w:val="false"/>
          <w:i w:val="false"/>
          <w:iCs w:val="false"/>
          <w:sz w:val="28"/>
          <w:szCs w:val="28"/>
        </w:rPr>
        <w:t xml:space="preserve">, а Д. Язан, В. Язданпанах и Л. Фраккашия — что предприятия, многократно взаимодействующие в сети, обучаются кооперативной стратегии, если правила раздела выгод стабильны</w:t>
      </w:r>
      <w:r>
        <w:rPr>
          <w:rStyle w:val="FootnoteReference"/>
        </w:rPr>
        <w:footnoteReference w:id="25"/>
      </w:r>
      <w:r>
        <w:rPr>
          <w:rFonts w:ascii="Times New Roman" w:cs="Times New Roman" w:eastAsia="Times New Roman" w:hAnsi="Times New Roman"/>
          <w:b w:val="false"/>
          <w:bCs w:val="false"/>
          <w:i w:val="false"/>
          <w:iCs w:val="false"/>
          <w:sz w:val="28"/>
          <w:szCs w:val="28"/>
        </w:rPr>
        <w:t xml:space="preserve">.</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2.6.3. Типология резидентов и доверительное управление данными</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Резиденты различаются по двум признакам: комплементарности ресурсов с другими участниками и остроте конкуренции на товарных рынках. Сочетание признаков даёт четыре типа, для каждого из которых платформа должна применять собственный инструмент вовлечения (таблица 2.12).</w:t>
      </w:r>
    </w:p>
    <w:p>
      <w:pPr>
        <w:keepNext/>
        <w:spacing w:after="0" w:before="0" w:line="360" w:lineRule="auto"/>
        <w:ind w:firstLine="0"/>
        <w:jc w:val="right"/>
      </w:pPr>
      <w:r>
        <w:rPr>
          <w:rFonts w:ascii="Times New Roman" w:cs="Times New Roman" w:eastAsia="Times New Roman" w:hAnsi="Times New Roman"/>
          <w:b w:val="false"/>
          <w:bCs w:val="false"/>
          <w:i w:val="false"/>
          <w:iCs w:val="false"/>
          <w:sz w:val="28"/>
          <w:szCs w:val="28"/>
        </w:rPr>
        <w:t xml:space="preserve">Таблица 2.12</w:t>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8"/>
          <w:szCs w:val="28"/>
        </w:rPr>
        <w:t xml:space="preserve">Типология резидентов экоплатформы по профилю кооперации и конкуренции</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593"/>
        <w:gridCol w:w="1593"/>
        <w:gridCol w:w="1355"/>
        <w:gridCol w:w="1441"/>
        <w:gridCol w:w="1761"/>
        <w:gridCol w:w="1612"/>
      </w:tblGrid>
      <w:tr>
        <w:trPr>
          <w:cantSplit/>
          <w:tblHeader/>
        </w:trPr>
        <w:tc>
          <w:tcPr>
            <w:tcW w:type="dxa" w:w="159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Тип</w:t>
            </w:r>
          </w:p>
        </w:tc>
        <w:tc>
          <w:tcPr>
            <w:tcW w:type="dxa" w:w="159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Комплементарность ресурсов</w:t>
            </w:r>
          </w:p>
        </w:tc>
        <w:tc>
          <w:tcPr>
            <w:tcW w:type="dxa" w:w="13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Конкуренция на рынке продукции</w:t>
            </w:r>
          </w:p>
        </w:tc>
        <w:tc>
          <w:tcPr>
            <w:tcW w:type="dxa" w:w="14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Тип игры</w:t>
            </w:r>
          </w:p>
        </w:tc>
        <w:tc>
          <w:tcPr>
            <w:tcW w:type="dxa" w:w="17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Инструмент вовлечения</w:t>
            </w:r>
          </w:p>
        </w:tc>
        <w:tc>
          <w:tcPr>
            <w:tcW w:type="dxa" w:w="161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Пример для Невинномысска</w:t>
            </w:r>
          </w:p>
        </w:tc>
      </w:tr>
      <w:tr>
        <w:trPr>
          <w:cantSplit/>
          <w:tblHeader w:val="false"/>
        </w:trPr>
        <w:tc>
          <w:tcPr>
            <w:tcW w:type="dxa" w:w="159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A. Естественные партнёры</w:t>
            </w:r>
          </w:p>
        </w:tc>
        <w:tc>
          <w:tcPr>
            <w:tcW w:type="dxa" w:w="159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Высокая</w:t>
            </w:r>
          </w:p>
        </w:tc>
        <w:tc>
          <w:tcPr>
            <w:tcW w:type="dxa" w:w="13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Низкая</w:t>
            </w:r>
          </w:p>
        </w:tc>
        <w:tc>
          <w:tcPr>
            <w:tcW w:type="dxa" w:w="144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Координация</w:t>
            </w:r>
          </w:p>
        </w:tc>
        <w:tc>
          <w:tcPr>
            <w:tcW w:type="dxa" w:w="176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Типовой договор, синхронное подписание</w:t>
            </w:r>
          </w:p>
        </w:tc>
        <w:tc>
          <w:tcPr>
            <w:tcW w:type="dxa" w:w="161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ГРЭС и тепличный резидент</w:t>
            </w:r>
          </w:p>
        </w:tc>
      </w:tr>
      <w:tr>
        <w:trPr>
          <w:cantSplit/>
          <w:tblHeader w:val="false"/>
        </w:trPr>
        <w:tc>
          <w:tcPr>
            <w:tcW w:type="dxa" w:w="159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B. Партнёры-конкуренты</w:t>
            </w:r>
          </w:p>
        </w:tc>
        <w:tc>
          <w:tcPr>
            <w:tcW w:type="dxa" w:w="159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Высокая</w:t>
            </w:r>
          </w:p>
        </w:tc>
        <w:tc>
          <w:tcPr>
            <w:tcW w:type="dxa" w:w="13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Высокая</w:t>
            </w:r>
          </w:p>
        </w:tc>
        <w:tc>
          <w:tcPr>
            <w:tcW w:type="dxa" w:w="144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Дилемма заключённого</w:t>
            </w:r>
          </w:p>
        </w:tc>
        <w:tc>
          <w:tcPr>
            <w:tcW w:type="dxa" w:w="176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Ограничение доступа к данным, дивиденд</w:t>
            </w:r>
          </w:p>
        </w:tc>
        <w:tc>
          <w:tcPr>
            <w:tcW w:type="dxa" w:w="161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Два переработчика полимеров у ЭПП</w:t>
            </w:r>
          </w:p>
        </w:tc>
      </w:tr>
      <w:tr>
        <w:trPr>
          <w:cantSplit/>
          <w:tblHeader w:val="false"/>
        </w:trPr>
        <w:tc>
          <w:tcPr>
            <w:tcW w:type="dxa" w:w="159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 Осторожные</w:t>
            </w:r>
          </w:p>
        </w:tc>
        <w:tc>
          <w:tcPr>
            <w:tcW w:type="dxa" w:w="159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Средняя</w:t>
            </w:r>
          </w:p>
        </w:tc>
        <w:tc>
          <w:tcPr>
            <w:tcW w:type="dxa" w:w="13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Высокая, чувствительные данные</w:t>
            </w:r>
          </w:p>
        </w:tc>
        <w:tc>
          <w:tcPr>
            <w:tcW w:type="dxa" w:w="144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Дилемма с асимметрией информации</w:t>
            </w:r>
          </w:p>
        </w:tc>
        <w:tc>
          <w:tcPr>
            <w:tcW w:type="dxa" w:w="176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Доверительное управление данными</w:t>
            </w:r>
          </w:p>
        </w:tc>
        <w:tc>
          <w:tcPr>
            <w:tcW w:type="dxa" w:w="161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Производитель с закрытой технологией</w:t>
            </w:r>
          </w:p>
        </w:tc>
      </w:tr>
      <w:tr>
        <w:trPr>
          <w:cantSplit/>
          <w:tblHeader w:val="false"/>
        </w:trPr>
        <w:tc>
          <w:tcPr>
            <w:tcW w:type="dxa" w:w="159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D. Безразличные</w:t>
            </w:r>
          </w:p>
        </w:tc>
        <w:tc>
          <w:tcPr>
            <w:tcW w:type="dxa" w:w="159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Низкая</w:t>
            </w:r>
          </w:p>
        </w:tc>
        <w:tc>
          <w:tcPr>
            <w:tcW w:type="dxa" w:w="13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Любая</w:t>
            </w:r>
          </w:p>
        </w:tc>
        <w:tc>
          <w:tcPr>
            <w:tcW w:type="dxa" w:w="144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Вовлечение нецелесообразно</w:t>
            </w:r>
          </w:p>
        </w:tc>
        <w:tc>
          <w:tcPr>
            <w:tcW w:type="dxa" w:w="176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Информирование без затрат</w:t>
            </w:r>
          </w:p>
        </w:tc>
        <w:tc>
          <w:tcPr>
            <w:tcW w:type="dxa" w:w="161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Резидент сферы услуг</w:t>
            </w:r>
          </w:p>
        </w:tc>
      </w:tr>
    </w:tbl>
    <w:p>
      <w:pPr>
        <w:keepNext w:val="false"/>
        <w:spacing w:after="0" w:before="0" w:line="360" w:lineRule="auto"/>
        <w:ind w:firstLine="0"/>
        <w:jc w:val="left"/>
      </w:pPr>
      <w:r>
        <w:rPr>
          <w:rFonts w:ascii="Times New Roman" w:cs="Times New Roman" w:eastAsia="Times New Roman" w:hAnsi="Times New Roman"/>
          <w:b w:val="false"/>
          <w:bCs w:val="false"/>
          <w:i w:val="false"/>
          <w:iCs w:val="false"/>
          <w:sz w:val="24"/>
          <w:szCs w:val="24"/>
        </w:rPr>
        <w:t xml:space="preserve">Источник: составлено автором на основе </w:t>
      </w:r>
      <w:r>
        <w:rPr>
          <w:rFonts w:ascii="Times New Roman" w:cs="Times New Roman" w:eastAsia="Times New Roman" w:hAnsi="Times New Roman"/>
          <w:b w:val="false"/>
          <w:bCs w:val="false"/>
          <w:i w:val="false"/>
          <w:iCs w:val="false"/>
          <w:sz w:val="24"/>
          <w:szCs w:val="24"/>
        </w:rPr>
        <w:t xml:space="preserve">[53, 55, 63]</w:t>
      </w:r>
      <w:r>
        <w:rPr>
          <w:rFonts w:ascii="Times New Roman" w:cs="Times New Roman" w:eastAsia="Times New Roman" w:hAnsi="Times New Roman"/>
          <w:b w:val="false"/>
          <w:bCs w:val="false"/>
          <w:i w:val="false"/>
          <w:iCs w:val="false"/>
          <w:sz w:val="24"/>
          <w:szCs w:val="24"/>
        </w:rPr>
        <w:t xml:space="preserve">.</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Из таблицы 2.12 следует, что универсального инструмента вовлечения нет. Для типа A дивиденд почти не нужен, достаточно снять координационный риск. Для типа B нужен и дивиденд, и ограничение доступа к данным. Тип D не следует вовлекать вовсе: затраты его подключения превысят выгоду и снизят чистый результат сети, что прямо следует из анализа оптимальной связности в § 2.3.3. Л. Харфельдт-Берг, С. Броберг и К. Эрикссон показали, что для продвижения сетей симбиоза важны индивидуальные характеристики участников и контекст, а не только технологическая совместимость </w:t>
      </w:r>
      <w:r>
        <w:rPr>
          <w:rFonts w:ascii="Times New Roman" w:cs="Times New Roman" w:eastAsia="Times New Roman" w:hAnsi="Times New Roman"/>
          <w:b w:val="false"/>
          <w:bCs w:val="false"/>
          <w:i w:val="false"/>
          <w:iCs w:val="false"/>
          <w:sz w:val="28"/>
          <w:szCs w:val="28"/>
        </w:rPr>
        <w:t xml:space="preserve">[53]</w:t>
      </w:r>
      <w:r>
        <w:rPr>
          <w:rFonts w:ascii="Times New Roman" w:cs="Times New Roman" w:eastAsia="Times New Roman" w:hAnsi="Times New Roman"/>
          <w:b w:val="false"/>
          <w:bCs w:val="false"/>
          <w:i w:val="false"/>
          <w:iCs w:val="false"/>
          <w:sz w:val="28"/>
          <w:szCs w:val="28"/>
        </w:rPr>
        <w:t xml:space="preserve">; Ж. Энрикеш и соавторы выявили устойчивые отраслевые различия в движущих силах и барьерах симбиоза </w:t>
      </w:r>
      <w:r>
        <w:rPr>
          <w:rFonts w:ascii="Times New Roman" w:cs="Times New Roman" w:eastAsia="Times New Roman" w:hAnsi="Times New Roman"/>
          <w:b w:val="false"/>
          <w:bCs w:val="false"/>
          <w:i w:val="false"/>
          <w:iCs w:val="false"/>
          <w:sz w:val="28"/>
          <w:szCs w:val="28"/>
        </w:rPr>
        <w:t xml:space="preserve">[55]</w:t>
      </w:r>
      <w:r>
        <w:rPr>
          <w:rFonts w:ascii="Times New Roman" w:cs="Times New Roman" w:eastAsia="Times New Roman" w:hAnsi="Times New Roman"/>
          <w:b w:val="false"/>
          <w:bCs w:val="false"/>
          <w:i w:val="false"/>
          <w:iCs w:val="false"/>
          <w:sz w:val="28"/>
          <w:szCs w:val="28"/>
        </w:rPr>
        <w:t xml:space="preserve">.</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Для типа C предлагается механизм доверительного управления данными (Data Trust). Участник передаёт сведения о потоках не оператору и не партнёрам, а доверительному управляющему, который обязан использовать их только для расчёта совместимости и эффекта и раскрывает партнёру лишь результат: есть ли совместимый поток, каков его объём в агрегированном виде, какова расчётная цена. С. Делакруа и Н. Лоуренс обосновали такие «восходящие» трасты данных как альтернативу единой модели управления данными, позволяющую участникам коллективно задавать условия использования своих сведений</w:t>
      </w:r>
      <w:r>
        <w:rPr>
          <w:rStyle w:val="FootnoteReference"/>
        </w:rPr>
        <w:footnoteReference w:id="26"/>
      </w:r>
      <w:r>
        <w:rPr>
          <w:rFonts w:ascii="Times New Roman" w:cs="Times New Roman" w:eastAsia="Times New Roman" w:hAnsi="Times New Roman"/>
          <w:b w:val="false"/>
          <w:bCs w:val="false"/>
          <w:i w:val="false"/>
          <w:iCs w:val="false"/>
          <w:sz w:val="28"/>
          <w:szCs w:val="28"/>
        </w:rPr>
        <w:t xml:space="preserve">. В российском праве основой для подобного режима служит законодательство о коммерческой тайне </w:t>
      </w:r>
      <w:r>
        <w:rPr>
          <w:rFonts w:ascii="Times New Roman" w:cs="Times New Roman" w:eastAsia="Times New Roman" w:hAnsi="Times New Roman"/>
          <w:b w:val="false"/>
          <w:bCs w:val="false"/>
          <w:i w:val="false"/>
          <w:iCs w:val="false"/>
          <w:sz w:val="28"/>
          <w:szCs w:val="28"/>
        </w:rPr>
        <w:t xml:space="preserve">[4]</w:t>
      </w:r>
      <w:r>
        <w:rPr>
          <w:rFonts w:ascii="Times New Roman" w:cs="Times New Roman" w:eastAsia="Times New Roman" w:hAnsi="Times New Roman"/>
          <w:b w:val="false"/>
          <w:bCs w:val="false"/>
          <w:i w:val="false"/>
          <w:iCs w:val="false"/>
          <w:sz w:val="28"/>
          <w:szCs w:val="28"/>
        </w:rPr>
        <w:t xml:space="preserve">: доверительный управляющий становится лицом, которому сведения переданы по договору с обязательством сохранения конфиденциальности. Механизм уменьшает f в матрице таблицы 2.11, поскольку партнёр не получает сведений, которые мог бы использовать в конкуренции.</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2.6.4. Интегральный алгоритм и переменные для имитационного исследования</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Изложенные в главе процедуры складываются в последовательный алгоритм оценки экоплатформы. На первом шаге устанавливаются состав участников и границы системы (§ 2.1). На втором отбираются допустимые связи по признаку реализуемости (2.2). На третьем рассчитываются доступные объёмы, валовая экономия и дополнительный эффект с проверкой двойного счёта (2.1), (2.7)–(2.9). На четвёртом определяются ценовые коридоры и методы цены (2.14), (2.15). На пятом начисляется и распределяется дивиденд (2.11), (2.16)–(2.20). На шестом проверяются индивидуальная рациональность и устойчивость кооперации (2.21), (2.22). Каждый шаг имеет собственный критерий отказа: связь с z = 0 не переходит на третий шаг, обмен с пустым коридором — на пятый, отрицательный ΔE даёт нулевой дивиденд. Механическое суммирование всех технологически возможных потоков этим исключается.</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М. Демартини, Ф. Тонелли и К. Говиндан, систематизировав подходы к моделированию симбиоза, отметили преимущества гибридных моделей, сочетающих системную динамику с агентным описанием поведения участников </w:t>
      </w:r>
      <w:r>
        <w:rPr>
          <w:rFonts w:ascii="Times New Roman" w:cs="Times New Roman" w:eastAsia="Times New Roman" w:hAnsi="Times New Roman"/>
          <w:b w:val="false"/>
          <w:bCs w:val="false"/>
          <w:i w:val="false"/>
          <w:iCs w:val="false"/>
          <w:sz w:val="28"/>
          <w:szCs w:val="28"/>
        </w:rPr>
        <w:t xml:space="preserve">[44]</w:t>
      </w:r>
      <w:r>
        <w:rPr>
          <w:rFonts w:ascii="Times New Roman" w:cs="Times New Roman" w:eastAsia="Times New Roman" w:hAnsi="Times New Roman"/>
          <w:b w:val="false"/>
          <w:bCs w:val="false"/>
          <w:i w:val="false"/>
          <w:iCs w:val="false"/>
          <w:sz w:val="28"/>
          <w:szCs w:val="28"/>
        </w:rPr>
        <w:t xml:space="preserve">. Симулятор, используемый в главе 3, относится к системно-динамическому классу; агентная составляющая представлена в нём режимами распределения, а не поведением отдельных участников. Связь методики главы 2 с симулятором задаётся набором переменных, перечисленных в таблице 2.13.</w:t>
      </w:r>
    </w:p>
    <w:p>
      <w:pPr>
        <w:keepNext/>
        <w:spacing w:after="0" w:before="0" w:line="360" w:lineRule="auto"/>
        <w:ind w:firstLine="0"/>
        <w:jc w:val="right"/>
      </w:pPr>
      <w:r>
        <w:rPr>
          <w:rFonts w:ascii="Times New Roman" w:cs="Times New Roman" w:eastAsia="Times New Roman" w:hAnsi="Times New Roman"/>
          <w:b w:val="false"/>
          <w:bCs w:val="false"/>
          <w:i w:val="false"/>
          <w:iCs w:val="false"/>
          <w:sz w:val="28"/>
          <w:szCs w:val="28"/>
        </w:rPr>
        <w:t xml:space="preserve">Таблица 2.13</w:t>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8"/>
          <w:szCs w:val="28"/>
        </w:rPr>
        <w:t xml:space="preserve">Переменные методики, передаваемые в имитационное исследование главы 3</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726"/>
        <w:gridCol w:w="1726"/>
        <w:gridCol w:w="1494"/>
        <w:gridCol w:w="1756"/>
        <w:gridCol w:w="2653"/>
      </w:tblGrid>
      <w:tr>
        <w:trPr>
          <w:cantSplit/>
          <w:tblHeader/>
        </w:trPr>
        <w:tc>
          <w:tcPr>
            <w:tcW w:type="dxa" w:w="17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Блок</w:t>
            </w:r>
          </w:p>
        </w:tc>
        <w:tc>
          <w:tcPr>
            <w:tcW w:type="dxa" w:w="17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Переменная главы 2</w:t>
            </w:r>
          </w:p>
        </w:tc>
        <w:tc>
          <w:tcPr>
            <w:tcW w:type="dxa" w:w="149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Параметр симулятора</w:t>
            </w:r>
          </w:p>
        </w:tc>
        <w:tc>
          <w:tcPr>
            <w:tcW w:type="dxa" w:w="17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Значение в главе 2</w:t>
            </w:r>
          </w:p>
        </w:tc>
        <w:tc>
          <w:tcPr>
            <w:tcW w:type="dxa" w:w="265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Проверяемая гипотеза</w:t>
            </w:r>
          </w:p>
        </w:tc>
      </w:tr>
      <w:tr>
        <w:trPr>
          <w:cantSplit/>
          <w:tblHeader w:val="false"/>
        </w:trPr>
        <w:tc>
          <w:tcPr>
            <w:tcW w:type="dxa" w:w="172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Связность</w:t>
            </w:r>
          </w:p>
        </w:tc>
        <w:tc>
          <w:tcPr>
            <w:tcW w:type="dxa" w:w="172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w:t>
            </w:r>
            <w:r>
              <w:rPr>
                <w:rFonts w:ascii="Times New Roman" w:cs="Times New Roman" w:eastAsia="Times New Roman" w:hAnsi="Times New Roman"/>
                <w:b w:val="false"/>
                <w:bCs w:val="false"/>
                <w:i w:val="false"/>
                <w:iCs w:val="false"/>
                <w:sz w:val="24"/>
                <w:szCs w:val="24"/>
                <w:vertAlign w:val="subscript"/>
              </w:rPr>
              <w:t xml:space="preserve">инд</w:t>
            </w:r>
            <w:r>
              <w:rPr>
                <w:rFonts w:ascii="Times New Roman" w:cs="Times New Roman" w:eastAsia="Times New Roman" w:hAnsi="Times New Roman"/>
                <w:b w:val="false"/>
                <w:bCs w:val="false"/>
                <w:i w:val="false"/>
                <w:iCs w:val="false"/>
                <w:sz w:val="24"/>
                <w:szCs w:val="24"/>
              </w:rPr>
              <w:t xml:space="preserve"> (2.3), φ (2.5)</w:t>
            </w:r>
          </w:p>
        </w:tc>
        <w:tc>
          <w:tcPr>
            <w:tcW w:type="dxa" w:w="149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investment, kScenario</w:t>
            </w:r>
          </w:p>
        </w:tc>
        <w:tc>
          <w:tcPr>
            <w:tcW w:type="dxa" w:w="175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 = 0,10–0,25; k = 3, 5, 7</w:t>
            </w:r>
          </w:p>
        </w:tc>
        <w:tc>
          <w:tcPr>
            <w:tcW w:type="dxa" w:w="265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Рост k во времени при институциональных мерах</w:t>
            </w:r>
          </w:p>
        </w:tc>
      </w:tr>
      <w:tr>
        <w:trPr>
          <w:cantSplit/>
          <w:tblHeader w:val="false"/>
        </w:trPr>
        <w:tc>
          <w:tcPr>
            <w:tcW w:type="dxa" w:w="172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Эффект</w:t>
            </w:r>
          </w:p>
        </w:tc>
        <w:tc>
          <w:tcPr>
            <w:tcW w:type="dxa" w:w="172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ΔE (2.7)</w:t>
            </w:r>
          </w:p>
        </w:tc>
        <w:tc>
          <w:tcPr>
            <w:tcW w:type="dxa" w:w="149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ΔE</w:t>
            </w:r>
            <w:r>
              <w:rPr>
                <w:rFonts w:ascii="Times New Roman" w:cs="Times New Roman" w:eastAsia="Times New Roman" w:hAnsi="Times New Roman"/>
                <w:b w:val="false"/>
                <w:bCs w:val="false"/>
                <w:i w:val="false"/>
                <w:iCs w:val="false"/>
                <w:sz w:val="24"/>
                <w:szCs w:val="24"/>
                <w:vertAlign w:val="subscript"/>
              </w:rPr>
              <w:t xml:space="preserve">base</w:t>
            </w:r>
            <w:r>
              <w:rPr>
                <w:rFonts w:ascii="Times New Roman" w:cs="Times New Roman" w:eastAsia="Times New Roman" w:hAnsi="Times New Roman"/>
                <w:b w:val="false"/>
                <w:bCs w:val="false"/>
                <w:i w:val="false"/>
                <w:iCs w:val="false"/>
                <w:sz w:val="24"/>
                <w:szCs w:val="24"/>
              </w:rPr>
              <w:t xml:space="preserve">, ΔE(t)</w:t>
            </w:r>
          </w:p>
        </w:tc>
        <w:tc>
          <w:tcPr>
            <w:tcW w:type="dxa" w:w="175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117,4 млн руб. (база), диапазон −51,8…289,4</w:t>
            </w:r>
          </w:p>
        </w:tc>
        <w:tc>
          <w:tcPr>
            <w:tcW w:type="dxa" w:w="265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ΔE</w:t>
            </w:r>
            <w:r>
              <w:rPr>
                <w:rFonts w:ascii="Times New Roman" w:cs="Times New Roman" w:eastAsia="Times New Roman" w:hAnsi="Times New Roman"/>
                <w:b w:val="false"/>
                <w:bCs w:val="false"/>
                <w:i w:val="false"/>
                <w:iCs w:val="false"/>
                <w:sz w:val="24"/>
                <w:szCs w:val="24"/>
                <w:vertAlign w:val="subscript"/>
              </w:rPr>
              <w:t xml:space="preserve">base</w:t>
            </w:r>
            <w:r>
              <w:rPr>
                <w:rFonts w:ascii="Times New Roman" w:cs="Times New Roman" w:eastAsia="Times New Roman" w:hAnsi="Times New Roman"/>
                <w:b w:val="false"/>
                <w:bCs w:val="false"/>
                <w:i w:val="false"/>
                <w:iCs w:val="false"/>
                <w:sz w:val="24"/>
                <w:szCs w:val="24"/>
              </w:rPr>
              <w:t xml:space="preserve"> = 250 соответствует валовому, а не чистому эффекту</w:t>
            </w:r>
          </w:p>
        </w:tc>
      </w:tr>
      <w:tr>
        <w:trPr>
          <w:cantSplit/>
          <w:tblHeader w:val="false"/>
        </w:trPr>
        <w:tc>
          <w:tcPr>
            <w:tcW w:type="dxa" w:w="172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Оптимум</w:t>
            </w:r>
          </w:p>
        </w:tc>
        <w:tc>
          <w:tcPr>
            <w:tcW w:type="dxa" w:w="172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 (2.13)</w:t>
            </w:r>
          </w:p>
        </w:tc>
        <w:tc>
          <w:tcPr>
            <w:tcW w:type="dxa" w:w="149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175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0,19 без платформы, 0,23 с платформой</w:t>
            </w:r>
          </w:p>
        </w:tc>
        <w:tc>
          <w:tcPr>
            <w:tcW w:type="dxa" w:w="265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Сдвиг C\* вправо при внедрении платформы</w:t>
            </w:r>
          </w:p>
        </w:tc>
      </w:tr>
      <w:tr>
        <w:trPr>
          <w:cantSplit/>
          <w:tblHeader w:val="false"/>
        </w:trPr>
        <w:tc>
          <w:tcPr>
            <w:tcW w:type="dxa" w:w="172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Дивиденд</w:t>
            </w:r>
          </w:p>
        </w:tc>
        <w:tc>
          <w:tcPr>
            <w:tcW w:type="dxa" w:w="172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SD (2.11), α</w:t>
            </w:r>
          </w:p>
        </w:tc>
        <w:tc>
          <w:tcPr>
            <w:tcW w:type="dxa" w:w="149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alpha</w:t>
            </w:r>
          </w:p>
        </w:tc>
        <w:tc>
          <w:tcPr>
            <w:tcW w:type="dxa" w:w="175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11,7 млн руб. при α = 0,10</w:t>
            </w:r>
          </w:p>
        </w:tc>
        <w:tc>
          <w:tcPr>
            <w:tcW w:type="dxa" w:w="265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Чувствительность SD к α в пределах 0,08–0,12</w:t>
            </w:r>
          </w:p>
        </w:tc>
      </w:tr>
      <w:tr>
        <w:trPr>
          <w:cantSplit/>
          <w:tblHeader w:val="false"/>
        </w:trPr>
        <w:tc>
          <w:tcPr>
            <w:tcW w:type="dxa" w:w="172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Распределение</w:t>
            </w:r>
          </w:p>
        </w:tc>
        <w:tc>
          <w:tcPr>
            <w:tcW w:type="dxa" w:w="172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γ</w:t>
            </w:r>
            <w:r>
              <w:rPr>
                <w:rFonts w:ascii="Times New Roman" w:cs="Times New Roman" w:eastAsia="Times New Roman" w:hAnsi="Times New Roman"/>
                <w:b w:val="false"/>
                <w:bCs w:val="false"/>
                <w:i w:val="false"/>
                <w:iCs w:val="false"/>
                <w:sz w:val="24"/>
                <w:szCs w:val="24"/>
                <w:vertAlign w:val="subscript"/>
              </w:rPr>
              <w:t xml:space="preserve">h</w:t>
            </w:r>
            <w:r>
              <w:rPr>
                <w:rFonts w:ascii="Times New Roman" w:cs="Times New Roman" w:eastAsia="Times New Roman" w:hAnsi="Times New Roman"/>
                <w:b w:val="false"/>
                <w:bCs w:val="false"/>
                <w:i w:val="false"/>
                <w:iCs w:val="false"/>
                <w:sz w:val="24"/>
                <w:szCs w:val="24"/>
              </w:rPr>
              <w:t xml:space="preserve"> (2.16)–(2.18)</w:t>
            </w:r>
          </w:p>
        </w:tc>
        <w:tc>
          <w:tcPr>
            <w:tcW w:type="dxa" w:w="149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distRegime, β, ecofund</w:t>
            </w:r>
          </w:p>
        </w:tc>
        <w:tc>
          <w:tcPr>
            <w:tcW w:type="dxa" w:w="175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Схемы А, Б, В (таблица 2.10)</w:t>
            </w:r>
          </w:p>
        </w:tc>
        <w:tc>
          <w:tcPr>
            <w:tcW w:type="dxa" w:w="265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Различие исходов режимов при одинаковом SD</w:t>
            </w:r>
          </w:p>
        </w:tc>
      </w:tr>
      <w:tr>
        <w:trPr>
          <w:cantSplit/>
          <w:tblHeader w:val="false"/>
        </w:trPr>
        <w:tc>
          <w:tcPr>
            <w:tcW w:type="dxa" w:w="172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Бюджетное ограничение</w:t>
            </w:r>
          </w:p>
        </w:tc>
        <w:tc>
          <w:tcPr>
            <w:tcW w:type="dxa" w:w="172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SD</w:t>
            </w:r>
            <w:r>
              <w:rPr>
                <w:rFonts w:ascii="Times New Roman" w:cs="Times New Roman" w:eastAsia="Times New Roman" w:hAnsi="Times New Roman"/>
                <w:b w:val="false"/>
                <w:bCs w:val="false"/>
                <w:i w:val="false"/>
                <w:iCs w:val="false"/>
                <w:sz w:val="24"/>
                <w:szCs w:val="24"/>
                <w:vertAlign w:val="subscript"/>
              </w:rPr>
              <w:t xml:space="preserve">б</w:t>
            </w:r>
            <w:r>
              <w:rPr>
                <w:rFonts w:ascii="Times New Roman" w:cs="Times New Roman" w:eastAsia="Times New Roman" w:hAnsi="Times New Roman"/>
                <w:b w:val="false"/>
                <w:bCs w:val="false"/>
                <w:i w:val="false"/>
                <w:iCs w:val="false"/>
                <w:sz w:val="24"/>
                <w:szCs w:val="24"/>
              </w:rPr>
              <w:t xml:space="preserve"> ≥ C</w:t>
            </w:r>
            <w:r>
              <w:rPr>
                <w:rFonts w:ascii="Times New Roman" w:cs="Times New Roman" w:eastAsia="Times New Roman" w:hAnsi="Times New Roman"/>
                <w:b w:val="false"/>
                <w:bCs w:val="false"/>
                <w:i w:val="false"/>
                <w:iCs w:val="false"/>
                <w:sz w:val="24"/>
                <w:szCs w:val="24"/>
                <w:vertAlign w:val="subscript"/>
              </w:rPr>
              <w:t xml:space="preserve">ликв</w:t>
            </w:r>
          </w:p>
        </w:tc>
        <w:tc>
          <w:tcPr>
            <w:tcW w:type="dxa" w:w="149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w:t>
            </w:r>
            <w:r>
              <w:rPr>
                <w:rFonts w:ascii="Times New Roman" w:cs="Times New Roman" w:eastAsia="Times New Roman" w:hAnsi="Times New Roman"/>
                <w:b w:val="false"/>
                <w:bCs w:val="false"/>
                <w:i w:val="false"/>
                <w:iCs w:val="false"/>
                <w:sz w:val="24"/>
                <w:szCs w:val="24"/>
                <w:vertAlign w:val="subscript"/>
              </w:rPr>
              <w:t xml:space="preserve">liq</w:t>
            </w:r>
          </w:p>
        </w:tc>
        <w:tc>
          <w:tcPr>
            <w:tcW w:type="dxa" w:w="175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3,6–3,9 млн руб. против 15,5</w:t>
            </w:r>
          </w:p>
        </w:tc>
        <w:tc>
          <w:tcPr>
            <w:tcW w:type="dxa" w:w="265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Ограничение не выполняется без отдельного источника</w:t>
            </w:r>
          </w:p>
        </w:tc>
      </w:tr>
      <w:tr>
        <w:trPr>
          <w:cantSplit/>
          <w:tblHeader w:val="false"/>
        </w:trPr>
        <w:tc>
          <w:tcPr>
            <w:tcW w:type="dxa" w:w="172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Стимулы</w:t>
            </w:r>
          </w:p>
        </w:tc>
        <w:tc>
          <w:tcPr>
            <w:tcW w:type="dxa" w:w="172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δ\* (2.22), D</w:t>
            </w:r>
            <w:r>
              <w:rPr>
                <w:rFonts w:ascii="Times New Roman" w:cs="Times New Roman" w:eastAsia="Times New Roman" w:hAnsi="Times New Roman"/>
                <w:b w:val="false"/>
                <w:bCs w:val="false"/>
                <w:i w:val="false"/>
                <w:iCs w:val="false"/>
                <w:sz w:val="24"/>
                <w:szCs w:val="24"/>
                <w:vertAlign w:val="subscript"/>
              </w:rPr>
              <w:t xml:space="preserve">i</w:t>
            </w:r>
            <w:r>
              <w:rPr>
                <w:rFonts w:ascii="Times New Roman" w:cs="Times New Roman" w:eastAsia="Times New Roman" w:hAnsi="Times New Roman"/>
                <w:b w:val="false"/>
                <w:bCs w:val="false"/>
                <w:i w:val="false"/>
                <w:iCs w:val="false"/>
                <w:sz w:val="24"/>
                <w:szCs w:val="24"/>
              </w:rPr>
              <w:t xml:space="preserve"> (2.20)</w:t>
            </w:r>
          </w:p>
        </w:tc>
        <w:tc>
          <w:tcPr>
            <w:tcW w:type="dxa" w:w="149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175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0,23–0,45</w:t>
            </w:r>
          </w:p>
        </w:tc>
        <w:tc>
          <w:tcPr>
            <w:tcW w:type="dxa" w:w="265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Участие малых резидентов определяется ценой, а не дивидендом</w:t>
            </w:r>
          </w:p>
        </w:tc>
      </w:tr>
    </w:tbl>
    <w:p>
      <w:pPr>
        <w:keepNext w:val="false"/>
        <w:spacing w:after="0" w:before="0" w:line="360" w:lineRule="auto"/>
        <w:ind w:firstLine="0"/>
        <w:jc w:val="left"/>
      </w:pPr>
      <w:r>
        <w:rPr>
          <w:rFonts w:ascii="Times New Roman" w:cs="Times New Roman" w:eastAsia="Times New Roman" w:hAnsi="Times New Roman"/>
          <w:b w:val="false"/>
          <w:bCs w:val="false"/>
          <w:i w:val="false"/>
          <w:iCs w:val="false"/>
          <w:sz w:val="24"/>
          <w:szCs w:val="24"/>
        </w:rPr>
        <w:t xml:space="preserve">Источник: составлено автором; параметры симулятора — по исходному коду программной модели.</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 таблице 2.13 видно, что часть переменных главы 2 в симуляторе представлена напрямую, а часть отсутствует. Оптимальная связность и стимулы отдельных участников в симуляторе не моделируются; их проверка в главе 3 возможна только косвенно, через сравнение режимов. Наиболее существенное расхождение касается параметра ΔE</w:t>
      </w:r>
      <w:r>
        <w:rPr>
          <w:rFonts w:ascii="Times New Roman" w:cs="Times New Roman" w:eastAsia="Times New Roman" w:hAnsi="Times New Roman"/>
          <w:b w:val="false"/>
          <w:bCs w:val="false"/>
          <w:i w:val="false"/>
          <w:iCs w:val="false"/>
          <w:sz w:val="28"/>
          <w:szCs w:val="28"/>
          <w:vertAlign w:val="subscript"/>
        </w:rPr>
        <w:t xml:space="preserve">base</w:t>
      </w:r>
      <w:r>
        <w:rPr>
          <w:rFonts w:ascii="Times New Roman" w:cs="Times New Roman" w:eastAsia="Times New Roman" w:hAnsi="Times New Roman"/>
          <w:b w:val="false"/>
          <w:bCs w:val="false"/>
          <w:i w:val="false"/>
          <w:iCs w:val="false"/>
          <w:sz w:val="28"/>
          <w:szCs w:val="28"/>
        </w:rPr>
        <w:t xml:space="preserve">: в симуляторе он равен 250 млн руб. и умножается на φ, что при C</w:t>
      </w:r>
      <w:r>
        <w:rPr>
          <w:rFonts w:ascii="Times New Roman" w:cs="Times New Roman" w:eastAsia="Times New Roman" w:hAnsi="Times New Roman"/>
          <w:b w:val="false"/>
          <w:bCs w:val="false"/>
          <w:i w:val="false"/>
          <w:iCs w:val="false"/>
          <w:sz w:val="28"/>
          <w:szCs w:val="28"/>
          <w:vertAlign w:val="subscript"/>
        </w:rPr>
        <w:t xml:space="preserve">инд</w:t>
      </w:r>
      <w:r>
        <w:rPr>
          <w:rFonts w:ascii="Times New Roman" w:cs="Times New Roman" w:eastAsia="Times New Roman" w:hAnsi="Times New Roman"/>
          <w:b w:val="false"/>
          <w:bCs w:val="false"/>
          <w:i w:val="false"/>
          <w:iCs w:val="false"/>
          <w:sz w:val="28"/>
          <w:szCs w:val="28"/>
        </w:rPr>
        <w:t xml:space="preserve"> = 0,15 даёт около 101 млн руб. чистой экономии при параметрах по умолчанию. Величина того же порядка, что и чистый эффект прозрачного расчёта (117,4 млн руб.), что подтверждает согласованность моделей, но при калибровке симулятора по данным участников параметр ΔE</w:t>
      </w:r>
      <w:r>
        <w:rPr>
          <w:rFonts w:ascii="Times New Roman" w:cs="Times New Roman" w:eastAsia="Times New Roman" w:hAnsi="Times New Roman"/>
          <w:b w:val="false"/>
          <w:bCs w:val="false"/>
          <w:i w:val="false"/>
          <w:iCs w:val="false"/>
          <w:sz w:val="28"/>
          <w:szCs w:val="28"/>
          <w:vertAlign w:val="subscript"/>
        </w:rPr>
        <w:t xml:space="preserve">base</w:t>
      </w:r>
      <w:r>
        <w:rPr>
          <w:rFonts w:ascii="Times New Roman" w:cs="Times New Roman" w:eastAsia="Times New Roman" w:hAnsi="Times New Roman"/>
          <w:b w:val="false"/>
          <w:bCs w:val="false"/>
          <w:i w:val="false"/>
          <w:iCs w:val="false"/>
          <w:sz w:val="28"/>
          <w:szCs w:val="28"/>
        </w:rPr>
        <w:t xml:space="preserve"> должен быть пересчитан по формулам (2.7)–(2.9).</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 главе 3 предстоит сопоставить три режима: отсутствие платформы, координацию без распределения дивиденда и координацию с распределением по одной из схем. Только такое сравнение позволит отделить вклад организационно-экономического механизма от влияния цен и технологических параметров.</w:t>
      </w:r>
    </w:p>
    <w:p>
      <w:pPr>
        <w:keepNext/>
        <w:spacing w:after="0" w:before="0" w:line="360" w:lineRule="auto"/>
      </w:pPr>
    </w:p>
    <w:p>
      <w:pPr>
        <w:pStyle w:val="Heading2"/>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Выводы по главе 2</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1. Промышленный комплекс Невинномысска обладает технологическими предпосылками симбиоза: энергетическое, химическое и перерабатывающее ядро на компактной территории, экопромышленный парк мощностью 190 тыс. т и 52 резидента ТОСЭР. Из пяти выделенных классов связей по открытым данным действующей подтверждается только одна: продажи пищевой углекислоты «Азота», начатые в 2018 г.; остальные связи остаются потенциальными или подготавливаемыми. Введено различение потенциальной, подготовленной и действующей связи и контрфактическое правило «с платформой — без платформы», без которых технологический потенциал выдаётся за состоявшийся результат.</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2. Низкая связность объяснена пятью институциональными препятствиями — информационным, контрактным, распределительным, регуляторным и стратегическим, — для каждого из которых в механизме экоплатформы предусмотрен отдельный инструмент и измеримый показатель. Механизм не увеличивает физический объём ресурсов, а переводит потенциальные связи в действующие; его эффективность измеряется ростом организационной составляющей η</w:t>
      </w:r>
      <w:r>
        <w:rPr>
          <w:rFonts w:ascii="Times New Roman" w:cs="Times New Roman" w:eastAsia="Times New Roman" w:hAnsi="Times New Roman"/>
          <w:b w:val="false"/>
          <w:bCs w:val="false"/>
          <w:i w:val="false"/>
          <w:iCs w:val="false"/>
          <w:sz w:val="28"/>
          <w:szCs w:val="28"/>
          <w:vertAlign w:val="subscript"/>
        </w:rPr>
        <w:t xml:space="preserve">орг</w:t>
      </w:r>
      <w:r>
        <w:rPr>
          <w:rFonts w:ascii="Times New Roman" w:cs="Times New Roman" w:eastAsia="Times New Roman" w:hAnsi="Times New Roman"/>
          <w:b w:val="false"/>
          <w:bCs w:val="false"/>
          <w:i w:val="false"/>
          <w:iCs w:val="false"/>
          <w:sz w:val="28"/>
          <w:szCs w:val="28"/>
        </w:rPr>
        <w:t xml:space="preserve">, что делает основной тезис главы опровержимым.</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3. Разработана архитектура экоплатформы из четырёх контуров с обратной связью и принципом разделения функций измерения и получения эффекта. Предложены показатели доступного объёма (2.1), реализуемости (2.2), структурной (2.3) и стоимостной (2.4) связности. Функция синергетической реализуемости (2.5) получила статус проверяемой гипотезы и процедуру калибровки параметра k по наблюдаемым данным (2.6).</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4. Методика расчёта дополнительного эффекта (2.7)–(2.10) исключает внутренние трансферты и вычитает затраты на создание и поддержание связей. В демонстрационном сценарии валовая экономия составляет 239,7 млн руб. в год, чистый эффект — 117,4 млн руб., симбиотический дивиденд при α = 0,10 — 11,7 млн руб.; NPV проекта за 10 лет — 676 млн руб. при внутренней норме доходности около 36 %. Затраты платформы и сделок поглощают 29 % валовой экономии, а тепловой поток из-за вложений в теплотрассу даёт наименьший чистый вклад.</w:t>
      </w:r>
      <w:r>
        <w:rPr>
          <w:rFonts w:ascii="Times New Roman" w:cs="Times New Roman" w:eastAsia="Times New Roman" w:hAnsi="Times New Roman"/>
          <w:b w:val="false"/>
          <w:bCs w:val="false"/>
          <w:i w:val="false"/>
          <w:iCs w:val="false"/>
          <w:sz w:val="28"/>
          <w:szCs w:val="28"/>
        </w:rPr>
        <w:t xml:space="preserve"> Поток CO</w:t>
      </w:r>
      <w:r>
        <w:rPr>
          <w:rFonts w:ascii="Times New Roman" w:cs="Times New Roman" w:eastAsia="Times New Roman" w:hAnsi="Times New Roman"/>
          <w:b w:val="false"/>
          <w:bCs w:val="false"/>
          <w:i w:val="false"/>
          <w:iCs w:val="false"/>
          <w:sz w:val="28"/>
          <w:szCs w:val="28"/>
          <w:vertAlign w:val="subscript"/>
        </w:rPr>
        <w:t xml:space="preserve">2</w:t>
      </w:r>
      <w:r>
        <w:rPr>
          <w:rFonts w:ascii="Times New Roman" w:cs="Times New Roman" w:eastAsia="Times New Roman" w:hAnsi="Times New Roman"/>
          <w:b w:val="false"/>
          <w:bCs w:val="false"/>
          <w:i w:val="false"/>
          <w:iCs w:val="false"/>
          <w:sz w:val="28"/>
          <w:szCs w:val="28"/>
        </w:rPr>
        <w:t xml:space="preserve"> засчитан только как прирост сверх действующих с 2018 г. продаж пищевой углекислоты (32 тыс. т); если половина поставок резидентам окажется переключением прежних покупателей, чистый эффект снизится до 81,4 млн руб.</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5. Оптимальная связность сети определяется равенством предельной выгоды и предельных издержек (2.13). В условной постановке платформа смещает оптимум с 0,19 до 0,23 и увеличивает максимальный чистый результат со 143 до 227 млн руб. в год. Направление сдвига устойчиво к параметрам, величина — нет. Вероятностный анализ показал, что при принятых диапазонах параметров вероятность положительного эффекта превышает 0,96 даже при сильной корреляции параметров, а наибольшее влияние на результат оказывают экономия на вторичном сырье, доступность тепла и затраты платформы.</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6. Обоснован ценовой механизм, включающий коридор взаимной выгоды (2.14), пять методов цены, гибридный метод с правилом выбора веса по качеству данных (2.15) и дерево выбора метода. Для всех четырёх потоков базового сценария коридоры непусты. Для теплового потока положение коридора зависит от того, кто финансирует теплотрассу, а договорный статус цены должен быть согласован с органом тарифного регулирования.</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7. Сопоставлены три схемы распределения дивиденда (2.16)–(2.18), соответствующие разным экономическим ролям государства. Все удовлетворяют условиям полноты и неотрицательности. Проверка вектором Шепли показала, что вклад оператора зависит от эффективности прямых обменов без платформы, а резиденты как группа вносят наибольший вклад, тогда как схема симулятора отводит им наименьшую долю. Дивиденд не может служить источником возврата капитала ни для оператора, ни для публичного партнёра: сервисный платёж оператора должен покрывать затраты и возврат вложений, а публичный интерес оценивается неденежными показателями. Ограничение симулятора SD</w:t>
      </w:r>
      <w:r>
        <w:rPr>
          <w:rFonts w:ascii="Times New Roman" w:cs="Times New Roman" w:eastAsia="Times New Roman" w:hAnsi="Times New Roman"/>
          <w:b w:val="false"/>
          <w:bCs w:val="false"/>
          <w:i w:val="false"/>
          <w:iCs w:val="false"/>
          <w:sz w:val="28"/>
          <w:szCs w:val="28"/>
          <w:vertAlign w:val="subscript"/>
        </w:rPr>
        <w:t xml:space="preserve">б</w:t>
      </w:r>
      <w:r>
        <w:rPr>
          <w:rFonts w:ascii="Times New Roman" w:cs="Times New Roman" w:eastAsia="Times New Roman" w:hAnsi="Times New Roman"/>
          <w:b w:val="false"/>
          <w:bCs w:val="false"/>
          <w:i w:val="false"/>
          <w:iCs w:val="false"/>
          <w:sz w:val="28"/>
          <w:szCs w:val="28"/>
        </w:rPr>
        <w:t xml:space="preserve"> ≥ C</w:t>
      </w:r>
      <w:r>
        <w:rPr>
          <w:rFonts w:ascii="Times New Roman" w:cs="Times New Roman" w:eastAsia="Times New Roman" w:hAnsi="Times New Roman"/>
          <w:b w:val="false"/>
          <w:bCs w:val="false"/>
          <w:i w:val="false"/>
          <w:iCs w:val="false"/>
          <w:sz w:val="28"/>
          <w:szCs w:val="28"/>
          <w:vertAlign w:val="subscript"/>
        </w:rPr>
        <w:t xml:space="preserve">ликв</w:t>
      </w:r>
      <w:r>
        <w:rPr>
          <w:rFonts w:ascii="Times New Roman" w:cs="Times New Roman" w:eastAsia="Times New Roman" w:hAnsi="Times New Roman"/>
          <w:b w:val="false"/>
          <w:bCs w:val="false"/>
          <w:i w:val="false"/>
          <w:iCs w:val="false"/>
          <w:sz w:val="28"/>
          <w:szCs w:val="28"/>
        </w:rPr>
        <w:t xml:space="preserve"> в базовом сценарии не выполняется.</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8. Показано, что большинство пар участников экоплатформы играет в игру координации, а не в дилемму заключённого, и порог дальновидности (2.22) многократно ниже реального коэффициента дисконтирования предприятий. Устойчивость кооперации определяется наблюдаемостью уклонения и достоверностью исключения, то есть качеством учёта. Для малых резидентов решающий стимул создаёт выигрыш в цене обмена, а дивиденд играет роль премии. Предложена типология резидентов и механизм доверительного управления данными для участников с чувствительной информацией.</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9. Сформирован набор переменных и проверяемых гипотез для имитационного исследования главы 3. Обязательными условиями перехода от сценарной модели к эмпирическим выводам остаются обследование участников, оценка параметров k, s и затрат платформы по фактическим данным и пересчёт параметра ΔE</w:t>
      </w:r>
      <w:r>
        <w:rPr>
          <w:rFonts w:ascii="Times New Roman" w:cs="Times New Roman" w:eastAsia="Times New Roman" w:hAnsi="Times New Roman"/>
          <w:b w:val="false"/>
          <w:bCs w:val="false"/>
          <w:i w:val="false"/>
          <w:iCs w:val="false"/>
          <w:sz w:val="28"/>
          <w:szCs w:val="28"/>
          <w:vertAlign w:val="subscript"/>
        </w:rPr>
        <w:t xml:space="preserve">base</w:t>
      </w:r>
      <w:r>
        <w:rPr>
          <w:rFonts w:ascii="Times New Roman" w:cs="Times New Roman" w:eastAsia="Times New Roman" w:hAnsi="Times New Roman"/>
          <w:b w:val="false"/>
          <w:bCs w:val="false"/>
          <w:i w:val="false"/>
          <w:iCs w:val="false"/>
          <w:sz w:val="28"/>
          <w:szCs w:val="28"/>
        </w:rPr>
        <w:t xml:space="preserve"> симулятора по формулам главы.</w:t>
      </w:r>
    </w:p>
    <w:p>
      <w:r>
        <w:br w:type="page"/>
      </w:r>
    </w:p>
    <w:sectPr>
      <w:footerReference w:type="default" r:id="rId7"/>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Chertow M.R., Lombardi D.R. Quantifying Economic and Environmental Benefits of Co-located Firms // Environmental Science &amp; Technology. 2005. Vol. 39, no. 17. P. 6535–6541.</w:t>
      </w:r>
    </w:p>
  </w:footnote>
  <w:footnote w:id="2">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 Press release: EuroChem to begin food-grade CO2 production in Russia for Coca-Cola systems [Электронный ресурс] // RCCnews. 2019. 21 Jan. URL: https://rccnews.ru/en/news/103512/ (дата обращения: 13.10.2026).</w:t>
      </w:r>
    </w:p>
  </w:footnote>
  <w:footnote w:id="3">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Coase R.H. The Nature of the Firm // Economica. 1937. Vol. 4, no. 16. P. 386–405.</w:t>
      </w:r>
    </w:p>
  </w:footnote>
  <w:footnote w:id="4">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Fraccascia L., Yazan D.M. The role of online information-sharing platforms on the performance of industrial symbiosis networks // Resources, Conservation and Recycling. 2018. Vol. 136. P. 473–485. DOI: 10.1016/j.resconrec.2018.03.009.</w:t>
      </w:r>
    </w:p>
  </w:footnote>
  <w:footnote w:id="5">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Klein B., Crawford R.G., Alchian A.A. Vertical Integration, Appropriable Rents, and the Competitive Contracting Process // The Journal of Law and Economics. 1978. Vol. 21, no. 2. P. 297–326.</w:t>
      </w:r>
    </w:p>
  </w:footnote>
  <w:footnote w:id="6">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Williamson O.E. The Economic Institutions of Capitalism: Firms, Markets, Relational Contracting. New York: Free Press, 1985.</w:t>
      </w:r>
    </w:p>
  </w:footnote>
  <w:footnote w:id="7">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Paquin R.L., Howard-Grenville J. The Evolution of Facilitated Industrial Symbiosis // Journal of Industrial Ecology. 2012. Vol. 16, no. 1. P. 83–93. DOI: 10.1111/j.1530-9290.2011.00437.x.</w:t>
      </w:r>
    </w:p>
  </w:footnote>
  <w:footnote w:id="8">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Jacobsen N.B. Industrial Symbiosis in Kalundborg, Denmark: A Quantitative Assessment of Economic and Environmental Aspects // Journal of Industrial Ecology. 2006. Vol. 10, no. 1–2. P. 239–255. DOI: 10.1162/108819806775545411.</w:t>
      </w:r>
    </w:p>
  </w:footnote>
  <w:footnote w:id="9">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Van Berkel R., Fujita T., Hashimoto S., Fujii M. Quantitative Assessment of Urban and Industrial Symbiosis in Kawasaki, Japan // Environmental Science &amp; Technology. 2009. Vol. 43, no. 5. P. 1271–1281. DOI: 10.1021/es803319r.</w:t>
      </w:r>
    </w:p>
  </w:footnote>
  <w:footnote w:id="10">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Saltelli A., Ratto M., Andres T., Campolongo F., Cariboni J., Gatelli D., Saisana M., Tarantola S. Global Sensitivity Analysis: The Primer. Chichester: Wiley, 2008.</w:t>
      </w:r>
    </w:p>
  </w:footnote>
  <w:footnote w:id="11">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Hirshleifer J. On the Economics of Transfer Pricing // The Journal of Business. 1956. Vol. 29, no. 3. P. 172–184.</w:t>
      </w:r>
    </w:p>
  </w:footnote>
  <w:footnote w:id="12">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Nash J.F. The Bargaining Problem // Econometrica. 1950. Vol. 18, no. 2. P. 155–162.</w:t>
      </w:r>
    </w:p>
  </w:footnote>
  <w:footnote w:id="13">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Sacchi R., Ramsheva Y.K. The effect of price regulation on the performances of industrial symbiosis: a case study on district heating // International Journal of Sustainable Energy Planning and Management. 2017. Vol. 14. P. 39–56. DOI: 10.5278/ijsepm.2017.14.4.</w:t>
      </w:r>
    </w:p>
  </w:footnote>
  <w:footnote w:id="14">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Hart O., Moore J. Property Rights and the Nature of the Firm // Journal of Political Economy. 1990. Vol. 98, no. 6. P. 1119–1158.</w:t>
      </w:r>
    </w:p>
  </w:footnote>
  <w:footnote w:id="15">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Shapley L.S. A Value for n-Person Games // Contributions to the Theory of Games. Vol. II / ed. by H.W. Kuhn, A.W. Tucker. Princeton: Princeton University Press, 1953. P. 307–317.</w:t>
      </w:r>
    </w:p>
  </w:footnote>
  <w:footnote w:id="16">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Tan R.R., Andiappan V., Wan Y.K., Ng R.T.L., Ng D.K.S. An optimization-based cooperative game approach for systematic allocation of costs and benefits in interplant process integration // Chemical Engineering Research and Design. 2016. Vol. 106. P. 43–58. DOI: 10.1016/j.cherd.2015.11.009.</w:t>
      </w:r>
    </w:p>
  </w:footnote>
  <w:footnote w:id="17">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Hiete M., Ludwig J., Schultmann F. Intercompany Energy Integration: Adaptation of Thermal Pinch Analysis and Allocation of Savings // Journal of Industrial Ecology. 2012. Vol. 16, no. 5. P. 689–698. DOI: 10.1111/j.1530-9290.2012.00462.x.</w:t>
      </w:r>
    </w:p>
  </w:footnote>
  <w:footnote w:id="18">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Engel E., Fischer R.D., Galetovic A. The Economics of Public-Private Partnerships: A Basic Guide. Cambridge: Cambridge University Press, 2014.</w:t>
      </w:r>
    </w:p>
  </w:footnote>
  <w:footnote w:id="19">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Brandenburger A.M., Nalebuff B.J. Co-opetition. New York: Currency Doubleday, 1996.</w:t>
      </w:r>
    </w:p>
  </w:footnote>
  <w:footnote w:id="20">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Bengtsson M., Kock S. «Coopetition» in Business Networks — to Cooperate and Compete Simultaneously // Industrial Marketing Management. 2000. Vol. 29, no. 5. P. 411–426. DOI: 10.1016/S0019-8501(99)00067-X.</w:t>
      </w:r>
    </w:p>
  </w:footnote>
  <w:footnote w:id="21">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Axelrod R. The Evolution of Cooperation. New York: Basic Books, 1984.</w:t>
      </w:r>
    </w:p>
  </w:footnote>
  <w:footnote w:id="22">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Fudenberg D., Maskin E. The Folk Theorem in Repeated Games with Discounting or with Incomplete Information // Econometrica. 1986. Vol. 54, no. 3. P. 533–554.</w:t>
      </w:r>
    </w:p>
  </w:footnote>
  <w:footnote w:id="23">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Kreps D.M., Milgrom P., Roberts J., Wilson R. Rational Cooperation in the Finitely Repeated Prisoners’ Dilemma // Journal of Economic Theory. 1982. Vol. 27, no. 2. P. 245–252.</w:t>
      </w:r>
    </w:p>
  </w:footnote>
  <w:footnote w:id="24">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Albino V., Fraccascia L., Giannoccaro I. Exploring the role of contracts to support the emergence of self-organized industrial symbiosis networks: an agent-based simulation study // Journal of Cleaner Production. 2016. Vol. 112. P. 4353–4366. DOI: 10.1016/j.jclepro.2015.06.070.</w:t>
      </w:r>
    </w:p>
  </w:footnote>
  <w:footnote w:id="25">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Yazan D.M., Yazdanpanah V., Fraccascia L. Learning strategic cooperative behavior in industrial symbiosis: A game-theoretic approach integrated with agent-based simulation // Business Strategy and the Environment. 2020. Vol. 29, no. 5. P. 2078–2091. DOI: 10.1002/bse.2488.</w:t>
      </w:r>
    </w:p>
  </w:footnote>
  <w:footnote w:id="26">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Delacroix S., Lawrence N.D. Bottom-up data Trusts: disturbing the ‘one size fits all’ approach to data governance // International Data Privacy Law. 2019. Vol. 9, no. 4. P. 236–252. DOI: 10.1093/idpl/ipz014.</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pPr>
        <w:spacing w:after="0" w:before="0"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0" w:line="360" w:lineRule="auto"/>
      <w:jc w:val="cente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0" w:before="0" w:line="360" w:lineRule="auto"/>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0" w:before="0" w:line="360" w:lineRule="auto"/>
      <w:outlineLvl w:val="2"/>
    </w:pPr>
    <w:rPr>
      <w:rFonts w:ascii="Times New Roman" w:cs="Times New Roman" w:eastAsia="Times New Roman"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877d713dd2ad3d8a2f0c2d236e7c2468edbe3aa.svg"/><Relationship Id="rId9" Type="http://schemas.openxmlformats.org/officeDocument/2006/relationships/image" Target="media/9014835bdd48f7d1d78ccb8a74a904f08ba8045f.png"/><Relationship Id="rId10" Type="http://schemas.openxmlformats.org/officeDocument/2006/relationships/image" Target="media/2dc932945818c9583170845b12a38b8f97378e63.svg"/><Relationship Id="rId11" Type="http://schemas.openxmlformats.org/officeDocument/2006/relationships/image" Target="media/c055897ae0c81878bb82ffcceafaf50c9f2b7aa4.png"/><Relationship Id="rId12" Type="http://schemas.openxmlformats.org/officeDocument/2006/relationships/image" Target="media/a21e1c4ef592320aa63806bb1641481fd3fc8e50.svg"/><Relationship Id="rId13" Type="http://schemas.openxmlformats.org/officeDocument/2006/relationships/image" Target="media/8e598ef20a00fd1530243ca504ef29729484f6be.png"/><Relationship Id="rId14" Type="http://schemas.openxmlformats.org/officeDocument/2006/relationships/image" Target="media/eac01cc9249f90b5c4df6f7df3864ab09c785943.svg"/><Relationship Id="rId15" Type="http://schemas.openxmlformats.org/officeDocument/2006/relationships/image" Target="media/c10c79201175517adcb1cf903fc72ff0cdcde618.png"/><Relationship Id="rId16" Type="http://schemas.openxmlformats.org/officeDocument/2006/relationships/image" Target="media/9a237b98cf7579ef7940626e8fd56315565a89b3.svg"/><Relationship Id="rId17" Type="http://schemas.openxmlformats.org/officeDocument/2006/relationships/image" Target="media/6085218c2ed15a4296c2f22bf3273b8fc856e36c.png"/><Relationship Id="rId18" Type="http://schemas.openxmlformats.org/officeDocument/2006/relationships/image" Target="media/2a879a6a031dfccc97ebcafd89fa17b94a3a8c07.svg"/><Relationship Id="rId19" Type="http://schemas.openxmlformats.org/officeDocument/2006/relationships/image" Target="media/84f5df84b5a56bb4f52dfcd5db4976e8eea45cd3.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2026-10-21T19:58:14Z</dcterms:created>
  <dcterms:modified xsi:type="dcterms:W3CDTF">2026-10-21T19:58:14Z</dcterms:modified>
</cp:coreProperties>
</file>

<file path=docProps/custom.xml><?xml version="1.0" encoding="utf-8"?>
<Properties xmlns="http://schemas.openxmlformats.org/officeDocument/2006/custom-properties" xmlns:vt="http://schemas.openxmlformats.org/officeDocument/2006/docPropsVTypes"/>
</file>