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ch3_10.svg" ContentType="image/svg+xml"/>
  <Override PartName="/word/media/ch3_12.svg" ContentType="image/svg+xml"/>
  <Override PartName="/word/media/ch3_14.svg" ContentType="image/svg+xml"/>
  <Override PartName="/word/media/ch3_16.svg" ContentType="image/svg+xml"/>
  <Override PartName="/word/media/ch3_18.svg" ContentType="image/svg+xml"/>
  <Override PartName="/word/media/ch3_2.svg" ContentType="image/svg+xml"/>
  <Override PartName="/word/media/ch3_20.svg" ContentType="image/svg+xml"/>
  <Override PartName="/word/media/ch3_22.svg" ContentType="image/svg+xml"/>
  <Override PartName="/word/media/ch3_4.svg" ContentType="image/svg+xml"/>
  <Override PartName="/word/media/ch3_6.svg" ContentType="image/svg+xml"/>
  <Override PartName="/word/media/ch3_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ind w:firstLine="0"/>
        <w:jc w:val="center"/>
      </w:pPr>
      <w:r>
        <w:rPr>
          <w:b/>
        </w:rPr>
        <w:t>ГЛАВА 3. МОДЕЛИРОВАНИЕ И ПЕРСПЕКТИВЫ РАЗВИТИЯ ЭКОСИСТЕМЫ ПРОМЫШЛЕННОГО КОМПЛЕКСА НА БАЗЕ ЯКОРНОГО ПРЕДПРИЯТИЯ</w:t>
      </w:r>
    </w:p>
    <w:p>
      <w:pPr>
        <w:jc w:val="both"/>
      </w:pPr>
      <w:r>
        <w:t>Вторая глава построила механизм экоплатформы на демонстрационных параметрах и передала в третью две задачи: заменить допущения оценками, полученными по данным, и сравнить три режима — без платформы, с координацией и с распределением дивиденда. Порядок главы подчинён этой задаче. Параграф 3.1 калибрует параметры, которые якорное предприятие не раскрывает, по открытой отчётности заводов-аналогов. Параграф 3.2 строит модель того, как резиденты решают об участии и как оператор и публичный партнёр выбирают механизм. В параграфе 3.3 модель проверяется на симуляторе: выделяются состояния экосистемы, опасности и выигрыши участников. Параграф 3.4 переносит результаты на горизонт 2027–2036 гг. при разных внешних условиях, параграф 3.5 превращает их в механизм, дорожную карту и план оценки после запуска.</w:t>
      </w:r>
    </w:p>
    <w:p>
      <w:pPr>
        <w:jc w:val="both"/>
      </w:pPr>
      <w:r>
        <w:t>Каждое число главы сопровождается классом качества или явной ссылкой на источник, расчёты воспроизводятся на опубликованной программной модели, а для каждого вывода указано наблюдение, способное его опровергнуть.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 Статистическая база и калибровка параметров модели промышленной экоплатформы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3.1.1 Информационная база и правила переноса показателей заводов-аналогов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экосистемы с якорным предприятием, построенная во второй главе, требует нескольких величин, которых «Невинномысский Азот» публично не раскрывает. Это годовые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объём технологического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высокой чистоты, который можно передать потребителям, межгодовая изменчивость выпуска и вероятность остановки якоря. Отчётность эмитента по парниковым газам в открытом доступе отсутствует, данные государственного кадастра агрегированы по отраслям. Получить заводские ряды предполагается по соглашению о конфиденциальности. Пока его нет, параметры калибруются по открытой отчётности заводов-аналогов.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Чужие данные переносятся на объект исследования только в двух формах. Первая форма — относительная динамика: годовой индекс выбросов сопоставимых заводов к базовому году. Вторая — удельные показатели на тонну мощности по аммиаку. Абсолютные выбросы других заводов не переносятся: уровень «Азота» задаётся его собственной мощностью, а заимствуется только коэффициент.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рассматриваются раздельно. Первый газ образуется при паровой конверсии метана и сжигании топлива, второй — на агрегатах азотной кислоты, и соотношение между ними на разных комплексах различается в шесть раз (см. табл. 3.2).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Каждому параметру присваивается класс качества. Класс A означает, что величина взята из первичного документа о самом «Азоте». Класс B — величина рассчитана по аналогам с явной формулой и интервалом. Класс C — величина взята из вторичных источников и требует сверки. Итоговая таблица параграфа (табл. 3.7) указывает класс для каждого параметра, чтобы при появлении заводских данных было видно, какие расчёты главы пересматриваются в первую очередь.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3.1.2 Выборка заводов-аналогов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Основной источник — программа отчётности о парниковых газах Агентства по охране окружающей среды США. За 2010–2023 гг. по каждому заводу публикуются прямые выбросы по газам и видам деятельности, в том числе раздельно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производства аммиака, выбросы от стационарного сжигания топлива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азотной кислоты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[51]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Выбросы приведены 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-эквиваленте по потенциалам глобального потепления Четвёртого оценочного доклада МГЭИК</w:t>
      </w:r>
      <w:r>
        <w:rPr>
          <w:vertAlign w:val="superscript"/>
        </w:rPr>
        <w:footnoteReference w:id="1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Мощности по площадкам взяты из годового отчёта CF Industries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ряд европейского контрольного завода Yara Sluiskil — из отраслевого обзора нидерландского агентства PBL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[60]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Последовательность отбора приведена в таблице 3.1.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3.1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Отбор заводов-аналогов и источники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0"/>
        <w:gridCol w:w="4683"/>
        <w:gridCol w:w="1518"/>
        <w:gridCol w:w="1164"/>
      </w:tblGrid>
      <w:tr>
        <w:trPr>
          <w:cantSplit/>
          <w:tblHeader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Шаг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Осталось заводов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совокупность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процессные выбросы производства аммиака хотя бы в одном году 2010–2023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Технологическая схема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 2023 г. отчётность ведётся по производству аммиака и азотной кислоты одновременно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Непрерывность ряда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данные за каждый год 2017–2023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Масштаб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аммиака в 2023 г. не менее 150 тыс.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Мощность по аммиаку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Раскрыта по площадкам в годовом отчёте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(CF Industries)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[40]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Европейский контроль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Ряд EU ETS 2017–2022, мощность 1,9 млн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(Yara Sluiskil)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[60]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составлено автором.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3.1 видно, что рабочая выборка состоит из 19 интегрированных азотных комплексов США, а удельные показатели на тонну мощности удаётся рассчитать лишь для пяти из них. Американская отчётность не раскрывает выпуск аммиака по заводам, поэтому знаменателем служит паспортная мощность. В годовом отчёте CF Industries она уже учитывает нормальные плановые простои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и это снижает смещение оценки.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Почему за основу взяты американские, а не европейские заводы? Решающим оказывается не технология (она у крупных комплексов во многом одинакова), а ценовая среда. Российские и американские производители в 2017–2023 гг. работали на дешёвом газе и без платы за выбросы. Европейские заводы платили за квоты EU ETS и в 2022 г. сокращали выпуск из-за цен на газ. Перенос европейской динамики на «Азот» означал бы перенос чужого регуляторного шока.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3.1.3 Динамика выбросов и контрфактический сценарий «без платформы»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Динамика описывается двумя способами. Первый — индекс выбросов каждого завода к базовому 2017 г. и медиана индексов по выборке: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,2017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M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lim>
        </m:limLow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/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индекс выбросов завода i в году t;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прямые выбросы завода i в году t,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того же завода в 2017 г.; 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медиана индексов по всем заводам выборки в году t.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Медиана нечувствительна к отдельным заводам с резкими скачками после расширения или ремонта, но игнорирует различия в масштабе. Второй способ — регрессия с фиксированными эффектами завода и года: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ln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α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ε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2017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постоянный уровень выбросов завода i;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общий для всех заводов эффект года t, в котором отражаются конъюнктура газа и удобрений, погода и регулирование; 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случайная составляющая. Нормировка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 превращает exp(γ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в индекс к 2017 г.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Интервалы получены бутстрепом по заводам: выборка 2000 раз формировалась заново с возвращением, и обе оценки пересчитывались для каждой псевдовыборки</w:t>
      </w:r>
      <w:r>
        <w:rPr>
          <w:vertAlign w:val="superscript"/>
        </w:rPr>
        <w:footnoteReference w:id="2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Результат сопоставлен с рядом европейского завода на рисунке 3.1.</w:t>
      </w:r>
    </w:p>
    <w:p>
      <w:pPr>
        <w:keepNext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3_1.svg" descr="fig3_1.svg" title="fig3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3.1 – Динамика выбросов интегрированных азотных комплексов США и завода Yara Sluiskil, 2017 = 1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[51, 60]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рисунке 3.1 видно, что выбросы американских комплексов за 2017–2023 гг. не снижались. Годовой эффект 2023 г. равен 1,089 при 95-процентном интервале 1,003–1,188, медиана индексов — 1,028. Yara Sluiskil за 2017–2022 гг. сократил выбросы с 3,83 до 2,75 млн т, то есть на 28 %, и основная часть падения пришлась на 2022 г. Перенос европейской траектории занизил бы базовый уровень «Азота» на четверть и более.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используется дальше не только для восстановления прошлого. В § 3.3 он служит контрфактической траекторией: так менялись бы выбросы якоря без платформы под действием общеотраслевых факторов. Эффект платформы оценивается как отклонение от этой траектории, а не от уровня 2017 г. Без такого разделения рост выпуска удобрений на рынке был бы ошибочно приписан или противопоставлен эффекту обменов.</w:t>
      </w:r>
    </w:p>
    <w:p>
      <w:pPr>
        <w:keepNext/>
        <w:jc w:val="both"/>
      </w:pPr>
      <w:r>
        <w:rPr>
          <w:b/>
        </w:rPr>
        <w:t>3.1.4 Уровень выбросов CO</w:t>
      </w:r>
      <w:r>
        <w:rPr>
          <w:b/>
          <w:vertAlign w:val="subscript"/>
        </w:rPr>
        <w:t>2</w:t>
      </w:r>
      <w:r>
        <w:rPr>
          <w:b/>
        </w:rPr>
        <w:t xml:space="preserve"> и граница учёта</w:t>
      </w:r>
    </w:p>
    <w:p>
      <w:pPr>
        <w:jc w:val="both"/>
      </w:pPr>
      <w:r>
        <w:t>Уровень выбросов CO</w:t>
      </w:r>
      <w:r>
        <w:rPr>
          <w:vertAlign w:val="subscript"/>
        </w:rPr>
        <w:t>2</w:t>
      </w:r>
      <w:r>
        <w:t xml:space="preserve"> «Азота» оценивается по удельному показателю пяти комплексов CF Industries, для которых известна мощность по аммиаку: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CO₂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med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d>
          <m:dPr>
            <m:begChr m:val="("/>
            <m:endChr m:val=")"/>
          </m:dPr>
          <m:e>
            <m:f>
              <m:num>
                <m:sSub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,2022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CO₂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sSub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,2023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CO₂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2·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Cap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</m:sub>
                </m:sSub>
              </m:den>
            </m:f>
          </m:e>
        </m:d>
      </m:oMath>
      <w:r>
        <w:tab/>
        <w:t>(3.3)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CO₂</w:t>
      </w:r>
      <w:r>
        <w:t xml:space="preserve"> — годовые выбросы CO</w:t>
      </w:r>
      <w:r>
        <w:rPr>
          <w:vertAlign w:val="subscript"/>
        </w:rPr>
        <w:t>2</w:t>
      </w:r>
      <w:r>
        <w:t xml:space="preserve"> «Азота» в границе отчётности EPA, тыс. т; Cap</w:t>
      </w:r>
      <w:r>
        <w:rPr>
          <w:vertAlign w:val="subscript"/>
        </w:rPr>
        <w:t>Аз</w:t>
      </w:r>
      <w:r>
        <w:t xml:space="preserve"> — мощность «Азота» по аммиаку, тыс. т/год; E</w:t>
      </w:r>
      <w:r>
        <w:rPr>
          <w:vertAlign w:val="subscript"/>
        </w:rPr>
        <w:t>k,t</w:t>
      </w:r>
      <w:r>
        <w:rPr>
          <w:vertAlign w:val="superscript"/>
        </w:rPr>
        <w:t>CO₂</w:t>
      </w:r>
      <w:r>
        <w:t xml:space="preserve"> — полные прямые выбросы CO</w:t>
      </w:r>
      <w:r>
        <w:rPr>
          <w:vertAlign w:val="subscript"/>
        </w:rPr>
        <w:t>2</w:t>
      </w:r>
      <w:r>
        <w:t xml:space="preserve"> завода k в году t, тыс. т; Cap</w:t>
      </w:r>
      <w:r>
        <w:rPr>
          <w:vertAlign w:val="subscript"/>
        </w:rPr>
        <w:t>k</w:t>
      </w:r>
      <w:r>
        <w:t xml:space="preserve"> — валовая мощность завода k по аммиаку, тыс. т/год; med — медиана по пяти заводам; усреднение по 2022 и 2023 гг. сглаживает ремонтные годы.</w:t>
      </w:r>
    </w:p>
    <w:p>
      <w:pPr>
        <w:jc w:val="both"/>
      </w:pPr>
      <w:r>
        <w:t>Удельные выбросы пяти заводов лежат в пределах 1,79–2,10 т CO</w:t>
      </w:r>
      <w:r>
        <w:rPr>
          <w:vertAlign w:val="subscript"/>
        </w:rPr>
        <w:t>2</w:t>
      </w:r>
      <w:r>
        <w:t xml:space="preserve"> на тонну мощности, медиана — 1,88 т. Для процессного CO</w:t>
      </w:r>
      <w:r>
        <w:rPr>
          <w:vertAlign w:val="subscript"/>
        </w:rPr>
        <w:t>2</w:t>
      </w:r>
      <w:r>
        <w:t xml:space="preserve"> тот же расчёт даёт 1,01–1,32 т, медиана — 1,13 т. Разброс объясняется не технологией, а составом выпуска: у Port Neal, где больше всего карбамида и азотной кислоты, удельные выбросы наибольшие, у Verdigris — наименьшие.</w:t>
      </w:r>
    </w:p>
    <w:p>
      <w:pPr>
        <w:jc w:val="both"/>
      </w:pPr>
      <w:r>
        <w:t>Перенос этих величин требует согласовать границу учёта. Процессный CO</w:t>
      </w:r>
      <w:r>
        <w:rPr>
          <w:vertAlign w:val="subscript"/>
        </w:rPr>
        <w:t>2</w:t>
      </w:r>
      <w:r>
        <w:t xml:space="preserve"> в американской отчётности может включать газ, который затем связывается на той же площадке в карбамид [51]. Российская методика и руководство МГЭИК этот объём вычитают. Выбросы «Азота» в границе национального учёта поэтому равны: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МГЭИК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CO₂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− 0,733·</m:t>
        </m:r>
        <m:r>
          <w:rPr>
            <w:rFonts w:ascii="Cambria Math" w:hAnsi="Cambria Math"/>
            <w:sz w:val="28"/>
          </w:rPr>
          <m:t xml:space="preserve">U</m:t>
        </m:r>
      </m:oMath>
      <w:r>
        <w:tab/>
        <w:t>(3.4)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МГЭИК</w:t>
      </w:r>
      <w:r>
        <w:t xml:space="preserve"> — выбросы CO</w:t>
      </w:r>
      <w:r>
        <w:rPr>
          <w:vertAlign w:val="subscript"/>
        </w:rPr>
        <w:t>2</w:t>
      </w:r>
      <w:r>
        <w:t xml:space="preserve"> в атмосферу, тыс. т; U — выпуск карбамида, тыс. т/год; 0,733 — масса CO</w:t>
      </w:r>
      <w:r>
        <w:rPr>
          <w:vertAlign w:val="subscript"/>
        </w:rPr>
        <w:t>2</w:t>
      </w:r>
      <w:r>
        <w:t>, связываемая в тонне карбамида (44/60).</w:t>
      </w:r>
    </w:p>
    <w:p>
      <w:pPr>
        <w:jc w:val="both"/>
      </w:pPr>
      <w:r>
        <w:t>Выпуск карбамида «Азота» в открытых источниках не раскрывается. В расчёте он принят равным 500 тыс. т при диапазоне 300–700 тыс. т и отнесён к классу C. При центральном значении вычет составляет около 0,37 млн т CO</w:t>
      </w:r>
      <w:r>
        <w:rPr>
          <w:vertAlign w:val="subscript"/>
        </w:rPr>
        <w:t>2</w:t>
      </w:r>
      <w:r>
        <w:t>.</w:t>
      </w:r>
    </w:p>
    <w:p>
      <w:pPr>
        <w:keepNext/>
        <w:jc w:val="both"/>
      </w:pPr>
      <w:r>
        <w:rPr>
          <w:b/>
        </w:rPr>
        <w:t>3.1.5 Выбросы N</w:t>
      </w:r>
      <w:r>
        <w:rPr>
          <w:b/>
          <w:vertAlign w:val="subscript"/>
        </w:rPr>
        <w:t>2</w:t>
      </w:r>
      <w:r>
        <w:rPr>
          <w:b/>
        </w:rPr>
        <w:t>O: два варианта оценки</w:t>
      </w:r>
    </w:p>
    <w:p>
      <w:pPr>
        <w:jc w:val="both"/>
      </w:pPr>
      <w:r>
        <w:t>N</w:t>
      </w:r>
      <w:r>
        <w:rPr>
          <w:vertAlign w:val="subscript"/>
        </w:rPr>
        <w:t>2</w:t>
      </w:r>
      <w:r>
        <w:t>O образуется на агрегатах азотной кислоты, и его величину определяет одно обстоятельство: есть ли на них каталитическое разложение закиси азота. Поэтому оценка строится двумя способами. Первый переносит соотношение газов, наблюдаемое у 16 аналогов США, где очистка распространена: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N₂O,A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med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sSub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N₂O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·298</m:t>
            </m:r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tab/>
        <w:t>(3.5)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N₂O,A</w:t>
      </w:r>
      <w:r>
        <w:t xml:space="preserve"> — выбросы N</w:t>
      </w:r>
      <w:r>
        <w:rPr>
          <w:vertAlign w:val="subscript"/>
        </w:rPr>
        <w:t>2</w:t>
      </w:r>
      <w:r>
        <w:t>O «Азота», тыс. т CO</w:t>
      </w:r>
      <w:r>
        <w:rPr>
          <w:vertAlign w:val="subscript"/>
        </w:rPr>
        <w:t>2</w:t>
      </w:r>
      <w:r>
        <w:t>-экв.; e</w:t>
      </w:r>
      <w:r>
        <w:rPr>
          <w:vertAlign w:val="subscript"/>
        </w:rPr>
        <w:t>пр</w:t>
      </w:r>
      <w:r>
        <w:t xml:space="preserve"> — медиана процессного CO</w:t>
      </w:r>
      <w:r>
        <w:rPr>
          <w:vertAlign w:val="subscript"/>
        </w:rPr>
        <w:t>2</w:t>
      </w:r>
      <w:r>
        <w:t xml:space="preserve"> на тонну мощности; r</w:t>
      </w:r>
      <w:r>
        <w:rPr>
          <w:vertAlign w:val="subscript"/>
        </w:rPr>
        <w:t>k</w:t>
      </w:r>
      <w:r>
        <w:t xml:space="preserve"> — отношение выбросов N</w:t>
      </w:r>
      <w:r>
        <w:rPr>
          <w:vertAlign w:val="subscript"/>
        </w:rPr>
        <w:t>2</w:t>
      </w:r>
      <w:r>
        <w:t>O завода k (в CO</w:t>
      </w:r>
      <w:r>
        <w:rPr>
          <w:vertAlign w:val="subscript"/>
        </w:rPr>
        <w:t>2</w:t>
      </w:r>
      <w:r>
        <w:t>-экв., ПГП = 298) к его процессному CO</w:t>
      </w:r>
      <w:r>
        <w:rPr>
          <w:vertAlign w:val="subscript"/>
        </w:rPr>
        <w:t>2</w:t>
      </w:r>
      <w:r>
        <w:t xml:space="preserve"> в 2023 г.</w:t>
      </w:r>
    </w:p>
    <w:p>
      <w:pPr>
        <w:jc w:val="both"/>
      </w:pPr>
      <w:r>
        <w:t>Квартили отношения r</w:t>
      </w:r>
      <w:r>
        <w:rPr>
          <w:vertAlign w:val="subscript"/>
        </w:rPr>
        <w:t>k</w:t>
      </w:r>
      <w:r>
        <w:t xml:space="preserve"> равны 0,18; 0,37 и 0,70, что даёт для «Азота» 0,23–0,92 млн т CO</w:t>
      </w:r>
      <w:r>
        <w:rPr>
          <w:vertAlign w:val="subscript"/>
        </w:rPr>
        <w:t>2</w:t>
      </w:r>
      <w:r>
        <w:t>-экв. при медиане 0,49 млн т.</w:t>
      </w:r>
    </w:p>
    <w:p>
      <w:pPr>
        <w:jc w:val="both"/>
      </w:pPr>
      <w:r>
        <w:t>Второй способ опирается на российские данные. По оценке Öko-Института, средняя удельная эмиссия российских производств азотной кислоты составляет 8–9 кг N</w:t>
      </w:r>
      <w:r>
        <w:rPr>
          <w:vertAlign w:val="subscript"/>
        </w:rPr>
        <w:t>2</w:t>
      </w:r>
      <w:r>
        <w:t>O на тонну HNO</w:t>
      </w:r>
      <w:r>
        <w:rPr>
          <w:vertAlign w:val="subscript"/>
        </w:rPr>
        <w:t>3</w:t>
      </w:r>
      <w:r>
        <w:t xml:space="preserve">, тогда как у западноевропейских заводов — 0,5 кг и ниже [58]. Такой уровень соответствует установкам без каталитической очистки. Расчёт идёт от выпуска аммиачной селитры: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N₂O,B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AN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·0,7875·</m:t>
        </m:r>
        <m:r>
          <w:rPr>
            <w:rFonts w:ascii="Cambria Math" w:hAnsi="Cambria Math"/>
            <w:sz w:val="28"/>
          </w:rPr>
          <m:t xml:space="preserve">EF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·298·</m:t>
        </m:r>
        <m:sSup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−3</m:t>
            </m:r>
          </m:sup>
        </m:sSup>
      </m:oMath>
      <w:r>
        <w:tab/>
        <w:t>(3.6)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N₂O,B</w:t>
      </w:r>
      <w:r>
        <w:t xml:space="preserve"> — выбросы N</w:t>
      </w:r>
      <w:r>
        <w:rPr>
          <w:vertAlign w:val="subscript"/>
        </w:rPr>
        <w:t>2</w:t>
      </w:r>
      <w:r>
        <w:t>O «Азота», тыс. т CO</w:t>
      </w:r>
      <w:r>
        <w:rPr>
          <w:vertAlign w:val="subscript"/>
        </w:rPr>
        <w:t>2</w:t>
      </w:r>
      <w:r>
        <w:t>-экв.; AN — выпуск аммиачной селитры, включая направляемую на КАС, тыс. т/год; 0,7875 — расход азотной кислоты на тонну селитры по стехиометрии (63/80); EF — удельная эмиссия, кг N</w:t>
      </w:r>
      <w:r>
        <w:rPr>
          <w:vertAlign w:val="subscript"/>
        </w:rPr>
        <w:t>2</w:t>
      </w:r>
      <w:r>
        <w:t>O на т HNO</w:t>
      </w:r>
      <w:r>
        <w:rPr>
          <w:vertAlign w:val="subscript"/>
        </w:rPr>
        <w:t>3</w:t>
      </w:r>
      <w:r>
        <w:t>; 298 — потенциал глобального потепления N</w:t>
      </w:r>
      <w:r>
        <w:rPr>
          <w:vertAlign w:val="subscript"/>
        </w:rPr>
        <w:t>2</w:t>
      </w:r>
      <w:r>
        <w:t>O.</w:t>
      </w:r>
    </w:p>
    <w:p>
      <w:pPr>
        <w:jc w:val="both"/>
      </w:pPr>
      <w:r>
        <w:t>При выпуске селитры 1,0–1,4 млн т (класс C, отраслевые и новостные источники) и EF = 8–9 кг/т формула (3.6) даёт 1,88–2,96 млн т CO</w:t>
      </w:r>
      <w:r>
        <w:rPr>
          <w:vertAlign w:val="subscript"/>
        </w:rPr>
        <w:t>2</w:t>
      </w:r>
      <w:r>
        <w:t>-экв., центральная оценка — 2,39 млн т. Это почти впятеро больше результата по формуле (3.5). Такое расхождение не может остаться неразрешённым: при втором варианте N</w:t>
      </w:r>
      <w:r>
        <w:rPr>
          <w:vertAlign w:val="subscript"/>
        </w:rPr>
        <w:t>2</w:t>
      </w:r>
      <w:r>
        <w:t>O превосходит CO</w:t>
      </w:r>
      <w:r>
        <w:rPr>
          <w:vertAlign w:val="subscript"/>
        </w:rPr>
        <w:t>2</w:t>
      </w:r>
      <w:r>
        <w:t>, и углеродный профиль якоря в сценариях § 3.4 меняется. Наличие очистки на агрегатах азотной кислоты стоит первым в перечне данных, запрашиваемых у предприятия. Результаты обоих пунктов сведены в таблицу 3.2.</w:t>
      </w:r>
    </w:p>
    <w:p>
      <w:pPr>
        <w:keepNext/>
        <w:ind w:firstLine="0"/>
        <w:jc w:val="right"/>
      </w:pPr>
      <w:r>
        <w:t>Таблица 3.2</w:t>
      </w:r>
    </w:p>
    <w:p>
      <w:pPr>
        <w:keepNext/>
        <w:ind w:firstLine="0"/>
        <w:jc w:val="center"/>
      </w:pPr>
      <w:r>
        <w:t>Оценка выбросов АО «Невинномысский Азот» по заводам-аналогам, 2023 г., мощность 1,16 млн т аммиака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360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Нижняя граница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Центральная оценка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Верхняя граница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Основа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 мощности у аналогов,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1,79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1,88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2,10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 заводов CF, 2022–2023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 мощности,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1,13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1,32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границе EPA,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2 077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2 180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2 435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(3.3)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атмосферу, граница МГЭИК,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(3.4), U = 500 тыс. т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при очистке уровня США,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233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917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(3.5)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без очистки,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1 877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2 957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(3.6)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(технологический)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1 174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1 533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Cap · e</w:t>
            </w:r>
            <w:r>
              <w:rPr>
                <w:sz w:val="24"/>
                <w:vertAlign w:val="subscript"/>
              </w:rPr>
              <w:t>пр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Модельная оценка Climate TRACE,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1 444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 xml:space="preserve">[42]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по данным [40, 51, 58].</w:t>
      </w:r>
    </w:p>
    <w:p>
      <w:pPr>
        <w:jc w:val="both"/>
      </w:pPr>
      <w:r>
        <w:t>Таблица 3.2 показывает, что неопределённость уровня CO</w:t>
      </w:r>
      <w:r>
        <w:rPr>
          <w:vertAlign w:val="subscript"/>
        </w:rPr>
        <w:t>2</w:t>
      </w:r>
      <w:r>
        <w:t xml:space="preserve"> составляет ±10 %, а неопределённость N</w:t>
      </w:r>
      <w:r>
        <w:rPr>
          <w:vertAlign w:val="subscript"/>
        </w:rPr>
        <w:t>2</w:t>
      </w:r>
      <w:r>
        <w:t>O — порядок величины. Сопоставление с Climate TRACE по формуле (3.8) зависит от варианта N</w:t>
      </w:r>
      <w:r>
        <w:rPr>
          <w:vertAlign w:val="subscript"/>
        </w:rPr>
        <w:t>2</w:t>
      </w:r>
      <w:r>
        <w:t>O: отношение равно 1,59 при очистке и 2,91 без неё. Первое значение лежит внутри диапазона расхождений, наблюдаемого у аналогов (0,83–2,8), второе — у его верхней границы.</w:t>
      </w:r>
    </w:p>
    <w:p>
      <w:pPr>
        <w:keepNext/>
        <w:jc w:val="both"/>
      </w:pPr>
      <w:r>
        <w:rPr>
          <w:b/>
        </w:rPr>
        <w:t>3.1.6 Ряды выбросов 2017–2026 гг. и поток технологического CO</w:t>
      </w:r>
      <w:r>
        <w:rPr>
          <w:b/>
          <w:vertAlign w:val="subscript"/>
        </w:rPr>
        <w:t>2</w:t>
      </w:r>
    </w:p>
    <w:p>
      <w:pPr>
        <w:jc w:val="both"/>
      </w:pPr>
      <w:r>
        <w:t>Ряд восстанавливается от уровня 2023 г. по годовым эффектам модели (3.2):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Аз,2023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2023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f>
              <m:num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365</m:t>
                </m:r>
              </m:den>
            </m:f>
          </m:e>
        </m:d>
      </m:oMath>
      <w:r>
        <w:tab/>
        <w:t>(3.7)</w:t>
      </w:r>
    </w:p>
    <w:p>
      <w:pPr>
        <w:ind w:firstLine="0"/>
        <w:jc w:val="both"/>
      </w:pPr>
      <w:r>
        <w:t>где Ê</w:t>
      </w:r>
      <w:r>
        <w:rPr>
          <w:vertAlign w:val="subscript"/>
        </w:rPr>
        <w:t>Аз,t</w:t>
      </w:r>
      <w:r>
        <w:t xml:space="preserve"> — оценка выбросов «Азота» в году t; γ</w:t>
      </w:r>
      <w:r>
        <w:rPr>
          <w:vertAlign w:val="subscript"/>
        </w:rPr>
        <w:t>t</w:t>
      </w:r>
      <w:r>
        <w:t xml:space="preserve"> — годовой эффект, γ</w:t>
      </w:r>
      <w:r>
        <w:rPr>
          <w:vertAlign w:val="subscript"/>
        </w:rPr>
        <w:t>2023</w:t>
      </w:r>
      <w:r>
        <w:t xml:space="preserve"> — эффект базового года; d</w:t>
      </w:r>
      <w:r>
        <w:rPr>
          <w:vertAlign w:val="subscript"/>
        </w:rPr>
        <w:t>t</w:t>
      </w:r>
      <w:r>
        <w:t xml:space="preserve"> — число дней простоя «Азота» в году t.</w:t>
      </w:r>
    </w:p>
    <w:p>
      <w:pPr>
        <w:jc w:val="both"/>
      </w:pPr>
      <w:r>
        <w:t>Для 2024–2026 гг. отчётности аналогов ещё нет, и индекс активности принят равным единице. Остановка «Азота» 14 июня 2025 г. подтверждена сообщениями СМИ, а её длительность не раскрыта, поэтому d</w:t>
      </w:r>
      <w:r>
        <w:rPr>
          <w:vertAlign w:val="subscript"/>
        </w:rPr>
        <w:t>t</w:t>
      </w:r>
      <w:r>
        <w:t xml:space="preserve"> остаётся сценарным параметром. Тридцать дней простоя снижают показатели года на 8,2 %. Значение 2026 г. — оценка на полный год. Результаты приведены в таблице 3.3.</w:t>
      </w:r>
    </w:p>
    <w:p>
      <w:pPr>
        <w:keepNext/>
        <w:ind w:firstLine="0"/>
        <w:jc w:val="right"/>
      </w:pPr>
      <w:r>
        <w:t>Таблица 3.3</w:t>
      </w:r>
    </w:p>
    <w:p>
      <w:pPr>
        <w:keepNext/>
        <w:ind w:firstLine="0"/>
        <w:jc w:val="center"/>
      </w:pPr>
      <w:r>
        <w:t>Модельные ряды выбросов и технологического CO</w:t>
      </w:r>
      <w:r>
        <w:rPr>
          <w:vertAlign w:val="subscript"/>
        </w:rPr>
        <w:t>2</w:t>
      </w:r>
      <w:r>
        <w:t xml:space="preserve"> АО «Невинномысский Азот», тыс. т, d</w:t>
      </w:r>
      <w:r>
        <w:rPr>
          <w:vertAlign w:val="subscript"/>
        </w:rPr>
        <w:t>t</w:t>
      </w:r>
      <w:r>
        <w:t xml:space="preserve"> =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Индекс активности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, граница МГЭИК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без очистки,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при очистке,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Процессный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Свободный технологический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2017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0,922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1 672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2 207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449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1 204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866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0,953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1 728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2 281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892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1 731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2 285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465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1 246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864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1,015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1 840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2 429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494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1 325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921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0,953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1 729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863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0,970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1 759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2 322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472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1 266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879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2026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автором; интервалы 5–95 % (Монте-Карло, 20 000 испытаний) приведены в рабочей книге: для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и процессного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около ±20 %.</w:t>
      </w:r>
    </w:p>
    <w:p>
      <w:pPr>
        <w:jc w:val="both"/>
      </w:pPr>
      <w:r>
        <w:t>Свободный технологический CO</w:t>
      </w:r>
      <w:r>
        <w:rPr>
          <w:vertAlign w:val="subscript"/>
        </w:rPr>
        <w:t>2</w:t>
      </w:r>
      <w:r>
        <w:t xml:space="preserve"> в таблице 3.3 равен процессному CO</w:t>
      </w:r>
      <w:r>
        <w:rPr>
          <w:vertAlign w:val="subscript"/>
        </w:rPr>
        <w:t>2</w:t>
      </w:r>
      <w:r>
        <w:t xml:space="preserve"> за вычетом 0,733 т на тонну карбамида и продаж пищевой углекислоты (с декабря 2018 г., 32 тыс. т в год). Из таблицы следует, что вывод о соотношении спроса и предложения CO</w:t>
      </w:r>
      <w:r>
        <w:rPr>
          <w:vertAlign w:val="subscript"/>
        </w:rPr>
        <w:t>2</w:t>
      </w:r>
      <w:r>
        <w:t xml:space="preserve"> сохраняется. Валовой процессный CO</w:t>
      </w:r>
      <w:r>
        <w:rPr>
          <w:vertAlign w:val="subscript"/>
        </w:rPr>
        <w:t>2</w:t>
      </w:r>
      <w:r>
        <w:t xml:space="preserve"> оценивается в 1,3 млн т, свободный — около 0,9 млн т (0,71–1,05 млн т при выпуске карбамида 700–300 тыс. т). Установка пищевой углекислоты мощностью 32 тыс. т использует 3,5 % свободного потока. Для обменов CO</w:t>
      </w:r>
      <w:r>
        <w:rPr>
          <w:vertAlign w:val="subscript"/>
        </w:rPr>
        <w:t>2</w:t>
      </w:r>
      <w:r>
        <w:t xml:space="preserve"> в Невинномысске ограничение создаёт спрос, а не предложение. Допущение o</w:t>
      </w:r>
      <w:r>
        <w:rPr>
          <w:vertAlign w:val="subscript"/>
        </w:rPr>
        <w:t>i</w:t>
      </w:r>
      <w:r>
        <w:t xml:space="preserve"> ≈ 0 из модели § 2.3 верно для нового объёма, получаемого из сбрасываемого газа; для углекислоты, которую уже покупают внешние потребители, альтернативная стоимость равна цене действующих продаж (п. 3.1.8).</w:t>
      </w:r>
    </w:p>
    <w:p>
      <w:pPr>
        <w:jc w:val="both"/>
      </w:pPr>
      <w:r>
        <w:t>В модели используются две разные меры изменчивости выпуска, и их нельзя смешивать. Стандартное отклонение годовых изменений процессного CO</w:t>
      </w:r>
      <w:r>
        <w:rPr>
          <w:vertAlign w:val="subscript"/>
        </w:rPr>
        <w:t>2</w:t>
      </w:r>
      <w:r>
        <w:t xml:space="preserve"> у аналогов, σ</w:t>
      </w:r>
      <w:r>
        <w:rPr>
          <w:vertAlign w:val="subscript"/>
        </w:rPr>
        <w:t>Δ</w:t>
      </w:r>
      <w:r>
        <w:t xml:space="preserve"> = 0,22 (п. 3.1.7), включает глубокие остановки и годы восстановления и служит для оценки риска π</w:t>
      </w:r>
      <w:r>
        <w:rPr>
          <w:vertAlign w:val="subscript"/>
        </w:rPr>
        <w:t>A</w:t>
      </w:r>
      <w:r>
        <w:t>. Стандартное отклонение остатков модели (3.2), σ</w:t>
      </w:r>
      <w:r>
        <w:rPr>
          <w:vertAlign w:val="subscript"/>
        </w:rPr>
        <w:t>ε</w:t>
      </w:r>
      <w:r>
        <w:t xml:space="preserve"> = 0,073, описывает отклонение отдельного завода от отраслевой динамики и задаёт шум в имитационных расчётах. В симулятор передаются обе величины, каждая для своей задачи.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Полученную оценку полезно сравнить с независимым источником. Таким источником служит база Climate TRACE, где выбросы заводов рассчитываются моделью по спутниковым и косвенным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Для аналогов, у которых известны и модельная, и измеренная величина, рассчитывается поправочное отношение: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ρ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изм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CT</m:t>
                </m:r>
              </m:sup>
            </m:sSubSup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(3.8)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отношение измеренных выбросов аналога k к модельной оценке;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изм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по отчётности EPA или EU ETS,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Climate TRACE для того же завода и года,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3.4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измеренных выбросов аналогов с модельными оценками Climate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993"/>
        <w:gridCol w:w="2500"/>
        <w:gridCol w:w="1392"/>
      </w:tblGrid>
      <w:tr>
        <w:trPr>
          <w:cantSplit/>
          <w:tblHeader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Завод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Оценка Climate TRACE, тыс. т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Измеренные выбросы, тыс. т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Отношение ρ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k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Donaldsonville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5 664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9 475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1,67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Port Neal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1 152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2,77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Verdigris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1 437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3 355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2,33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Woodward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0,83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Yara Sluiskil (Нидерланды)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2 626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2 750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1,05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«Невинномысский Азот»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2 301 / 4 208 (варианты A / B)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1,59 / 2,91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[42, 51, 60]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3.4 показывает, что модельные оценки интегрированных азотных комплексов в большинстве случаев занижены в 1,7–2,8 раза, а в двух случаях близки к измеренным. Для «Азота» отношение зависит от варианта оценки N2O и рассмотрено в п. 3.1.7. Самостоятельной оценкой уровня Climate TRACE служить не может, но как проверочная точка полезна: оценка по аналогам не выходит за пределы расхождений, характерных для этого источника.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3.1.7 Риск остановки якорного предприятия и волатильность выпуска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Двухуровневая модель § 3.2 содержит вероятность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того, что якорь в данном году существенно сократит выпуск и не выполнит обязательства по поставкам. Отраслевая статистика остановок в России не публикуется, и по аналогам эта величина оценивается как частота годовых падений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аммиака, который у азотного комплекса почти пропорционален выпуску: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π̂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Δ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,</m:t>
                    </m:r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 ≤ −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θ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−1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− 1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(3.9)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π̂(θ) — оценка вероятности падения выпуска не менее чем на долю θ; N — число наблюдений «завод — год»; 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относительное изменение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 к предыдущему году; I[·] — индикатор, равный единице при выполнении условия.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Частота резких падений учитывает только крупные события. Хронические недопоставки из-за коротких ремонтов фиксирует второй показатель — средний недобор к лучшему году: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s̄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1 − 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num>
                  <m:den>
                    <m:limLow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max</m:t>
                        </m:r>
                      </m:e>
                      <m:lim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/>
                    </m:r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den>
                </m:f>
              </m:e>
            </m:d>
          </m:e>
        </m:nary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(3.10)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s̄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средний недобор выпуска завода i; T — число лет в окне 2017–2023 гг.;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t; max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его максимум за окно.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Распределение годовых изменений по 19 комплексам за 2011–2023 гг. (247 наблюдений «завод — год») показано на рисунке 3.2.</w:t>
      </w:r>
    </w:p>
    <w:p>
      <w:pPr>
        <w:keepNext/>
        <w:jc w:val="center"/>
      </w:pPr>
      <w:r>
        <w:drawing>
          <wp:inline distT="0" distB="0" distL="0" distR="0">
            <wp:extent cx="5715000" cy="2905125"/>
            <wp:effectExtent t="0" r="0" b="0" l="0"/>
            <wp:docPr id="2" name="fig3_2.svg" descr="fig3_2.svg" title="fig3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– Распределение годовых изменений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на заводах-аналогах, 2011–2023 гг.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показывает, что распределение скошено влево: падения на 15 % и более встречаются заметно реже, чем падения на 10 %, а длинный правый хвост образован годами восстановления после остановок. Численные характеристики собраны в таблице 3.5.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3.5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Показатели риска сокращения выпуска на заводах-аналогах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4"/>
        <w:gridCol w:w="1181"/>
        <w:gridCol w:w="3600"/>
      </w:tblGrid>
      <w:tr>
        <w:trPr>
          <w:cantSplit/>
          <w:tblHeader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Число наблюдений или интервал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48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15 %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16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20 %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0,028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Средний недобор к лучшему году, 2017–2023 гг.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95 % интервал 0,079–0,109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Медиана недобора по заводам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межквартильный размах 0,067–0,118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Стандартное отклонение годового изменения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5-й и 95-й процентили: −16 % и +27 %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3.5 ограничивают параметр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интервалом 0,028–0,094. Нижняя граница соответствует только глубоким остановкам (падение на 20 % и более), верхняя — хроническому недобору. Значение 0,05, принятое в расчётах § 3.2, лежит внутри интервала, и при анализе чувствительности параметр варьируется по его границам. Остановки «Азота» 2025–2026 гг. в аналоговую статистику не входят. Они связаны с внешними факторами, а не с технологическим риском, и учитываются отдельно, в сценариях § 3.4.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той же таблицы следует ограничение, которое важно для проверки условия отсутствия эффекта отдачи из § 3.2. Доля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передаваемая по новым связям, составляет u ≈ 12/1305 ≈ 0,009, а вместе с действующими продажами — 44/1305 ≈ 0,034. При коэффициенте κ = 0,2 допустимый прирост выпуска якоря не превышает 0,74 % и 2,8 % соответственно. Отличить такой прирост от случайных колебаний со стандартным отклонением 22 % по годовым данным невозможно. Условие проверяемо только по месячным данным о выпуске, и их получение включено в перечень требований к данным § 3.5.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3.1.8 Базовая связность, углеродный режим и внешние ориентиры обмена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Пункт 3.1.6 показал, что связь «Азот» — покупатели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работает с 2018 г. Значит, состояние «без платформы» имеет ненулевую связность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&gt; 0, и дополнительный эффект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нельзя отождествлять со всеми его поставками. В расчёт идёт только прирост продаж сверх базового объёма: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альт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вклад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дополнительный эффект, млн руб. в 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продажи сжиженного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всем покупателям при работе платформы, т;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32 тыс. т — продажи в базовом состоянии;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альт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цена, по которой потребитель купил бы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внешнего поставщика, руб./т; c — затраты подготовки и доставки, руб./т;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аннуитет вложений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млн руб. в год.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(3.11) отсекает ошибку, которую по договорам заметить трудно. Резидент ТОСЭР может купить углекислоту, прежде уходившую производителю напитков: договор с резидентом появится, а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 изменится. Для системы это перераспределение покупателей, а не новая связь. В сценарии второй главы (12 тыс. т сверх базовых продаж) вклад потока равен 58,9 млн руб. в год. Окажись половина поставок резидентам переключением прежних покупателей, вклад при тех же вложениях снизится до 22,9 млн руб., а дополнительный эффект ΔE — со 117,4 до 81,4 млн руб. Отличить один случай от другого можно лишь по совокупным продажам углекислоты, поэтому помесячная отгрузка по всем покупателям включена в перечень данных § 3.5.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Второе ограничение создаёт углеродное регулирование ЕС. С 1 января 2026 г. механизм трансграничной углеродной корректировки (CBAM) действует в окончательном режиме: импортёр удобрений оплачивает сертификаты по удельным встроенным выбросам продукции [14]. Переданный на сторону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аммиака лишь в том случае, если газ признан постоянно химически связанным в продукте и не попадает в атмосферу при обычном использовании [15]. Условия такого признания установлены отдельным делегированным регламентом [16]. Углекислота в напитках, сухом льду и тепличной подкормке возвращается в атмосферу за дни или недели,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карбамида высвобождается после внесения удобрения в почву. Экспортной экономии на CBAM ни один из этих каналов не даёт, и дополнительный эффект потока приходится делить на рыночную и углеродную части: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рын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∈ {0; 1}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дополнительный эффект по потоку f, млн руб. в год;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рын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рыночная часть эффекта, рассчитываемая по (3.11) для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по (2.9) для прочих потоков;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признак, равный единице, если переданный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продукции якоря (постоянное связывание или геологическое хранение), и нулю в противном случае;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масса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потоке, т;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 сертификата CBAM в рублях за тонну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всех каналов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обсуждаемых в Невинномысске,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0, и симбиотический дивиденд по ним складывается только из рыночной части. Утверждение проверяемо. Если экспортёр продукции «Азота» получит вычет переданного резидентам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встроенных выбросов, второе слагаемое (3.12) станет положительным, и расчёт § 3.4 придётся дополнить. Улавливание с геологическим хранением дало бы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1, однако такие проекты в контур экоплатформы не входят.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Третий ориентир взят из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ближайшего зарубежного аналога ядра «азотный завод — теплицы». С 2008 г. завод Yara Sluiskil, европейский контрольный объект из п. 3.1.2, по сети длиной 15 км передаёт тепличному кластеру в Зеландии около 1 700 ТДж остаточного тепла и 60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Проект построен как партнёрство порта Zeeland Seaports и Yara, площадь теплиц составляет 100 га с расширением до 150 га, капитальные затраты — 78 млн евро [74]. Основные показатели проекта сопоставлены со сценарием второй главы в таблице 3.6.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 базовым сценарием экоплатформы Невинномысска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55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WarmCO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 (Yara Sluiskil)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Экоплатформа Невинномысска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Поставщик тепла и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Один азотный завод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Тепло — ГРЭС,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«Азот»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Остаточное тепло, тыс. Гкал/год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406 (1 700 ТДж)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219 (438 · 0,5, табл. 2.6)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потребителям, тыс. т/год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32 (действующие продажи) + 12 (прирост)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Отношение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теплу θ, т/Гкал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0,148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0,055 (по приросту)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Площадь теплиц, га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100, по плану 150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 задана; 20–30 по объёму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54–81 по объёму тепла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Капитальные затраты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78 млн евро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520 млн руб. (теплотрасса, узел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платформа)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Организационная форма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Партнёрство порта и завода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Схемы А–В распределения дивиденда (§ 2.5)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Риски, названные поставщиком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Колебания спроса теплиц, конкурирующий спрос на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остановки установок, цены энергии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Конкурирующий спрос — 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в (3.11); остановки — 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(п. 3.1.7)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Источник: составлено автором по данным [74] и табл. 2.5–2.6 главы 2.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 показывает, что сценарий второй главы согласуется с опытом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только при определённом составе потребителей тепла. Если всё передаваемое тепло получат теплицы, их спрос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можно оценить через отношение, наблюдаемое в Зеландии: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тепл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CO₂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тепл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≈ 0,148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(3.13)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Q̂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ожидаемый спрос тепличных резидентов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тепло, передаваемое теплицам, Гкал/год; θ — отношение поставок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 поставкам тепла в проекте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т/Гкал;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годовые поставки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(т) и тепла (Гкал) в этом проекте.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219 тыс. Гкал формула (3.13) даёт около 32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Это втрое больше сценарного прироста и равно выпуску действующей установки пищевой углекислоты. Возможны два прочтения. В первом теплицы займут лишь 20–30 га, и основную часть тепла должны взять нетепличные резиденты; если их не окажется, коэффициент доступности a = 0,5 из табл. 2.5 завышен. Во втором тепличный кластер вырастет до 50–80 га, и тогда выгоднее подавать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 трубопроводу в газообразном виде, как в Зеландии, а вложения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придётся пересчитать. Зима в Невинномысске холоднее, лето солнечнее, чем в Зеландии, тепла на гектар здесь, вероятно, нужно больше, и θ окажется меньше. Поэтому θ переносится лишь как оценка порядка величины и отнесён к классу C.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Опыт Yara полезен и при оценке рисков. Компания прямо перечисляет нагрузку единственного поставщика: колебания спроса теплиц, конкурирующий спрос других покупателей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остановки установок, цены на энергию [74]. В модели экоплатформы у каждой позиции уже есть количественная мера: конкурирующий спрос задаётся базовыми продажами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(3.11), остановки — вероятностью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п. 3.1.7. Если плановые ремонты аммиачных агрегатов придутся на лето, они совпадут с пиком потребности теплиц в подкормке. Резервный источник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тепличного резидента становится условием договора: без него резидент не примет риск остановки якоря.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Последний ориентир касается регуляторной среды ТОСЭР. Требования к инвестиционным проектам резидентов ТОР в моногородах ограничивают выручку от сделок с градообразующей организацией и её дочерними обществами половиной всей выручки, получаемой резидентом в результате реализации инвестиционного проекта</w:t>
      </w:r>
      <w:r>
        <w:rPr>
          <w:vertAlign w:val="superscript"/>
        </w:rPr>
        <w:footnoteReference w:id="3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Норма считается по проекту, а не по компании. Продажи «Азоту» из прежнего, непроектного бизнеса резидента ею не ограничены, и через них зависимость от якоря может расти без нарушения требований. В двухуровневой модели § 3.2 доля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поэтому определяется на выручке проекта: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λ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≤ 0,5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(3.14)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доля выручки инвестиционного проекта резидента j, полученная от якорного предприятия;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выручка проекта от сделок с «Азотом» и его дочерними обществами, млн руб.;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вся выручка проекта, млн руб.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Насколько льготный режим сам по себе меняет структуру моногорода, показывают оценки А.В. Зубарева и Я.П. Мотякиной [24]. Методом разности разностей они получили прирост числа действующих предприятий на 1 000 жителей на 2,2 % в год присвоения статуса ТОР, на 8,6 % через два года и на 11,7 % через три. Влияния на долю занятых у градообразующего предприятия авторы не обнаружили. Для калибровки отсюда следуют две величины. Рост числа участников на 8–12 % за два-три года входит в контрфактическую траекторию § 3.3 и платформе не приписывается. Снижение зависимости от якоря режимом ТОР не объясняется; если в Невинномысске оно окажется заметнее, чем в сопоставимых моногородах с ТОР, это будет свидетельством в пользу платформы. Тот же результат служит внешней опорой разрыва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§ 3.2: льгота увеличивает число фирм, но не число связей вне якоря.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3.1.9 Сводные параметры модели для имитационных расчётов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Параметры, откалиброванные в параграфе, сведены в таблицу 3.7. Для каждого указан класс качества, введённый в п. 3.1.1.</w:t>
      </w:r>
    </w:p>
    <w:p>
      <w:pPr>
        <w:keepNext/>
        <w:ind w:firstLine="0"/>
        <w:jc w:val="right"/>
      </w:pPr>
      <w:r>
        <w:t>Таблица 3.7</w:t>
      </w:r>
    </w:p>
    <w:p>
      <w:pPr>
        <w:keepNext/>
        <w:ind w:firstLine="0"/>
        <w:jc w:val="center"/>
      </w:pPr>
      <w:r>
        <w:t>Калиброванные параметры модели промышленной экоплатформы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Символ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Оценка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Интервал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Класс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Где используется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Мощность «Азота» по аммиаку, млн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Cap</w:t>
            </w:r>
            <w:r>
              <w:rPr>
                <w:sz w:val="24"/>
                <w:vertAlign w:val="subscript"/>
              </w:rPr>
              <w:t>Аз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1,00–1,35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тонну мощности, 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CO₂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1,79–2,10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тонну мощности, 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пр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1,01–1,32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Выпуск карбамида, тыс.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U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300–700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к процессному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у аналогов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N₂O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0,18–0,70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Удельная эмиссия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без очистки, кг/т HNO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EF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8,5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8–9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Выбросы «Азота» с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O, вариант A / B, млн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Аз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2,30 / 4,21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 / 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Свободный технологический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млн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св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0,71–1,05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Действующая продажа пищевой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тыс.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Индекс отраслевой динамики 2023 г.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exp(γ</w:t>
            </w:r>
            <w:r>
              <w:rPr>
                <w:sz w:val="24"/>
                <w:vertAlign w:val="subscript"/>
              </w:rPr>
              <w:t>2023</w:t>
            </w:r>
            <w:r>
              <w:rPr>
                <w:sz w:val="24"/>
              </w:rPr>
              <w:t>)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1,089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1,003–1,188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Дни простоя «Азота» в 2025–2026 гг.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t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0–60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Вероятность сбоя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0,028–0,094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Стандартное отклонение годовых изменений / остатков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σ</w:t>
            </w:r>
            <w:r>
              <w:rPr>
                <w:sz w:val="24"/>
                <w:vertAlign w:val="subscript"/>
              </w:rPr>
              <w:t>Δ</w:t>
            </w:r>
            <w:r>
              <w:rPr>
                <w:sz w:val="24"/>
              </w:rPr>
              <w:t xml:space="preserve"> / σ</w:t>
            </w:r>
            <w:r>
              <w:rPr>
                <w:sz w:val="24"/>
                <w:vertAlign w:val="subscript"/>
              </w:rPr>
              <w:t>ε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 / 0,073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Признак углеродного зачёта для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пищевую отрасль, теплицы, карбамид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μ</w:t>
            </w:r>
            <w:r>
              <w:rPr>
                <w:sz w:val="24"/>
                <w:vertAlign w:val="subscript"/>
              </w:rPr>
              <w:t>f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к теплу у тепличного кластера, т/Гкал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θ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0,148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Удельный спрос теплиц на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т/(га·год)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CO₂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400–600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Предельная доля выручки проекта резидента от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λ̄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Эффект статуса ТОР на число предприятий через два года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N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0,022–0,117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Эффект статуса ТОР на долю занятых у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L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значим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3.4, 3.5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по результатам расчётов п. 3.1.2–3.1.8.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3.7 показывает, что из девятнадцати параметров первичными документами заданы только три: объём действующих продаж пищевой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две правовые нормы. Наибольшую неопределённость несут мощность «Азота»,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 и тепличные ориентиры, перенесённые из Зеландии. Первые две величины запрашиваются у предприятия, третью уточнит проектная документация тепличного резидента. Параметры класса B меняются только при замене выборки аналогов или появлении новых оценок по моногородам.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Калибровка может быть опровергнута тремя наблюдениями. Если фактические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 на тонну мощности выйдут за пределы 1,79–2,10 т, удельные показатели американских комплексов к нему неприменимы, и причину нужно искать в технологии или в границах учёта, прежде всего в учёте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связанного в карбамиде. Если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окажутся вне обоих интервалов таблицы 3.2 (0,23–0,92 и 1,88–2,96 млн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-экв.), неверны обе гипотезы о глубине очистки. Если динамика «Азота» за 2017–2023 гг. повторит европейское снижение, а не американскую стабильность, неверен перенос динамики по ценовому режиму газа, и контрфактическая траектория § 3.3 должна строиться иначе. Исходные данные, промежуточные расчёты и формулы содержатся в рабочей книге Excel с панелью аналогов, так что любой результат параграфа можно пересчитать.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Ещё два наблюдения проверяют ориентиры п. 3.1.8. Если после запуска платформы совокупные продажи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не превысят 32 тыс. т при уже заключённых договорах с резидентами, поток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дополнительного эффекта не создаёт, и его вклад в ΔE по (3.11) равен нулю. Если тепличный резидент будет потреблять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отношении к теплу, отличающемся от θ более чем вдвое, зеландский ориентир неприменим, и согласование потоков тепла 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строится по проектным данным резидента.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Двухуровневая модель равновесной связности экосистемы с якорным предприятием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 Причины недостижения оптимальной связности без координации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найденная в § 2.3.3 из условия (2.13), описывает сеть, которую построил бы планировщик, распоряжающийся решениями всех участников. В Невинномысске такого планировщика нет. Резидент ТОСЭР подключается к обмену, когда подключение выгодно ему самому, а эта выгода зависит от того, сколько участников уже подключилось и какую часть дивиденда получит он. Фактическая связность складывается из индивидуальных решений и может остановиться ниже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Эту величину мы называем равновесной связностью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Разность двух величин показывает, сколько эффекта сеть теряет из-за правил распределения, барьеров подключения и регуляторных ограничений.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Иерархическая постановка «администрация парка – предприятия» в литературе по эко-индустриальным паркам известна давно. Р. Тан и К. Ависо записали конфликт интересов администрации и заводов как игру Штакельберга и методом обратной оптимизации подобрали стимулы и санкции, при которых заводы сами формируют оптимальную сеть обмена отходами</w:t>
      </w:r>
      <w:r>
        <w:rPr>
          <w:vertAlign w:val="superscript"/>
        </w:rPr>
        <w:footnoteReference w:id="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Г. Даш и соавторы построили двухуровневую модель сети лесопромышленного симбиоза: администрация парка минимизирует расход первичного сырья, заводы минимизируют собственные затраты</w:t>
      </w:r>
      <w:r>
        <w:rPr>
          <w:vertAlign w:val="superscript"/>
        </w:rPr>
        <w:footnoteReference w:id="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стохастическом варианте той же модели колебания спроса ухудшили экологическую цель администрации и одновременно увеличили прибыль компаний, поскольку подталкивали их к росту выпуска [43]. Х. Чин, П. Варбанов и Й. Клемеш соединили кооперативную игру с анализом равновесной налоговой ставки и распределили между заводами компенсацию государства за водный симбиоз</w:t>
      </w:r>
      <w:r>
        <w:rPr>
          <w:vertAlign w:val="superscript"/>
        </w:rPr>
        <w:footnoteReference w:id="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невинномысской экосистемы этих постановок недостаточно. В них нет якорного предприятия, от работы которого зависит большая часть потоков. Не учитывается и норма режима ТОСЭР в моногороде, ограничивающая продажи резидента градообразующей организации. Наконец, отсутствует бюджетное ограничение на ликвидацию накопленного экологического ущерба, которое в главе 2 не выполнялось ни в одном сценарии. Ниже эти элементы встроены в двухуровневую модель. Её нижний уровень описывает решение резидента об участии, верхний уровень – выбор параметров механизма оператором экоплатформы и публичным партнёром.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 Нижний уровень: решение резидента об участии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Резидент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сравнивает выигрыш от участия с нулём. В выигрыш входят экономия в цене обмена, возникающая внутри коридора (2.14), доля дивиденда по правилу (2.20′) и затраты подключения, часть которых может принять на себя публичный партнёр: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U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g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w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рез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σ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0</m:t>
        </m:r>
      </m:oMath>
      <w:r>
        <w:rPr>
          <w:rFonts w:ascii="Times New Roman" w:hAnsi="Times New Roman" w:cs="Times New Roman"/>
          <w:sz w:val="28"/>
        </w:rPr>
        <w:tab/>
        <w:t>(3.15)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годовой выигрыш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участия при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резидента в цене обмена;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вес резидента в группе, равный отношению его подтверждённого эффекта к потенциальному эффекту всей группы по правилу (2.20′);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рез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группы резидентов в дивиденде;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симбиотический дивиденд (2.11), зависящий от связности через функцию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затрат подключения, которую компенсирует публичный партнёр, 0 ≤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1;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годовые затраты подключения резидента (приборы учёта, согласование, раскрытие данных о потоках).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(2.20) главы 2 распределяет дивиденд между участниками пропорционально подтверждённому эффекту каждого. В модели равновесия у него обнаруживается изъян: вес считается по уже подключённым резидентам, и вход нового участника уменьшает доли остальных. Дивидендная часть выигрыша тогда может падать с ростом связности, отображение (3.17) теряет монотонность, а с ней и гарантию существования равновесия. Поэтому в расчётах главы 3 вес резидента нормируется на потенциальный эффект всей группы резидентов ТОСЭР, включая ещё не подключившихся: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w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Δ</m:t>
                </m:r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</m:d>
          </m:num>
          <m:den>
            <m:nary>
              <m:naryPr>
                <m:chr m:val="∑"/>
                <m:limLoc m:val="undOvr"/>
              </m:naryPr>
              <m:sub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</m:t>
                </m:r>
              </m:sub>
              <m:sup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рез</m:t>
                    </m:r>
                  </m:sub>
                </m:sSub>
              </m: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Δ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i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</m:e>
            </m:nary>
          </m:den>
        </m:f>
      </m:oMath>
      <w:r>
        <w:rPr>
          <w:rFonts w:ascii="Times New Roman" w:hAnsi="Times New Roman" w:cs="Times New Roman"/>
          <w:sz w:val="28"/>
        </w:rPr>
        <w:tab/>
        <w:t>(2.20′)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вес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дивиденде группы при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эффект, который резидент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создаёт при участии, млн руб. в год (в расчётах § 3.3 он принят равным выигрышу резидента в цене обмена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индекс суммирования по резидентам группы;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рез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резидентов группы независимо от того, подключены ли они.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дивиденда, приходящаяся на неподключившихся, участникам не перераспределяется и остаётся в резерве наблюдательного совета до их подключения. Приход нового резидента дивиденд остальных не уменьшает, дивидендная часть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убывает, и условие теоремы Тарского, на которое опирается расчёт равновесия ниже, выполняется. У правила есть цена: пока связность далека от оптимальной, часть дивиденда не выплачивается. Для режима Р2 по схеме А в 2027 г. резерв равен 0,29 млн руб. при выплаченных резидентам 0,72 млн руб., к 2036 г. – 0,47 млн руб. Если наблюдательный совет решит распределять резерв между подключёнными, монотонность придётся проверять отдельно для каждого года.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Связность входит в правую часть (3.15) дважды: через экономию в цене и через дивиденд. Чем больше участников, тем выше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тем крупнее дивиденд, поэтому решение каждого резидента зависит от решений остальных. В главе 2 это свойство было показано для пары участников как игра координации (условие 2.21). Формула (3.15) распространяет его на всю группу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условие участия задаёт режим ТОСЭР. Требования к инвестиционным проектам резидентов ТОСЭР в моногородах исключают договоры с градообразующей организацией и её дочерними обществами, по которым выручка от продаж им превышает 50 % всей выручки резидента от реализации инвестиционного проекта [9]. Текст нормы вносит в постановку два уточнения. Долю считают от выручки по инвестиционному проекту, а не от всей выручки резидента. Кроме того, норма касается только продаж градообразующей организации; закупки у неё, например диоксида углерода или тепла, под предел не подпадают. Условие записывается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 ≤ </m:t>
        </m:r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= 0,5</m:t>
        </m:r>
      </m:oMath>
      <w:r>
        <w:rPr>
          <w:rFonts w:ascii="Times New Roman" w:hAnsi="Times New Roman" w:cs="Times New Roman"/>
          <w:sz w:val="28"/>
        </w:rPr>
        <w:tab/>
        <w:t>(3.16)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продаж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якорному предприятию и его дочерним обществам;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выручка резидента от таких продаж по инвестиционному проекту,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вся выручка резидента от реализации инвестиционного проекта,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нормативный предел.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Асимметрия нормы делит потоки экосистемы на два класса. Резидент, который получает от «Азота»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низкопотенциальное тепло, ограничением (3.16) не затронут. Иное положение у резидента, продающего якорю услуги по переработке его отходов или поставляющего ему сырьё. Он упирается в предел 50 %, и рост симбиотического оборота с якорем грозит ему потерей статуса резидента. Для экоплатформы отсюда вытекает практическое правило: обмен, в котором якорь выступает покупателем, проектируется сразу со вторым покупателем той же продукции.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Условия (3.15) и (3.16) вместе задают отображение, которое переводит ожидаемую связность в фактическую. Примем, что каждая допустимая связь соединяет резидента с одним из крупных поставщиков (ГРЭС, «Азот», экопромышленный парк), готовность которых к обмену задана, а связь двух резидентов учитывается у потребителя ресурса. Тогда: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доп</m:t>
                </m:r>
              </m:sub>
            </m:sSub>
          </m:den>
        </m:f>
        <m:nary>
          <m:naryPr>
            <m:chr m:val="∑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</m:bar>
              </m:e>
            </m:d>
          </m:e>
        </m:nary>
      </m:oMath>
      <w:r>
        <w:rPr>
          <w:rFonts w:ascii="Times New Roman" w:hAnsi="Times New Roman" w:cs="Times New Roman"/>
          <w:sz w:val="28"/>
        </w:rPr>
        <w:tab/>
        <w:t>(3.17)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связность, которая возникает, если каждый резидент принимает решение, ожидая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(формула 2.3);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с участием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[·] – индикатор, равный единице при выполнении условия в скобках и нулю в противном случае; суммирование ведётся по всем резидентам.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Равновесная связность – неподвижная точка отображения (3.17). Если выигрыш в цене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дивиденд не убывают с ростом связности, отображение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также не убывает, и по теореме Тарского множество его неподвижных точек на отрезке [0; 1] непусто и имеет наименьший элемент</w:t>
      </w:r>
      <w:r>
        <w:rPr>
          <w:vertAlign w:val="superscript"/>
        </w:rPr>
        <w:footnoteReference w:id="7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Неподвижных точек может быть несколько. Сеть, которая стартует с низкой базовой связности, приходит к наименьшей из них. В Невинномысске базовая связность не равна нулю: по таблице 2.1 действует связь «Азот — покупатели пищевого CO₂», однако её объём (32 тыс. т) в эффект платформы не входит (п. 3.1.8), и для резидентов ТОСЭР сеть начинается практически с нуля: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0;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: </m:t>
                </m:r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= </m:t>
                </m:r>
                <m:r>
                  <w:rPr>
                    <w:rFonts w:ascii="Cambria Math" w:hAnsi="Cambria Math"/>
                    <w:sz w:val="28"/>
                  </w:rPr>
                  <m:t xml:space="preserve">Γ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(3.18)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равновесная связность при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минимум берётся по множеству неподвижных точек отображения (3.17).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Множественность равновесий в сетях с взаимодополняющими связями описали М. Джексон и А. Волински</w:t>
      </w:r>
      <w:r>
        <w:rPr>
          <w:vertAlign w:val="superscript"/>
        </w:rPr>
        <w:footnoteReference w:id="8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экоплатформы из неё следует, что расчёт выгоды обмена ещё не означает его заключения. Без внешнего толчка сеть остаётся в нижнем равновесии, даже если верхнее выгодно всем участникам. Разрыв между оптимальной и равновесной связностью определяется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Δ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(3.19)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разрыв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оптимальная связность по условию (2.13);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равновесная связность (3.18).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Величина (3.19) близка к тому, что в экономике энергосбережения называют разрывом эффективности: технология выгодна обществу, но фирмы её не принимают, потому что затраты внедрения каждая несёт в одиночку</w:t>
      </w:r>
      <w:r>
        <w:rPr>
          <w:vertAlign w:val="superscript"/>
        </w:rPr>
        <w:footnoteReference w:id="9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Есть и порог, ниже которого платформа вообще не создаёт ценности. Л. Фраккашия на агентной модели онлайн-платформы симбиоза показал, что выгода пользователя растёт с числом других пользователей, а при доле участия ниже некоторого минимума платформа не приносит предприятиям дополнительной выгоды</w:t>
      </w:r>
      <w:r>
        <w:rPr>
          <w:vertAlign w:val="superscript"/>
        </w:rPr>
        <w:footnoteReference w:id="10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модели этому соответствует порог связности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ниже которого постоянные затраты платформы не окупаются, и нулевая связность остаётся устойчивым состоянием; порог рассчитан в § 3.3. Для ТОСЭР с 52 преимущественно небольшими резидентами отсюда следует довод в пользу инструмента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Компенсация затрат подключения действует на порог участия прямо. Рост коэффициента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увеличивает лишь дивидендную часть выигрыша, а она у малого резидента невелика (§ 2.6.2).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Внешнюю опору неравенства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дают оценки А.В. Зубарева и Я.П. Мотякиной, полученные методом разности разностей по моногородам: присвоение статуса ТОР увеличило число действующих предприятий на 1000 жителей на 8,6 % за два года, но не изменило долю занятых у градообразующего предприятия [24]. Льгота наращивает число фирм, однако связей вне якоря сама не создаёт, и разрыв между возможной и фактической связностью приходится закрывать другими инструментами.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3.2.3 Верхний уровень: выбор механизма и цена закрытия разрыва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экоплатформы и публичный партнёр выбирают вектор параметров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сервисный платёж оператору из формулы (2.19). Критерием служит чистый результат сети при равновесной, а не при оптимальной связности за вычетом бюджетных затрат на сам механизм: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max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W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Π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r>
          <w:rPr>
            <w:rFonts w:ascii="Cambria Math" w:hAnsi="Cambria Math"/>
            <w:sz w:val="28"/>
          </w:rPr>
          <m:t xml:space="preserve">Z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(3.20)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общественный результат механизма,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чистый результат сети (2.12), вычисленный при равновесной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бюджетные затраты механизма: компенсация затрат подключения резидентов, вложения публичного партнёра в инфраструктуру и платформу в аннуитетной оценке (2.8).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(3.20) решается при бюджетном ограничении на ликвидацию накопленного ущерба: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(3.21)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пуб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публичного получателя в дивиденде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гос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Б или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В, формулы 2.17–2.18);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средства на ликвидацию накопленного ущерба из источников вне дивиденда (целевое использование платы за негативное воздействие на окружающую среду, соглашения о партнёрстве),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годовая потребность в средствах на ликвидацию ущерба, млн руб.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Внешнее слагаемое введено в (3.21) явно, потому что без него ограничение в главе 2 не выполнялось: публичный получатель получал 3,6–3,9 млн руб. при потребности 15,5 млн руб. Модель не исходит из того, что дивиденд покроет ущерб. Она отвечает на другой вопрос: какую часть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придётся закрывать из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данной связности и насколько эта часть сократится, если механизм поднимет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Дивиденд в левой части (3.21) начисляется только на рыночную часть эффекта. Углеродная часть по всем потокам CO₂ Невинномысска равна нулю, поскольку переданный газ не связывается в продукте постоянно и не вычитается из встроенных выбросов аммиака по правилам CBAM (формула 3.12, п. 3.1.8). Экспортная экономия не может пополнить ни дивиденд, ни средства на ликвидацию ущерба.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Задачу (3.20) удобно решать в обратном порядке. Сначала задаётся целевая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затем ищется самый дешёвый набор параметров, при котором равновесие её достигает. Приём заимствован у Тана и Ависо, искавших минимальный набор стимулов, который приводит заводы к оптимальной сети (§ 3.2.1):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min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Z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 xml:space="preserve">,   при   </w:t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acc>
          <m:accPr>
            <m:chr m:val="̃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</m:oMath>
      <w:r>
        <w:rPr>
          <w:rFonts w:ascii="Times New Roman" w:hAnsi="Times New Roman" w:cs="Times New Roman"/>
          <w:sz w:val="28"/>
        </w:rPr>
        <w:tab/>
        <w:t>(3.22)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цена закрытия разрыва до уровня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 в год; остальные обозначения те же, что в (3.18) и (3.20). Целевая связность механизма выбирается из сравнения цены закрытия с приростом чистого результата сети: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arg max</m:t>
                </m:r>
              </m:e>
              <m:lim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∗∗</m:t>
                        </m:r>
                      </m:sup>
                    </m:sSup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</m:t>
                        </m:r>
                      </m:sup>
                    </m:sSup>
                  </m:e>
                </m:d>
              </m:lim>
            </m:limLow>
          </m:fName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min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(3.23)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целевая связность механизма;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параметры механизма без мер поддержки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коэффициент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доли по базовой схеме главы 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(3.23) получается вывод, недоступный в постановке главы 2. Если цена закрытия растёт быстрее выигрыша, целевая связность лежит между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добиваться оптимума не нужно: последние связи обойдутся бюджету дороже, чем принесут сети.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разрыв закрывается полностью, и величина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становится обоснованной суммой бюджетной поддержки. Какой из случаев имеет место в Невинномысске, покажет калибровка § 3.3. Отдельный инструмент верхнего уровня – сервисный платёж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М. Моллика, Л. Фраккашия и А. Настази на агентной модели онлайн-платформы симбиоза установили, что при росте доверия к платформе подписчиков удаётся привлекать умеренной платой [64]. В нашей модели этот эффект входит через рост параметра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он поднимает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вместе с ним правую часть условия участия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 k(t) в модели не постулируется, а связан с поведением участников. Д. Язан, В. Язданпанах и Л. Фраккашия показали, что предприятия, многократно взаимодействующие в сети симбиоза,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Поэтому k(t) рассматривается как эндогенная величина, которая растёт с долей договоров, исполненных без споров в предыдущих периодах. В симуляторе этот канал представлен моделью поведения «обучение», где k увеличивается вместе со связностью.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Компенсация затрат подключения — не единственный инструмент публичного партнёра. Ю. Дун, Ч. Лю и М. Чжао показали, что экологический налог способен устранить несоответствие между предложением отходов и спросом на них в цепи симбиоза, однако ставка, при которой отходы перерабатываются полностью, в децентрализованной цепи выше, чем в интегрированной [47]. В Невинномысске поставщики и потребители ресурсов — независимые компании, и регулятору пришлось бы повышать плату за негативное воздействие сильнее, чем при вертикальной интеграции. Компенсация σ действует точечно и не увеличивает нагрузку на всех плательщиков.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 между уровнями модели и место каждого ограничения показаны на рисунке 3.3. Схема читается сверху вниз как последовательность ходов: публичный партнёр и оператор объявляют параметры, резиденты на них отвечают, а наблюдаемая равновесная связность возвращается наверх и сравнивается с оптимальной.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– Схема двухуровневой модели формирования равновесной связности экосистемы с якорным предприятием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показывает, что якорное предприятие в модели не выбирает параметры механизма и не входит в число последователей. Оно задаёт среду: от него зависят потоки, на которые опираются решения резидентов, и предел (3.16) для тех, кто ему продаёт. Бюджетное ограничение вынесено на верхний уровень, поскольку отвечает за него публичный партнёр, а не участники обмена. Схема подтверждает, что разрыв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возникает на стыке уровней и не может быть устранён мерами только одного из них.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3.2.4 Риск остановки якоря: распределение эффекта и критическая доля зависимости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в § 2.5.3 рассчитан для игры, в которой «Азот» работает весь период. Аммиачные агрегаты останавливаются на плановые и внеплановые ремонты, и в эти периоды прекращаются все потоки, где поставщиком выступает якорь. В исследованиях межзаводской теплоинтеграции такой риск уже учитывают при распределении выгод. В работе, опубликованной в журнале Energy, ограничения ядра на основе значения Оуэна встроены в модель сети теплообменников, и каждый завод получает приемлемую выгоду при вероятности внеплановой остановки от 0 до 100 % [69]. Для трёх заводов химического парка распределение затрат по ядру и вектору Шепли с поправкой на риск предложили Ю. Цзинь, С. Ли и Д. Цзян</w:t>
      </w:r>
      <w:r>
        <w:rPr>
          <w:vertAlign w:val="superscript"/>
        </w:rPr>
        <w:footnoteReference w:id="1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та же идея развита в работе, опубликованной в Applied Energy</w:t>
      </w:r>
      <w:r>
        <w:rPr>
          <w:vertAlign w:val="superscript"/>
        </w:rPr>
        <w:footnoteReference w:id="13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Перенесём её на игру пяти участников § 2.5.3. Характеристическая функция с учётом риска остановки якоря имеет вид: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ba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∖ </m:t>
            </m:r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e>
            </m:d>
          </m:e>
        </m:d>
      </m:oMath>
      <w:r>
        <w:rPr>
          <w:rFonts w:ascii="Times New Roman" w:hAnsi="Times New Roman" w:cs="Times New Roman"/>
          <w:sz w:val="28"/>
        </w:rPr>
        <w:tab/>
        <w:t>(3.24)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ожидаемый выигрыш коалиции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учётом риска остановки якоря,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коалиции при работающем якоре (характеристическая функция игры § 2.5.3);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периода, в течение которой якорь не поставляет ресурсы;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– та же коалиция без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линеен по характеристической функции, поэтому распределение для игры (3.24) получается смешением двух распределений: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bar>
              <m:barPr>
                <m:pos m:val="top"/>
              </m:barPr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Sh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компонента вектора Шепли участника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}) – игра, в которой якорь не вносит вклада ни в одну коалицию.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игре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якорь является болваном, и его компонента равна нулю. Поэтому доля якоря по формуле (3.25) уменьшается ровно в (1 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раз. В расчёте § 2.5.3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0,3 на «Азот» приходилось 25 % эффекта 117,4 млн руб., то есть около 29,4 млн руб.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 его риск-скорректированная доля составит 0,95 · 29,4 ≈ 27,9 млн руб. Компоненты остальных участников смешиваются с их долями в игре без якоря. Выигрывают те, у кого есть связи, не зависящие от «Азота», прежде всего с ГРЭС и экопромышленным парком. Правило поощряет резервирование потоков, а не только их объём. Значение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оценивается по ремонтному графику и статистике остановок агрегатов, то есть по данным самого предприятия; до их получения используется оценка по заводам-аналогам из п. 3.1.7 — 0,05 при интервале 0,028–0,094.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ставит и второй вопрос: достаточна ли норма 50 % для того, чтобы резидент пережил такую остановку. Рассмотрим резидента, который продаёт якорю долю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продукции проекта. На время остановки эта выручка выпадает. Резидент покрывает постоянные затраты, если оставшийся маржинальный доход их не меньше: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m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Sup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FC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маржинального дохода в выручке проекта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постоянные затраты проекта за тот же период, млн руб.; остальные обозначения те же, что в (3.16). Из (3.26) выражается критическая доля продаж якорю: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1 − </m:t>
        </m:r>
        <m:f>
          <m:num>
            <m:sSub>
              <m:e>
                <m:r>
                  <w:rPr>
                    <w:rFonts w:ascii="Cambria Math" w:hAnsi="Cambria Math"/>
                    <w:sz w:val="28"/>
                  </w:rPr>
                  <m:t xml:space="preserve">FC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</w:rPr>
        <w:tab/>
        <w:t>(3.27)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наибольшая доля продаж якорю, при которой резидент покрывает постоянные затраты во время остановки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нормой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0,5 даёт проверяемое утверждение. Возьмём условного резидента с долей маржинального дохода 0,25 и постоянными затратами 15 % выручки: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– 0,15/0,25 = 0,40. Норма разрешает ему продавать якорю половину продукции, а пережить остановку якоря он может только при доле не выше 40 %. Для резидента с маржинальным доходом 0,40 и постоянными затратами 12 % выручки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0,70, и единый предел 50 % отсекает у него часть выгодного оборота. Единая норма оказывается мягкой для низкомаржинальных резидентов и жёсткой для высокомаржинальных. Оценка (3.26) относится к одному периоду и предполагает, что остановка якоря не меняет остальных продаж резидента; данные для неё берутся из бухгалтерской отчётности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обращён и к покупателям его ресурсов. Тепличный резидент, для которого «Азот» служит единственным поставщиком CO₂, вкладывает средства в специфический актив и оказывается в положении, описанном в § 2.1.2 как проблема вымогательства: остановка или пересмотр цены якорем обесценивают его вложения. Поставщик в проекте WarmCO₂ сам перечисляет эти риски (п. 3.1.8). Договор с таким резидентом поэтому предусматривает резервный источник CO₂, а затраты на него включаются в затраты подключения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условия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Эмпирические работы по сетям симбиоза указывают на ту же уязвимость. Я. Чжан и соавторы, сравнив восемь сетей по плотности и централизации, выделили тип «якорного арендатора», в котором полнота связей высока, а аффилированные участники чрезмерно зависят от ядра</w:t>
      </w:r>
      <w:r>
        <w:rPr>
          <w:vertAlign w:val="superscript"/>
        </w:rPr>
        <w:footnoteReference w:id="1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С. Чопра и В. Ханна по результатам сетевого анализа Калуннборга назвали электростанцию Асненс наиболее критичным узлом системы</w:t>
      </w:r>
      <w:r>
        <w:rPr>
          <w:vertAlign w:val="superscript"/>
        </w:rPr>
        <w:footnoteReference w:id="1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Сравнение 35 сетей симбиоза разных стран показало, что при каскадных отказах устойчивость сети сохраняется лишь до определённых порогов, за которыми она обрушивается [73]. Отсюда практическое следствие для § 3.1: индекс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инд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нужно дополнить показателем централизации сети вокруг якоря.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3.2.5 Поправка на эффект отдачи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Контрфактическое правило главы 2 сравнивает состояния «с платформой» и «без платформы» при одинаковых объёмах выпуска основной продукции (§ 2.1.1). Для якорного предприятия это допущение уязвимо. Продажа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тепла увеличивает доход с тонны аммиака, и якорю становится выгоднее наращивать выпуск. Л. Хацор и А. Ельнов в теоретико-игровой модели, опубликованной как препринт, показали, что такой прирост способен перекрыть экологический выигрыш от повторного использования побочных продуктов, и тогда в равновесии симбиоз увеличивает загрязнение [54]. Рецензируемое подтверждение того же механизма дала стохастическая модель Даша и соавторов, упомянутая в § 3.2.1 [43]. Изменение выбросов якоря с учётом прироста выпуска: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ε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["/>
            <m:endChr m:val="]"/>
          </m:dPr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r>
                  <w:rPr>
                    <w:rFonts w:ascii="Cambria Math" w:hAnsi="Cambria Math"/>
                    <w:sz w:val="28"/>
                  </w:rPr>
                  <m:t xml:space="preserve">ΔQ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1 −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κ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изменение годовых выбросов (или массы отходов) якоря относительно контрфактического состояния,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удельные выбросы на единицу основной продукции, т/т;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выпуск основной продукции без платформы,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прирост выпуска, вызванный доходом от симбиоза,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побочного продукта, передаваемая потребителям;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выбросов, которые возникают при подготовке, транспортировке и использовании переданного продукта.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Выбросы сокращаются только при условии: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&lt; 0  ⇔  </m:t>
        </m:r>
        <m:r>
          <w:rPr>
            <w:rFonts w:ascii="Cambria Math" w:hAnsi="Cambria Math"/>
            <w:sz w:val="28"/>
          </w:rPr>
          <m:t xml:space="preserve">u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&gt; </m:t>
        </m:r>
        <m:f>
          <m:num>
            <m:r>
              <w:rPr>
                <w:rFonts w:ascii="Cambria Math" w:hAnsi="Cambria Math"/>
                <w:sz w:val="28"/>
              </w:rPr>
              <m:t xml:space="preserve">ΔQ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r>
              <w:rPr>
                <w:rFonts w:ascii="Cambria Math" w:hAnsi="Cambria Math"/>
                <w:sz w:val="28"/>
              </w:rPr>
              <m:t xml:space="preserve">ΔQ</m:t>
            </m:r>
          </m:den>
        </m:f>
      </m:oMath>
      <w:r>
        <w:rPr>
          <w:rFonts w:ascii="Times New Roman" w:hAnsi="Times New Roman" w:cs="Times New Roman"/>
          <w:sz w:val="28"/>
        </w:rPr>
        <w:tab/>
        <w:t>(3.29)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обозначения те же, что в (3.28).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 (3.29) жёсткий. Если потребителям передаётся 5 % побочного продукта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0,05), а при его подготовке и доставке возникает пятая часть исходных выбросов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0,2), левая часть равна 0,04. Выбросы растут, как только вызванный симбиозом прирост выпуска превысит 0,04/0,96 ≈ 4,2 % исходного объёма. Прирост выпуска, объясняемый изменением рыночных цен на удобрения, к эффекту платформы не относится и выделяется отдельно, как в § 2.1.1 выделялись изменения тарифов. Экологическая составляющая эффекта (2.7) корректируется на прирост воздействия, если он возник: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ΔE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кор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ΔE</m:t>
        </m:r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НВОС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r>
                  <w:rPr>
                    <w:rFonts w:ascii="Cambria Math" w:hAnsi="Cambria Math"/>
                    <w:sz w:val="28"/>
                  </w:rPr>
                  <m:t xml:space="preserve">ΔEm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(3.30)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кор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дополнительный эффект с поправкой на отдачу,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эффект по формуле (2.7);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НВОС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ставка платы за негативное воздействие на окружающую среду для соответствующего вида воздействия, руб./т.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Денежная поправка (3.30) охватывает только те виды воздействия, за которые в России взимается плата. Выбросы парниковых газов «Азота» денежной оценки не получают по той же причине, что и в § 2.3.1, и учитываются в натуральном выражении. Проверка развязки выпуска и выбросов по индексу П. Тапио</w:t>
      </w:r>
      <w:r>
        <w:rPr>
          <w:vertAlign w:val="superscript"/>
        </w:rPr>
        <w:footnoteReference w:id="1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вынесена в сценарный анализ § 3.4.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3.2.6 Проверяемые следствия модели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имеет смысл, только если её выводы можно опровергнуть данными, которые будут собраны при обследовании участников. Следствия, которые выносятся на проверку в § 3.3 и 3.4, и наблюдения, способные их опровергнуть, сведены в таблицу 3.8.</w:t>
      </w:r>
    </w:p>
    <w:p>
      <w:pPr>
        <w:keepNext/>
        <w:spacing w:after="0" w:before="12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</w:t>
      </w: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Проверяемые следствия двухуровневой модели и критерии их опровержения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50"/>
        <w:gridCol w:w="2300"/>
        <w:gridCol w:w="2555"/>
        <w:gridCol w:w="15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Следствие модели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Наблюдаемый показатель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Опровергающее наблюдение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Параграф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мер поддержки равновесная связность ниже оптимальной: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 &lt;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действующих связей по реестру платформы;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инд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 формуле (2.3)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связность достигает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без компенсации затрат подключения и внешнего финансирования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Компенсация затрат подключения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поднимает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сильнее, чем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при равных затратах механизма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Прирост числа участников на 1 млн руб. затрат механизма отдельно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Отклик участия на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ниже отклика на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Критическая доля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у части резидентов-поставщиков якоря отличается от нормы 0,5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маржинального дохода и постоянные затраты резидентов по отчётности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 всех резидентов-поставщиков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лежит в пределах 0,45–0,55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3.1,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выполнении условия (3.29) выбросы якоря после запуска обменов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растут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Выпуск аммиака и удельные выбросы до и после запуска обменов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Выбросы растут при выполнении (3.29) по фактическим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ΔQ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3.3, 3.4</w:t>
            </w:r>
          </w:p>
        </w:tc>
      </w:tr>
    </w:tbl>
    <w:p>
      <w:pPr>
        <w:spacing w:after="120" w:before="6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составлено автором.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 показывает, что каждое из четырёх следствий опирается на величины, которые можно измерить: число действующих связей, отклик участия на инструменты, отчётность резидентов и данные о выбросах предприятия. Ни одно из следствий не вытекает из модели тождественно. Первое может не подтвердиться, если барьеры участия окажутся ниже расчётных, третье – если резиденты-поставщики однородны по маржинальности. Поэтому модель пригодна для проверки и в случае опровержения укажет, какое из допущений нужно пересмотреть.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отношению к главе 2 параграф даёт три результата. Оптимальная связность дополнена равновесной, и их разрыв получил денежную меру – цену закрытия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Норма режима ТОСЭР включена в условие участия с учётом её асимметрии и сопоставлена с критической долей зависимости, выведенной из риска остановки якоря. Дополнительный эффект скорректирован на рост выпуска якоря, который может вызвать сам симбиоз. Для расчёта нужны данные, которых в главе 2 не было: затраты подключения и маржинальность резидентов, график остановок агрегатов «Азота», его выпуск и удельные выбросы. Их получение и калибровка модели составляют содержание § 3.3.</w:t>
      </w:r>
    </w:p>
    <w:p>
      <w:pPr>
        <w:keepNext/>
        <w:jc w:val="both"/>
      </w:pPr>
      <w:r>
        <w:rPr>
          <w:b/>
        </w:rPr>
        <w:t>3.3 Имитационная оценка трёх режимов экоплатформы: состояния экосистемы, риски и выигрыши участников</w:t>
      </w:r>
    </w:p>
    <w:p>
      <w:pPr>
        <w:keepNext/>
        <w:jc w:val="both"/>
      </w:pPr>
      <w:r>
        <w:rPr>
          <w:b/>
        </w:rPr>
        <w:t>3.3.1 Постановка имитационного эксперимента</w:t>
      </w:r>
    </w:p>
    <w:p>
      <w:pPr>
        <w:jc w:val="both"/>
      </w:pPr>
      <w:r>
        <w:t xml:space="preserve">Параграф 3.1 дал модели числа, параграф 3.2 — правила, по которым резиденты решают, участвовать ли в обмене. Остаётся вопрос, ради которого строилась вся глава: что изменится в Невинномысске, если экоплатформа появится, и что останется прежним без неё. Ответ получен на симуляторе DYNSIM, программная модель которого опубликована в открытом доступе вместе с исходным кодом [34]. Версия, использованная в расчётах, содержит калибровку § 3.1 (табл. 3.7) и двухуровневую модель § 3.2; все числа параграфа воспроизводятся на ней при указанных значениях параметров.</w:t>
      </w:r>
    </w:p>
    <w:p>
      <w:pPr>
        <w:jc w:val="both"/>
      </w:pPr>
      <w:r>
        <w:t>Сравниваются три режима, заданные таблицей 2.13. Режим Р0 описывает сохранение нынешнего положения: платформы нет, обмены заключаются только двусторонне, а из подтверждённых связей действует одна — продажа пищевой углекислоты «Азотом» сторонним покупателям. Режим Р1 вводит платформу как координатора без распределения дивиденда (α = 0). Режим Р2 добавляет дивиденд с долей α = 0,10, распределяемый по схеме В (формула 2.18), которая реализована в симуляторе. Отдельно рассматривается вариант Р2σ, в котором публичный партнёр компенсирует 30 % затрат подключения резидентов (σ = 0,3). Он не образует четвёртого режима, а проверяет инструмент, выделенный в § 3.2 как наиболее действенный.</w:t>
      </w:r>
    </w:p>
    <w:p>
      <w:pPr>
        <w:jc w:val="both"/>
      </w:pPr>
      <w:r>
        <w:t>Дополнительный эффект в симуляторе рассчитывается по связности и параметру институциональной среды: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f</m:t>
            </m:r>
          </m:sub>
          <m:sup/>
          <m:e>
            <m:sSup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f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чист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(3.31)</w:t>
      </w:r>
    </w:p>
    <w:p>
      <w:pPr>
        <w:ind w:firstLine="0"/>
        <w:jc w:val="both"/>
      </w:pPr>
      <w:r>
        <w:t>где ΔE(t) — дополнительный эффект экоплатформы в году t, млн руб.; φ(C</w:t>
      </w:r>
      <w:r>
        <w:rPr>
          <w:vertAlign w:val="subscript"/>
        </w:rPr>
        <w:t>t</w:t>
      </w:r>
      <w:r>
        <w:t>; k</w:t>
      </w:r>
      <w:r>
        <w:rPr>
          <w:vertAlign w:val="subscript"/>
        </w:rPr>
        <w:t>t</w:t>
      </w:r>
      <w:r>
        <w:t>) = 1 − e</w:t>
      </w:r>
      <w:r>
        <w:rPr>
          <w:vertAlign w:val="superscript"/>
        </w:rPr>
        <w:t>−k·C</w:t>
      </w:r>
      <w:r>
        <w:t xml:space="preserve"> — доля потенциального эффекта, реализуемая при связности C</w:t>
      </w:r>
      <w:r>
        <w:rPr>
          <w:vertAlign w:val="subscript"/>
        </w:rPr>
        <w:t>t</w:t>
      </w:r>
      <w:r>
        <w:t xml:space="preserve"> (формула 2.5); E</w:t>
      </w:r>
      <w:r>
        <w:rPr>
          <w:vertAlign w:val="subscript"/>
        </w:rPr>
        <w:t>f</w:t>
      </w:r>
      <w:r>
        <w:rPr>
          <w:vertAlign w:val="superscript"/>
        </w:rPr>
        <w:t>чист</w:t>
      </w:r>
      <w:r>
        <w:t xml:space="preserve"> — чистый вклад потока f при полной реализации (тепло, прирост продаж CO</w:t>
      </w:r>
      <w:r>
        <w:rPr>
          <w:vertAlign w:val="subscript"/>
        </w:rPr>
        <w:t>2</w:t>
      </w:r>
      <w:r>
        <w:t xml:space="preserve"> сверх Q</w:t>
      </w:r>
      <w:r>
        <w:rPr>
          <w:vertAlign w:val="subscript"/>
        </w:rPr>
        <w:t>0</w:t>
      </w:r>
      <w:r>
        <w:t>, вторичное сырьё, плата за НВОС; табл. 2.6), млн руб.; Z</w:t>
      </w:r>
      <w:r>
        <w:rPr>
          <w:vertAlign w:val="subscript"/>
        </w:rPr>
        <w:t>пл</w:t>
      </w:r>
      <w:r>
        <w:t xml:space="preserve"> — годовые затраты платформы (аннуитет вложений, эксплуатация, издержки сделок), млн руб.</w:t>
      </w:r>
    </w:p>
    <w:p>
      <w:pPr>
        <w:jc w:val="both"/>
      </w:pPr>
      <w:r>
        <w:t>Запись (3.31) отличается от формулы главы 2 одним существенным обстоятельством. Затраты платформы не умножаются на φ: оператор несёт их с первого года независимо от числа заключённых договоров. Сумма чистых вкладов потоков равна 187,1 млн руб., затраты платформы — 69,6 млн руб., поэтому величина 117,4 млн руб. из таблицы 2.6 достигается лишь при φ = 1, то есть при полной реализации всех допустимых обменов. При реальной связности эффект заметно меньше, и именно его, а не потенциальную величину, следует сопоставлять с затратами.</w:t>
      </w:r>
    </w:p>
    <w:p>
      <w:pPr>
        <w:jc w:val="both"/>
      </w:pPr>
      <w:r>
        <w:t>Параметр среды растёт по мере накопления опыта сотрудничества: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+ 2,5·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1; </m:t>
                </m:r>
                <m:f>
                  <m:num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− 2026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10</m:t>
                    </m:r>
                  </m:den>
                </m:f>
              </m:e>
            </m:d>
          </m:e>
        </m:func>
      </m:oMath>
      <w:r>
        <w:tab/>
        <w:t>(3.32)</w:t>
      </w:r>
    </w:p>
    <w:p>
      <w:pPr>
        <w:ind w:firstLine="0"/>
        <w:jc w:val="both"/>
      </w:pPr>
      <w:r>
        <w:t>где k</w:t>
      </w:r>
      <w:r>
        <w:rPr>
          <w:vertAlign w:val="subscript"/>
        </w:rPr>
        <w:t>t</w:t>
      </w:r>
      <w:r>
        <w:t xml:space="preserve"> — параметр институциональной среды в году t; k</w:t>
      </w:r>
      <w:r>
        <w:rPr>
          <w:vertAlign w:val="subscript"/>
        </w:rPr>
        <w:t>0</w:t>
      </w:r>
      <w:r>
        <w:t xml:space="preserve"> — начальное значение (3, 5 или 7 для органической, умеренной и координируемой среды; в базовом расчёте 5); 2,5 — прирост параметра за десятилетний горизонт, принятый в симуляторе как допущение класса C.</w:t>
      </w:r>
    </w:p>
    <w:p>
      <w:pPr>
        <w:jc w:val="both"/>
      </w:pPr>
      <w:r>
        <w:t>Линейный рост k</w:t>
      </w:r>
      <w:r>
        <w:rPr>
          <w:vertAlign w:val="subscript"/>
        </w:rPr>
        <w:t>t</w:t>
      </w:r>
      <w:r>
        <w:t xml:space="preserve"> — упрощение. Д. Язан, В. Язданпанах и Л. Фраккашия на сочетании игровой и агентной модели показали, что предприятия, многократно взаимодействующие в сети,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7"/>
      </w:r>
      <w:r>
        <w:t>. Значит, скорость роста k зависит от доли договоров, исполненных без споров, и после запуска платформы должна оцениваться по формуле (2.6), а не задаваться. В симуляторе эта зависимость представлена моделью поведения «обучение», где k растёт вместе со связностью.</w:t>
      </w:r>
    </w:p>
    <w:p>
      <w:pPr>
        <w:jc w:val="both"/>
      </w:pPr>
      <w:r>
        <w:t>Динамика связности описывается последовательностью раундов решений. В каждом раунде резиденты видят связность предыдущего года и решают, участвовать ли, по условиям (3.15)–(3.16):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r>
              <w:rPr>
                <w:rFonts w:ascii="Cambria Math" w:hAnsi="Cambria Math"/>
                <w:sz w:val="28"/>
              </w:rPr>
              <m:t xml:space="preserve">θ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, 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2026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</m:oMath>
      <w:r>
        <w:tab/>
        <w:t>(3.33)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t</w:t>
      </w:r>
      <w:r>
        <w:t xml:space="preserve"> — связность, достигнутая в году t; Γ — отображение (3.17); θ — параметры механизма (α, схема распределения, σ); C</w:t>
      </w:r>
      <w:r>
        <w:rPr>
          <w:vertAlign w:val="subscript"/>
        </w:rPr>
        <w:t>0</w:t>
      </w:r>
      <w:r>
        <w:t xml:space="preserve"> — базовая связность. Один раунд в год — допущение: оно соответствует годовому циклу бюджетного планирования и заключения договоров у резидентов, но после запуска платформы длительность раунда должна быть установлена по фактическим срокам заключения договоров.</w:t>
      </w:r>
    </w:p>
    <w:p>
      <w:pPr>
        <w:jc w:val="both"/>
      </w:pPr>
      <w:r>
        <w:t>Базовая связность принята равной C</w:t>
      </w:r>
      <w:r>
        <w:rPr>
          <w:vertAlign w:val="subscript"/>
        </w:rPr>
        <w:t>0</w:t>
      </w:r>
      <w:r>
        <w:t xml:space="preserve"> = 1/130 ≈ 0,008: из 130 допустимых связей демонстрационной популяции действует одна. Объём этой связи Q</w:t>
      </w:r>
      <w:r>
        <w:rPr>
          <w:vertAlign w:val="subscript"/>
        </w:rPr>
        <w:t>0</w:t>
      </w:r>
      <w:r>
        <w:t xml:space="preserve"> = 32 тыс. т в эффект платформы не входит (формула 3.11). Популяция из 52 резидентов четырёх типов (табл. 2.12) остаётся демонстрационной: выигрыши в цене и затраты подключения заданы диапазонами § 2.6.2 и отнесены к классу C. Состав экспериментов и значения параметров сведены в таблицу 3.9.</w:t>
      </w:r>
    </w:p>
    <w:p>
      <w:pPr>
        <w:keepNext/>
        <w:ind w:firstLine="0"/>
        <w:jc w:val="right"/>
      </w:pPr>
      <w:r>
        <w:t>Таблица 3.9</w:t>
      </w:r>
    </w:p>
    <w:p>
      <w:pPr>
        <w:keepNext/>
        <w:ind w:firstLine="0"/>
        <w:jc w:val="center"/>
      </w:pPr>
      <w:r>
        <w:t>Режимы имитационного эксперимента и их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Платформа, Z</w:t>
            </w:r>
            <w:r>
              <w:rPr>
                <w:b/>
                <w:sz w:val="24"/>
                <w:vertAlign w:val="subscript"/>
              </w:rPr>
              <w:t>пл</w:t>
            </w:r>
            <w:r>
              <w:rPr>
                <w:b/>
                <w:sz w:val="24"/>
              </w:rPr>
              <w:t>, млн руб./год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Дивиденд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Компенсация σ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  <w:vertAlign w:val="subscript"/>
              </w:rPr>
              <w:t>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Источник связности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 — без платформы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нет, 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наблюдение: C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≈ 0,008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 — координация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равновесие (3.18), раунды (3.33)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 — координация и дивиденд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В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 — дивиденд и компенсация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параметры потоков — табл. 2.5–2.6, калибровка — табл. 3.7.</w:t>
      </w:r>
    </w:p>
    <w:p>
      <w:pPr>
        <w:jc w:val="both"/>
      </w:pPr>
      <w:r>
        <w:t>Режимы в таблице 3.9 различаются только институциональными параметрами. Потоки, цены и затраты платформы во всех экспериментах одни и те же, и любое расхождение результатов приходится на механизм, а не на технологию. Это прямое требование контрфактического правила главы 2. Вариант Р2σ построен на схеме А, поскольку так задан механизм компенсации в программной модели; на равновесную связность выбор схемы при равных α не влияет, что показано ниже.</w:t>
      </w:r>
    </w:p>
    <w:p>
      <w:pPr>
        <w:keepNext/>
        <w:jc w:val="both"/>
      </w:pPr>
      <w:r>
        <w:rPr>
          <w:b/>
        </w:rPr>
        <w:t>3.3.2 Три состояния экосистемы и порог окупаемости платформы</w:t>
      </w:r>
    </w:p>
    <w:p>
      <w:pPr>
        <w:jc w:val="both"/>
      </w:pPr>
      <w:r>
        <w:t>Симулятор выделяет три состояния экосистемы по индексу связности: линейное при C</w:t>
      </w:r>
      <w:r>
        <w:rPr>
          <w:vertAlign w:val="subscript"/>
        </w:rPr>
        <w:t>инд</w:t>
      </w:r>
      <w:r>
        <w:t xml:space="preserve"> &lt; 0,05, переходное при 0,05–0,15 и экосистемное свыше 0,15. В главе 1 эти пороги имели статус сценарных ориентиров, и § 2.2.3 оставил вопрос об их экономическом смысле открытым. Формула (3.31) позволяет ответить на него. Платформа окупает собственные затраты, когда ΔE(t) ≥ 0, откуда порог связности равен: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ln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пл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  <m:sup/>
                      <m:e>
                        <m:sSup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f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чист</m:t>
                            </m:r>
                          </m:sup>
                        </m:sSup>
                      </m:e>
                    </m:nary>
                  </m:den>
                </m:f>
              </m:e>
            </m:d>
          </m:e>
        </m:func>
      </m:oMath>
      <w:r>
        <w:tab/>
        <w:t>(3.34)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min</w:t>
      </w:r>
      <w:r>
        <w:t>(t) — наименьшая связность, при которой дополнительный эффект платформы неотрицателен; ln — натуральный логарифм; остальные обозначения те же, что в (3.31) и (3.32).</w:t>
      </w:r>
    </w:p>
    <w:p>
      <w:pPr>
        <w:jc w:val="both"/>
      </w:pPr>
      <w:r>
        <w:t>При базовых параметрах C</w:t>
      </w:r>
      <w:r>
        <w:rPr>
          <w:vertAlign w:val="subscript"/>
        </w:rPr>
        <w:t>min</w:t>
      </w:r>
      <w:r>
        <w:t xml:space="preserve"> = 0,089 в 2027 г. и 0,062 в 2036 г. Порог опускается, поскольку растёт k: та же сеть с опытом сотрудничества реализует большую долю потенциала. Экономическая граница лежит внутри переходного состояния и сдвигается во времени, а не совпадает с фиксированным значением 0,15. Переходное состояние получает точное содержание — это зона, где платформа уже несёт затраты, а связей ещё недостаточно для их возмещения. Л. Фраккашия на агентной модели онлайн-платформы симбиоза получил аналогичный результат: выгода пользователя растёт с числом других пользователей, и при доле участия ниже некоторого минимума платформа не даёт предприятиям дополнительной выгоды</w:t>
      </w:r>
      <w:r>
        <w:rPr>
          <w:vertAlign w:val="superscript"/>
        </w:rPr>
        <w:footnoteReference w:id="18"/>
      </w:r>
      <w:r>
        <w:t>. Показатели трёх состояний приведены в таблице 3.10.</w:t>
      </w:r>
    </w:p>
    <w:p>
      <w:pPr>
        <w:keepNext/>
        <w:ind w:firstLine="0"/>
        <w:jc w:val="right"/>
      </w:pPr>
      <w:r>
        <w:t>Таблица 3.10</w:t>
      </w:r>
    </w:p>
    <w:p>
      <w:pPr>
        <w:keepNext/>
        <w:ind w:firstLine="0"/>
        <w:jc w:val="center"/>
      </w:pPr>
      <w:r>
        <w:t>Показатели трёх состояний экосистемы в симуляторе при базовых параметрах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/>
        </w:trPr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Состояние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инд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φ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ΔE(t), млн руб.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Доля бюджета SD</w:t>
            </w:r>
            <w:r>
              <w:rPr>
                <w:b/>
                <w:sz w:val="24"/>
                <w:vertAlign w:val="subscript"/>
              </w:rPr>
              <w:t>б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min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Линейное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Переходное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0,343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−5,5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0,451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14,8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1,48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Экосистемное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0,631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4,84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1,82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0,759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7,24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2,91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 по формулам (3.31), (3.32), (3.34) и (2.11), (2.18); α = 0,10,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режим распределения фискальный.</w:t>
      </w:r>
    </w:p>
    <w:p>
      <w:pPr>
        <w:jc w:val="both"/>
      </w:pPr>
      <w:r>
        <w:t>Таблица 3.10 подтверждает, что сценарные пороги и экономическая граница расходятся. При связности 0,08 в 2027 г. экосистема находится в переходном состоянии и по шкале симулятора, и по экономическому критерию: эффект отрицателен (−5,5 млн руб.). К 2036 г. та же связность уже даёт положительный эффект 14,8 млн руб., хотя шкала симулятора по-прежнему относит её к переходному состоянию. Линейное состояние означает убыток в размере всех затрат платформы, поскольку ниже C</w:t>
      </w:r>
      <w:r>
        <w:rPr>
          <w:vertAlign w:val="subscript"/>
        </w:rPr>
        <w:t>инд</w:t>
      </w:r>
      <w:r>
        <w:t xml:space="preserve"> = 0,05 симулятор принимает φ = 0. В экосистемном состоянии эффект положителен, однако даже при C = 0,19 он составляет 41–62 % от потенциальных 117,4 млн руб.</w:t>
      </w:r>
    </w:p>
    <w:p>
      <w:pPr>
        <w:jc w:val="both"/>
      </w:pPr>
      <w:r>
        <w:t>Связь состояний с режимами эксперимента показана на рисунке 3.4. На нём нанесены кривые ΔE(C) для начала и конца горизонта, порог C</w:t>
      </w:r>
      <w:r>
        <w:rPr>
          <w:vertAlign w:val="subscript"/>
        </w:rPr>
        <w:t>min</w:t>
      </w:r>
      <w:r>
        <w:t xml:space="preserve"> и равновесные точки режимов, найденные в п. 3.3.3.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2353"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4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3.4 – Три состояния экосистемы, порог окупаемости платформы и равновесия режимов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на симуляторе [34] по формулам (3.31), (3.34); равновесия — по (3.18).</w:t>
      </w:r>
    </w:p>
    <w:p>
      <w:pPr>
        <w:jc w:val="both"/>
      </w:pPr>
      <w:r>
        <w:t>Рисунок 3.4 показывает главное: режим Р0 находится в линейном состоянии, а равновесия режимов с платформой — в экосистемном, справа от порога C</w:t>
      </w:r>
      <w:r>
        <w:rPr>
          <w:vertAlign w:val="subscript"/>
        </w:rPr>
        <w:t>min</w:t>
      </w:r>
      <w:r>
        <w:t xml:space="preserve">. Между ними лежит переходная зона, которую сеть должна пройти и в которой платформа работает в убыток. Чем выше k, тем левее порог и тем короче этот участок. Скриншоты симулятора для трёх состояний приведены в приложении (рис. А.1–А.3); на них видно, как при пересечении границ меняются граф потоков, дивиденд и его распределение.</w:t>
      </w:r>
    </w:p>
    <w:p>
      <w:pPr>
        <w:keepNext/>
        <w:jc w:val="both"/>
      </w:pPr>
      <w:r>
        <w:rPr>
          <w:b/>
        </w:rPr>
        <w:t>3.3.3 Равновесная связность режимов и информационный барьер</w:t>
      </w:r>
    </w:p>
    <w:p>
      <w:pPr>
        <w:jc w:val="both"/>
      </w:pPr>
      <w:r>
        <w:t>Равновесия режимов найдены по формуле (3.18) для модели поведения «близорукий порог» (условие 3.15). Результаты для трёх контрольных лет сведены в таблицу 3.11. Для режима Р0 приведены две строки: модельное равновесие при условии, что резиденты знают о выгодных обменах и без платформы, и наблюдаемое состояние.</w:t>
      </w:r>
    </w:p>
    <w:p>
      <w:pPr>
        <w:keepNext/>
        <w:ind w:firstLine="0"/>
        <w:jc w:val="right"/>
      </w:pPr>
      <w:r>
        <w:t>Таблица 3.11</w:t>
      </w:r>
    </w:p>
    <w:p>
      <w:pPr>
        <w:keepNext/>
        <w:ind w:firstLine="0"/>
        <w:jc w:val="center"/>
      </w:pPr>
      <w:r>
        <w:t>Равновесная связность и результаты режимов экоплатформы в 2027, 2030 и 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/>
        </w:trPr>
        <w:tc>
          <w:tcPr>
            <w:tcW w:type="dxa" w:w="190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**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Резиденты (связи)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</w:t>
            </w:r>
            <w:r>
              <w:rPr>
                <w:b/>
                <w:sz w:val="24"/>
                <w:vertAlign w:val="subscript"/>
              </w:rPr>
              <w:t>C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ΔE, млн руб.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наблюдение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2027–2036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 (1)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модель без барьера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0,181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0,011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79,1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49,7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4,05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1,49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0,046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58,4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5,84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2,26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7,32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2,95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54,6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5,46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63,6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6,36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1,91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78,0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7,80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2,34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 по формулам (3.15)–(3.21), (3.31); C</w:t>
      </w:r>
      <w:r>
        <w:rPr>
          <w:sz w:val="24"/>
          <w:vertAlign w:val="superscript"/>
        </w:rPr>
        <w:t>*</w:t>
      </w:r>
      <w:r>
        <w:rPr>
          <w:sz w:val="24"/>
        </w:rPr>
        <w:t xml:space="preserve"> — по условию (2.13); для Р2σ бюджетные затраты Z = 2,61 млн руб. в год.</w:t>
      </w:r>
    </w:p>
    <w:p>
      <w:pPr>
        <w:jc w:val="both"/>
      </w:pPr>
      <w:r>
        <w:t>Первое, что обнаруживает таблица 3.11, — противоречие между моделью и наблюдением в режиме Р0. Если резиденты знают о выгодных обменах, модель предсказывает, что 13 из них заключат 22 связи без всякой платформы, и сеть сама дойдёт до связности 0,169. В действительности по таблице 2.1 действует одна связь. Модель, в которой выигрыш в цене и затраты подключения исчерпывают условия участия, наблюдаемого состояния не воспроизводит. Не хватает того, что глава 2 назвала информационным и контрактным препятствиями: поиска контрагента, проверки качества ресурса, согласования договора. Величину такого барьера можно оценить обратным расчётом: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 : </m:t>
                </m:r>
                <m:s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**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+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</m:e>
            </m:d>
          </m:e>
        </m:func>
      </m:oMath>
      <w:r>
        <w:tab/>
        <w:t>(3.35)</w:t>
      </w:r>
    </w:p>
    <w:p>
      <w:pPr>
        <w:ind w:firstLine="0"/>
        <w:jc w:val="both"/>
      </w:pPr>
      <w:r>
        <w:t>где x</w:t>
      </w:r>
      <w:r>
        <w:rPr>
          <w:vertAlign w:val="subscript"/>
        </w:rPr>
        <w:t>min</w:t>
      </w:r>
      <w:r>
        <w:t xml:space="preserve"> — наименьшие дополнительные годовые затраты резидента на поиск и заключение договора, при которых равновесие без платформы совпадает с наблюдаемой связностью, млн руб.; θ</w:t>
      </w:r>
      <w:r>
        <w:rPr>
          <w:vertAlign w:val="subscript"/>
        </w:rPr>
        <w:t>0</w:t>
      </w:r>
      <w:r>
        <w:t xml:space="preserve"> — параметры без платформы и мер поддержки; c</w:t>
      </w:r>
      <w:r>
        <w:rPr>
          <w:vertAlign w:val="subscript"/>
        </w:rPr>
        <w:t>j</w:t>
      </w:r>
      <w:r>
        <w:t xml:space="preserve"> — затраты подключения резидента j.</w:t>
      </w:r>
    </w:p>
    <w:p>
      <w:pPr>
        <w:jc w:val="both"/>
      </w:pPr>
      <w:r>
        <w:t>Расчёт даёт x</w:t>
      </w:r>
      <w:r>
        <w:rPr>
          <w:vertAlign w:val="subscript"/>
        </w:rPr>
        <w:t>min</w:t>
      </w:r>
      <w:r>
        <w:t xml:space="preserve"> = 1,75 млн руб. в год на резидента. Для сравнения: выигрыш естественного партнёра (тип A) в двусторонней сделке составляет 1,0–2,1 млн руб., его затраты подключения — 0,3–0,5 млн руб. Барьер оказывается того же порядка, что и выигрыш, и именно поэтому выгодные обмены не начинаются. Оценка имеет смысл только как нижняя граница: при более высоком барьере наблюдение воспроизводится так же. Для оператора она задаёт измеримую цель — снизить затраты резидента на поиск и согласование хотя бы на эту величину.</w:t>
      </w:r>
    </w:p>
    <w:p>
      <w:pPr>
        <w:jc w:val="both"/>
      </w:pPr>
      <w:r>
        <w:t>Оценка барьера определяет и то, можно ли вообще считать платформу полезной. Если барьер мал и резиденты договорились бы между собой, режим Р0 даёт эффект 79,1 млн руб. в 2027 г. без затрат на оператора, то есть больше, чем Р1 и Р2 (40,5 млн руб.). Расчёт тем же приёмом, что и в (3.35), но с критерием равенства эффектов режимов, показывает, что платформа превосходит двусторонние сделки, только если барьер не ниже 0,9–1,05 млн руб. в год на резидента. Это первое условие опровержения результатов параграфа. Если обследование покажет, что резиденты тратят на поиск и согласование договора заметно меньше 1 млн руб. в год, а обмены всё равно не начинаются, причина лежит вне информационного барьера, и вклад платформы требует пересмотра.</w:t>
      </w:r>
    </w:p>
    <w:p>
      <w:pPr>
        <w:jc w:val="both"/>
      </w:pPr>
      <w:r>
        <w:t>Второе наблюдение касается дивиденда. В 2027 г. равновесная связность режимов Р1 и Р2 одинакова (0,169): дивиденд не привлекает ни одного дополнительного резидента. К 2030 г., когда k вырастает до 6, дивиденд добавляет двух участников, но в 2036 г. режим Р1 догоняет Р2 за счёт роста k. Компенсация σ действует иначе: уже в 2027 г. она поднимает связность до 0,208 и добавляет четырёх резидентов, в том числе трёх «осторожных» (тип C), при бюджетных затратах 2,61 млн руб. в год. Цена закрытия разрыва по формуле (3.22) для схемы В составляет 2,26 млн руб. в 2027 г. и снижается до 1,30 млн руб. к 2036 г.; целевая связность Ĉ = 0,205 лежит между C</w:t>
      </w:r>
      <w:r>
        <w:rPr>
          <w:vertAlign w:val="superscript"/>
        </w:rPr>
        <w:t>**</w:t>
      </w:r>
      <w:r>
        <w:t xml:space="preserve"> и C</w:t>
      </w:r>
      <w:r>
        <w:rPr>
          <w:vertAlign w:val="superscript"/>
        </w:rPr>
        <w:t>*</w:t>
      </w:r>
      <w:r>
        <w:t>. Схемы А и В при α = 0,10 дают одинаковую равновесную связность во все три года и различаются только долей бюджета (табл. 3.14). На вкладке «Двухуровневая модель» симулятора те же величины выводятся для 2026 г. при k = 5: Ĉ = 0,204, Z</w:t>
      </w:r>
      <w:r>
        <w:rPr>
          <w:vertAlign w:val="subscript"/>
        </w:rPr>
        <w:t>min</w:t>
      </w:r>
      <w:r>
        <w:t xml:space="preserve"> = 2,43 млн руб. (рис. П.4).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3.11 рассчитана для одной модели поведения резидентов. Чтобы проверить, не задаётся ли вывод о преимуществе σ этим допущением, равновесия пересчитаны ещё для трёх моделей. «Дальновидный» резидент оценивает выигрыш (3.15) не при текущей связности, а при ожидаемой, превышающей текущую на 0,05. При «обучении» коэффициент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растёт вместе с достигнутой связностью,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*t*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min(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+ 4·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9), что передаёт механизм, описанный Д. Язаном и соавторами (§ 3.2.3). При «подражании» затраты подключения резидента снижаются на 40 % доли участников его типа, уже вошедших в сеть: пример соседей уменьшает затраты на проверку партнёра. Эталоном служит планировщик, выбирающий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vertAlign w:val="superscript"/>
          <w:sz w:val="28"/>
          <w:szCs w:val="28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без учёта стимулов.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сравнение включён ещё один механизм – доверительное управление данными (Р2д), функции которого описаны в § 3.5.1. Его действие представлено снижением затрат подключения резидентов типов B и C на 30 %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× 0,7): у партнёров-конкурентов и «осторожных» резидентов основную часть этих затрат составляют подготовка и раскрытие сведений о потоках, а управляющий раскрывает партнёрам только результат расчёта совместимости. Затраты на содержание управляющего приняты постоянными, 3 млн руб. в год, дивиденд делится по схеме А. Оба параметра относятся к классу C и после запуска подлежат замене фактическими.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Устойчивость выбора механизма оценена методом Монте-Карло, 1000 испытаний для 2027 г. В каждом испытании выигрыши и затраты подключения резидентов умножались на случайные множители в пределах ±25 %,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менялся на ±1, вклады потоков и затраты платформы – на ±20 %. Лучшим признавался механизм с наибольшим общественным выигрышем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(3.20); при равенстве выигрышей испытание делилось между механизмами поровну. Этот эксперимент отличается от расчёта § 3.3.4: там при фиксированном механизме оцениваются риски, здесь при фиксированных рисках сравниваются механизмы. Результаты сведены в таблицу 3.11а.</w:t>
      </w:r>
    </w:p>
    <w:p>
      <w:pPr>
        <w:keepNext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3.11а</w:t>
      </w:r>
    </w:p>
    <w:p>
      <w:pPr>
        <w:keepNext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Равновесная связность и доля испытаний, в которых механизм лучший, при разных моделях поведения резидентов, 2027 г.</w:t>
      </w:r>
    </w:p>
    <w:tbl>
      <w:tblPr>
        <w:tblStyle w:val="TableGrid"/>
        <w:tblW w:type="dxa" w:w="9250"/>
        <w:tblLayout w:type="fixed"/>
        <w:jc w:val="center"/>
        <w:tblLook w:firstColumn="1" w:firstRow="1" w:lastColumn="0" w:lastRow="0" w:noHBand="0" w:noVBand="1" w:val="04A0"/>
      </w:tblPr>
      <w:tblGrid>
        <w:gridCol w:w="205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0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Механизм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Близорукий порог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Дальновидный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Обучение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Подражание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Р0, модель без барьера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0,0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0,0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0,0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0,185 / 0,0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Р1, координация без дивиденда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2,1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2,9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2,6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0,185 / 3,1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Р2, дивиденд, схема А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4,2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6,2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5,2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5,5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Р2, дивиденд, схема Б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4,6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7,1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5,7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5,8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Р2, дивиденд, схема В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3,2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4,5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3,8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0,185 / 4,3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Р2σ, компенсация σ = 0,3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81,3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63,4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71,3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54,4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Р2д, доверительное управление данными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4,7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16,0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11,5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26,9</w:t>
            </w:r>
          </w:p>
        </w:tc>
      </w:tr>
    </w:tbl>
    <w:p>
      <w:pPr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рассчитано автором на симуляторе [34] по формулам (3.15)–(3.20), (2.20′). В ячейке: равновесная связность C</w:t>
      </w:r>
      <w:r>
        <w:rPr>
          <w:rFonts w:ascii="Times New Roman" w:cs="Times New Roman" w:eastAsia="Times New Roman" w:hAnsi="Times New Roman"/>
          <w:vertAlign w:val="superscript"/>
          <w:sz w:val="24"/>
          <w:szCs w:val="24"/>
        </w:rPr>
        <w:t xml:space="preserve">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доля испытаний Монте-Карло, %, в которых механизм даёт наибольший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Планировщик при всех механизмах выбирает C</w:t>
      </w:r>
      <w:r>
        <w:rPr>
          <w:rFonts w:ascii="Times New Roman" w:cs="Times New Roman" w:eastAsia="Times New Roman" w:hAnsi="Times New Roman"/>
          <w:vertAlign w:val="superscript"/>
          <w:sz w:val="24"/>
          <w:szCs w:val="24"/>
        </w:rPr>
        <w:t xml:space="preserve">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0,244.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3.11а уточняет один вывод таблицы 3.11 и подтверждает другой. Нулевое действие дивиденда в 2027 г. оказалось свойством близорукого поведения: если резиденты учитывают ожидаемый рост сети или обучаются, дивиденд уже в первый год поднимает связность с 0,169 до 0,192, то есть привлекает двух участников. Это верхняя граница интервала «0–2 резидента», приведённого в таблице 3.14. Преимущество компенсации σ от модели поведения не зависит: она даёт наибольшую связность при всех четырёх моделях и наибольший выигрыш в 54–81 % испытаний. Доверительное управление приводит сеть к той же связности 0,208, но в детерминированном расчёте уступает σ из-за более высоких затрат (3 против 2,61 млн руб. в год). Его доля побед заметно растёт только при подражании, до 27 %. Отсюда условие опровержения: если после запуска резиденты типов B и C, получившие доступ к доверительному управлению, подключаются не чаще, чем без него, коэффициент 0,7 завышает действие механизма, и Р2д следует исключить из числа рассматриваемых.</w:t>
      </w:r>
    </w:p>
    <w:p>
      <w:pPr>
        <w:jc w:val="both"/>
      </w:pPr>
      <w:r>
        <w:t>Как сеть приходит к равновесию, показывают траектории на рисунке 3.5. Расчёт выполнен по (3.33) из состояния C</w:t>
      </w:r>
      <w:r>
        <w:rPr>
          <w:vertAlign w:val="subscript"/>
        </w:rPr>
        <w:t>0</w:t>
      </w:r>
      <w:r>
        <w:t xml:space="preserve"> с одним раундом решений в год.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823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5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3.5 – Траектории дополнительного эффекта ΔE(t) в режимах Р1, Р2 и Р2σ, 2027–2036 гг.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на симуляторе [34] по формулам (3.31)–(3.33).</w:t>
      </w:r>
    </w:p>
    <w:p>
      <w:pPr>
        <w:jc w:val="both"/>
      </w:pPr>
      <w:r>
        <w:t>На рисунке 3.5 видно, что в первый год все режимы проходят через порог окупаемости: связность 0,092 почти совпадает с C</w:t>
      </w:r>
      <w:r>
        <w:rPr>
          <w:vertAlign w:val="subscript"/>
        </w:rPr>
        <w:t>min</w:t>
      </w:r>
      <w:r>
        <w:t xml:space="preserve"> = 0,089, и эффект близок к нулю (2,2 млн руб.). Со второго года режимы расходятся. Р2σ сразу выходит на более высокую траекторию и удерживает разрыв 5–14 млн руб. в год до конца горизонта. Р2 отличается от Р1 только в 2030–2031 гг. Приведённая стоимость эффекта за 2027–2036 гг. при ставке 10 % составляет 302 млн руб. для Р1, 308 млн руб. для Р2 и 333 млн руб. для Р2σ за вычетом бюджетных затрат на компенсацию. Это примерно вдвое меньше 676 млн руб. главы 2. Разница объясняется не ошибкой расчёта, а тем, что глава 2 оценивала полную реализацию потоков, а здесь учтена равновесная связность.</w:t>
      </w:r>
    </w:p>
    <w:p>
      <w:pPr>
        <w:keepNext/>
        <w:jc w:val="both"/>
      </w:pPr>
      <w:r>
        <w:rPr>
          <w:b/>
        </w:rPr>
        <w:t>3.3.4 Риски режимов: вероятностная оценка</w:t>
      </w:r>
    </w:p>
    <w:p>
      <w:pPr>
        <w:jc w:val="both"/>
      </w:pPr>
      <w:r>
        <w:t>Детерминированные траектории зависят от параметров, большинство которых отнесено к классу C. Чтобы оценить, при каких их сочетаниях эффект меняет знак, проведён расчёт методом Монте-Карло: 5000 испытаний для каждого сценария. В каждом испытании выигрыши и затраты подключения резидентов умножались на случайные множители в пределах ±25 %, k</w:t>
      </w:r>
      <w:r>
        <w:rPr>
          <w:vertAlign w:val="subscript"/>
        </w:rPr>
        <w:t>0</w:t>
      </w:r>
      <w:r>
        <w:t xml:space="preserve"> выбирался равномерно из интервала 4–6, параметры потоков и затраты платформы — по треугольным распределениям с границами таблицы 2.5, вероятность простоя якоря — по треугольному распределению с модой 0,05 и границами 0,028–0,094 (п. 3.1.7). Ожидаемый эффект учитывает риск остановки якоря: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E</m:t>
            </m:r>
          </m:e>
          <m:sup>
            <m:r>
              <w:rPr>
                <w:rFonts w:ascii="Cambria Math" w:hAnsi="Cambria Math"/>
                <w:sz w:val="28"/>
              </w:rPr>
              <m:t xml:space="preserve">π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**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/>
                    <w:sz w:val="28"/>
                  </w:rPr>
                  <m:t xml:space="preserve">f</m:t>
                </m:r>
              </m:sub>
              <m:sup/>
              <m:e>
                <m:sSup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чист</m:t>
                    </m:r>
                  </m:sup>
                </m:sSup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CO₂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вал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(3.36)</w:t>
      </w:r>
    </w:p>
    <w:p>
      <w:pPr>
        <w:ind w:firstLine="0"/>
        <w:jc w:val="both"/>
      </w:pPr>
      <w:r>
        <w:t>где ΔE</w:t>
      </w:r>
      <w:r>
        <w:rPr>
          <w:vertAlign w:val="superscript"/>
        </w:rPr>
        <w:t>π</w:t>
      </w:r>
      <w:r>
        <w:t>(t) — ожидаемый дополнительный эффект с учётом риска остановки якоря, млн руб.; C</w:t>
      </w:r>
      <w:r>
        <w:rPr>
          <w:vertAlign w:val="superscript"/>
        </w:rPr>
        <w:t>**</w:t>
      </w:r>
      <w:r>
        <w:t xml:space="preserve"> — равновесная связность испытания; π</w:t>
      </w:r>
      <w:r>
        <w:rPr>
          <w:vertAlign w:val="subscript"/>
        </w:rPr>
        <w:t>A</w:t>
      </w:r>
      <w:r>
        <w:t xml:space="preserve"> — доля периода, в течение которой «Азот» не поставляет CO</w:t>
      </w:r>
      <w:r>
        <w:rPr>
          <w:vertAlign w:val="subscript"/>
        </w:rPr>
        <w:t>2</w:t>
      </w:r>
      <w:r>
        <w:t>; E</w:t>
      </w:r>
      <w:r>
        <w:rPr>
          <w:vertAlign w:val="subscript"/>
        </w:rPr>
        <w:t>CO₂</w:t>
      </w:r>
      <w:r>
        <w:rPr>
          <w:vertAlign w:val="superscript"/>
        </w:rPr>
        <w:t>вал</w:t>
      </w:r>
      <w:r>
        <w:t xml:space="preserve"> — валовая экономия по потоку CO</w:t>
      </w:r>
      <w:r>
        <w:rPr>
          <w:vertAlign w:val="subscript"/>
        </w:rPr>
        <w:t>2</w:t>
      </w:r>
      <w:r>
        <w:t>, млн руб.; аннуитет вложений в узел CO</w:t>
      </w:r>
      <w:r>
        <w:rPr>
          <w:vertAlign w:val="subscript"/>
        </w:rPr>
        <w:t>2</w:t>
      </w:r>
      <w:r>
        <w:t xml:space="preserve"> сохраняется и во время остановки.</w:t>
      </w:r>
    </w:p>
    <w:p>
      <w:pPr>
        <w:jc w:val="both"/>
      </w:pPr>
      <w:r>
        <w:t>Вероятность события по результатам испытаний оценивается частотой: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A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r>
              <w:rPr>
                <w:rFonts w:ascii="Cambria Math" w:hAnsi="Cambria Math"/>
                <w:sz w:val="28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r>
              <w:rPr>
                <w:rFonts w:ascii="Cambria Math" w:hAnsi="Cambria Math"/>
                <w:sz w:val="28"/>
              </w:rPr>
              <m:t xml:space="preserve">N</m:t>
            </m:r>
          </m:sup>
          <m:e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n</m:t>
                    </m:r>
                  </m:sub>
                </m:sSub>
              </m:e>
            </m:d>
          </m:e>
        </m:nary>
      </m:oMath>
      <w:r>
        <w:tab/>
        <w:t>(3.37)</w:t>
      </w:r>
    </w:p>
    <w:p>
      <w:pPr>
        <w:ind w:firstLine="0"/>
        <w:jc w:val="both"/>
      </w:pPr>
      <w:r>
        <w:t>где P̂(A) — оценка вероятности события A (например, ΔE</w:t>
      </w:r>
      <w:r>
        <w:rPr>
          <w:vertAlign w:val="superscript"/>
        </w:rPr>
        <w:t>π</w:t>
      </w:r>
      <w:r>
        <w:t xml:space="preserve"> &gt; 0 или C</w:t>
      </w:r>
      <w:r>
        <w:rPr>
          <w:vertAlign w:val="superscript"/>
        </w:rPr>
        <w:t>**</w:t>
      </w:r>
      <w:r>
        <w:t xml:space="preserve"> ≥ C</w:t>
      </w:r>
      <w:r>
        <w:rPr>
          <w:vertAlign w:val="subscript"/>
        </w:rPr>
        <w:t>min</w:t>
      </w:r>
      <w:r>
        <w:t>); N — число испытаний; I[A</w:t>
      </w:r>
      <w:r>
        <w:rPr>
          <w:vertAlign w:val="subscript"/>
        </w:rPr>
        <w:t>n</w:t>
      </w:r>
      <w:r>
        <w:t>] — индикатор, равный единице, если событие произошло в испытании n.</w:t>
      </w:r>
    </w:p>
    <w:p>
      <w:pPr>
        <w:jc w:val="both"/>
      </w:pPr>
      <w:r>
        <w:t>Кроме базовых условий рассмотрены три сценария опасностей. Два из них связаны с якорем: простой «Азота» на 30 и 60 дней в году (остановка 14 июня 2025 г. подтверждена, её длительность не раскрыта, п. 3.1.6). Третий связан с рынком углекислоты: половина поставок резидентам оказывается переключением прежних покупателей, и прирост совокупных продаж уменьшается вдвое (формула 3.11). Результаты приведены в таблице 3.12.</w:t>
      </w:r>
    </w:p>
    <w:p>
      <w:pPr>
        <w:keepNext/>
        <w:ind w:firstLine="0"/>
        <w:jc w:val="right"/>
      </w:pPr>
      <w:r>
        <w:t>Таблица 3.12</w:t>
      </w:r>
    </w:p>
    <w:p>
      <w:pPr>
        <w:keepNext/>
        <w:ind w:firstLine="0"/>
        <w:jc w:val="center"/>
      </w:pPr>
      <w:r>
        <w:t>Вероятностные характеристики режимов Р2 и Р2σ в сценариях опасностей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28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Среднее 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5–95 %, млн руб.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 xml:space="preserve"> &gt; 0)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P̂(C</w:t>
            </w:r>
            <w:r>
              <w:rPr>
                <w:b/>
                <w:sz w:val="24"/>
                <w:vertAlign w:val="superscript"/>
              </w:rPr>
              <w:t>**</w:t>
            </w:r>
            <w:r>
              <w:rPr>
                <w:b/>
                <w:sz w:val="24"/>
              </w:rPr>
              <w:t xml:space="preserve"> ≥ C</w:t>
            </w:r>
            <w:r>
              <w:rPr>
                <w:b/>
                <w:sz w:val="24"/>
                <w:vertAlign w:val="subscript"/>
              </w:rPr>
              <w:t>min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2027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34,6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8,5…63,2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42,7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15,5…72,7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1,35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17,5…73,9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1,80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52,2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24,3…82,5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30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41,3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14,7…70,3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48,8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21,2…78,6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60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38,1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12,0…66,7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0,993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45,4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18,2…74,8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1,42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25,3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0,9…52,3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0,961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31,7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6,0…59,6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0,981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автором; 5000 испытаний на сценарий, генератор с фиксированным начальным числом.</w:t>
      </w:r>
    </w:p>
    <w:p>
      <w:pPr>
        <w:jc w:val="both"/>
      </w:pPr>
      <w:r>
        <w:t>Таблица 3.12 ранжирует опасности по силе воздействия. Простой якоря, вопреки ожиданию, наименее опасен: 60 дней остановки снижают средний эффект на 6,3 млн руб., а вероятность положительного эффекта остаётся выше 0,99. Причина в том, что поток CO</w:t>
      </w:r>
      <w:r>
        <w:rPr>
          <w:vertAlign w:val="subscript"/>
        </w:rPr>
        <w:t>2</w:t>
      </w:r>
      <w:r>
        <w:t xml:space="preserve"> даёт лишь часть эффекта, а тепло ГРЭС, вторичное сырьё и плата за НВОС от остановки «Азота» не зависят. Переключение покупателей углекислоты опаснее остановки в несколько раз. Средний эффект падает на 19 млн руб., порог окупаемости поднимается в среднем до 0,115, а в 4 % испытаний режим Р2 остаётся ниже порога. Опасность создаёт рынок углекислоты, а не технология якоря, и обнаружить её оператор может только по совокупным отгрузкам CO</w:t>
      </w:r>
      <w:r>
        <w:rPr>
          <w:vertAlign w:val="subscript"/>
        </w:rPr>
        <w:t>2</w:t>
      </w:r>
      <w:r>
        <w:t xml:space="preserve"> всем покупателям.</w:t>
      </w:r>
    </w:p>
    <w:p>
      <w:pPr>
        <w:jc w:val="both"/>
      </w:pPr>
      <w:r>
        <w:t>Распределения эффекта для всех сценариев показаны на рисунке 3.6.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6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6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3.6 – Интервалы ожидаемого эффекта ΔE^π режимов Р2 и Р2σ в сценариях опасностей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данным таблицы 3.12.</w:t>
      </w:r>
    </w:p>
    <w:p>
      <w:pPr>
        <w:jc w:val="both"/>
      </w:pPr>
      <w:r>
        <w:t>Рисунок 3.6 показывает, что компенсация σ сдвигает весь интервал вправо на 6–8 млн руб. во всех сценариях и сильнее всего защищает от переключения покупателей: нижняя граница интервала Р2σ остаётся положительной (6,0 млн руб.), тогда как у Р2 она подходит к нулю. Для бюджета это довод в пользу σ как меры, снижающей риск, а не только ускоряющей рост сети.</w:t>
      </w:r>
    </w:p>
    <w:p>
      <w:pPr>
        <w:jc w:val="both"/>
      </w:pPr>
      <w:r>
        <w:t>Одна опасность не зависит ни от сценария, ни от режима. Ни в одном из 25 000 испытаний доля публичного получателя не покрыла потребность в ликвидации накопленного ущерба: 95-й процентиль γ</w:t>
      </w:r>
      <w:r>
        <w:rPr>
          <w:vertAlign w:val="subscript"/>
        </w:rPr>
        <w:t>пуб</w:t>
      </w:r>
      <w:r>
        <w:t>·SD не превышает 3 млн руб., максимум в базовом сценарии 2030 г. — 4,2 млн руб. при C</w:t>
      </w:r>
      <w:r>
        <w:rPr>
          <w:vertAlign w:val="subscript"/>
        </w:rPr>
        <w:t>ликв</w:t>
      </w:r>
      <w:r>
        <w:t xml:space="preserve"> = 16,0–20,5 млн руб. Недостающая сумма определяется как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треб</m:t>
            </m:r>
          </m:sup>
        </m:sSub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ликв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пуб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(3.38)</w:t>
      </w:r>
    </w:p>
    <w:p>
      <w:pPr>
        <w:ind w:firstLine="0"/>
        <w:jc w:val="both"/>
      </w:pPr>
      <w:r>
        <w:t>где B</w:t>
      </w:r>
      <w:r>
        <w:rPr>
          <w:vertAlign w:val="subscript"/>
        </w:rPr>
        <w:t>внеш</w:t>
      </w:r>
      <w:r>
        <w:rPr>
          <w:vertAlign w:val="superscript"/>
        </w:rPr>
        <w:t>треб</w:t>
      </w:r>
      <w:r>
        <w:t>(t) — средства на ликвидацию накопленного ущерба, которые необходимо получить вне дивиденда, млн руб.; C</w:t>
      </w:r>
      <w:r>
        <w:rPr>
          <w:vertAlign w:val="subscript"/>
        </w:rPr>
        <w:t>ликв</w:t>
      </w:r>
      <w:r>
        <w:t>(t) — годовая потребность (класс C); γ</w:t>
      </w:r>
      <w:r>
        <w:rPr>
          <w:vertAlign w:val="subscript"/>
        </w:rPr>
        <w:t>пуб</w:t>
      </w:r>
      <w:r>
        <w:t>(C) — доля публичного получателя по выбранной схеме.</w:t>
      </w:r>
    </w:p>
    <w:p>
      <w:pPr>
        <w:jc w:val="both"/>
      </w:pPr>
      <w:r>
        <w:t>По таблице 3.11 внешний источник должен покрывать 86–91 % потребности в режимах с дивидендом и всю потребность в режиме Р1. Гипотеза главы 2 о недостаточности дивиденда подтверждается на всём диапазоне параметров. Это не довод против дивиденда, а указание на его роль: он стимулирует участие и финансирует общие функции, а ликвидация ущерба требует отдельного контура финансирования (§ 3.5).</w:t>
      </w:r>
    </w:p>
    <w:p>
      <w:pPr>
        <w:jc w:val="both"/>
      </w:pPr>
      <w:r>
        <w:t>Опасности, связанные с выбросами якоря, требуют отдельного разговора, поскольку их масштаб несопоставим с эффектом платформы. Сопоставление дано в таблице 3.13. Выбросы «Азота» взяты из п. 3.1.4–3.1.6 для двух вариантов оценки N</w:t>
      </w:r>
      <w:r>
        <w:rPr>
          <w:vertAlign w:val="subscript"/>
        </w:rPr>
        <w:t>2</w:t>
      </w:r>
      <w:r>
        <w:t>O, цена выбросов 1000 руб./т CO</w:t>
      </w:r>
      <w:r>
        <w:rPr>
          <w:vertAlign w:val="subscript"/>
        </w:rPr>
        <w:t>2</w:t>
      </w:r>
      <w:r>
        <w:t>-экв. с 2030 г. и рост на 10 % в год — сценарные значения вкладки «Бенефициары и стратегии» симулятора.</w:t>
      </w:r>
    </w:p>
    <w:p>
      <w:pPr>
        <w:keepNext/>
        <w:ind w:firstLine="0"/>
        <w:jc w:val="right"/>
      </w:pPr>
      <w:r>
        <w:t>Таблица 3.13</w:t>
      </w:r>
    </w:p>
    <w:p>
      <w:pPr>
        <w:keepNext/>
        <w:ind w:firstLine="0"/>
        <w:jc w:val="center"/>
      </w:pPr>
      <w:r>
        <w:t>Углеродный профиль якорного предприятия и вклад экоплатформы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9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без очистки (вариант B)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с очисткой (вариант A)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Выбросы «Азота», 2026 г.,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4 208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2 301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Сокращение за счёт передачи 12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при κ = 0,2, тыс. т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% выбросов якоря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0,42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Углеродные платежи при цене 1000 руб./т, 2030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4 198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2 291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2036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7 438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4 059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платежей 2030 г. к ΔE режима Р2 (58,4 млн руб.)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Допустимый прирост выпуска по (3.29): только прирост продаж (u = 0,009),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 с учётом действующих продаж (u = 0,034),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данным § 3.1 (табл. 3.2–3.3) и формулам (3.28)–(3.29); вычет переданного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μ = 0 (п. 3.1.8).</w:t>
      </w:r>
    </w:p>
    <w:p>
      <w:pPr>
        <w:jc w:val="both"/>
      </w:pPr>
      <w:r>
        <w:t>Из таблицы 3.13 следуют два вывода, которые меняют представление о «зелёной» стороне проекта. Первый: экоплатформа не является инструментом декарбонизации якоря. Она сокращает его выбросы на 0,2–0,4 %, а возможные углеродные платежи превышают её годовой эффект в 39–72 раза. Если такой платёж появится, его величину определит выпуск и очистка N</w:t>
      </w:r>
      <w:r>
        <w:rPr>
          <w:vertAlign w:val="subscript"/>
        </w:rPr>
        <w:t>2</w:t>
      </w:r>
      <w:r>
        <w:t>O на агрегатах азотной кислоты, а не симбиоз. Второй: условие отсутствия эффекта отдачи (3.29) настолько жёсткое, что проверить его по годовым данным нельзя. Допустимый прирост выпуска (0,74–2,8 %) в 2,6–10 раз меньше стандартного отклонения остатков σ</w:t>
      </w:r>
      <w:r>
        <w:rPr>
          <w:vertAlign w:val="subscript"/>
        </w:rPr>
        <w:t>ε</w:t>
      </w:r>
      <w:r>
        <w:t xml:space="preserve"> = 0,073. Углеродный сценарий передаётся в § 3.4, проверка эффекта отдачи — в перечень месячных данных § 3.5.</w:t>
      </w:r>
    </w:p>
    <w:p>
      <w:pPr>
        <w:jc w:val="both"/>
      </w:pPr>
      <w:r>
        <w:t>Риск остановки якоря затрагивает и распределение эффекта. По формуле (3.25) доля «Азота» в векторе Шепли (29,4 млн руб. при s = 0,3) уменьшается в (1 − π</w:t>
      </w:r>
      <w:r>
        <w:rPr>
          <w:vertAlign w:val="subscript"/>
        </w:rPr>
        <w:t>A</w:t>
      </w:r>
      <w:r>
        <w:t>) раз и при π</w:t>
      </w:r>
      <w:r>
        <w:rPr>
          <w:vertAlign w:val="subscript"/>
        </w:rPr>
        <w:t>A</w:t>
      </w:r>
      <w:r>
        <w:t xml:space="preserve"> от 0,028 до 0,094 составляет 26,6–28,6 млн руб. Разница 0,8–2,8 млн руб. переходит к участникам, чьи связи не зависят от якоря. Такое правило согласуется с риск-скорректированным вектором Шепли, предложенным для межзаводской теплоинтеграции</w:t>
      </w:r>
      <w:r>
        <w:rPr>
          <w:vertAlign w:val="superscript"/>
        </w:rPr>
        <w:footnoteReference w:id="19"/>
      </w:r>
      <w:r>
        <w:t xml:space="preserve">; Ю. Тянь и Ш. Ли показали для той же задачи, что ограничения устойчивости коалиции можно выдержать при любой вероятности внеплановой остановки [69].</w:t>
      </w:r>
    </w:p>
    <w:p>
      <w:pPr>
        <w:keepNext/>
        <w:jc w:val="both"/>
      </w:pPr>
      <w:r>
        <w:rPr>
          <w:b/>
        </w:rPr>
        <w:t>3.3.5 Выигрыши и их распределение между участниками и бюджетами</w:t>
      </w:r>
    </w:p>
    <w:p>
      <w:pPr>
        <w:jc w:val="both"/>
      </w:pPr>
      <w:r>
        <w:t>Вопрос о том, кто выигрывает, решается балансом бенефициаров. Платформа создаёт новую стоимость только в размере ΔE(t). Цена обмена, дивиденд, налоги, компенсация σ и межбюджетные трансферты лишь перемещают её между участниками. Плата за НВОС — особый случай: предприятия её не платят, бюджет её не получает. Поэтому сумма чистых выигрышей всех бенефициаров замыкается так: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b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NB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b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Δ</m:t>
        </m:r>
        <m:r>
          <m:rPr>
            <m:sty m:val="p"/>
          </m:rPr>
          <w:rPr>
            <w:rFonts w:ascii="Cambria Math" w:hAnsi="Cambria Math"/>
            <w:sz w:val="28"/>
          </w:rPr>
          <m:t xml:space="preserve">НВОС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(3.39)</w:t>
      </w:r>
    </w:p>
    <w:p>
      <w:pPr>
        <w:ind w:firstLine="0"/>
        <w:jc w:val="both"/>
      </w:pPr>
      <w:r>
        <w:t>где NB</w:t>
      </w:r>
      <w:r>
        <w:rPr>
          <w:vertAlign w:val="subscript"/>
        </w:rPr>
        <w:t>b</w:t>
      </w:r>
      <w:r>
        <w:t>(t) — чистый выигрыш бенефициара b в году t (участники обмена, оператор, бюджеты трёх уровней, экофонд, корпорация развития), млн руб.; ΔНВОС(t) — плата за НВОС, не поступившая в бюджеты из-за сокращения размещения отходов, млн руб.</w:t>
      </w:r>
    </w:p>
    <w:p>
      <w:pPr>
        <w:jc w:val="both"/>
      </w:pPr>
      <w:r>
        <w:t>Тождество (3.39) служит проверкой правильности расчёта: если сумма выигрышей отличается от правой части, где-то учтён двойной счёт. На вкладке «Бенефициары и стратегии» симулятора проверка выполняется для каждого года. В 2030 г. при ΔE = 58,3 млн руб. и ΔНВОС = 27,2 млн руб. сумма выигрышей равна 31,1 млн руб. Распределение приведённой стоимости за 2026–2036 гг. показано на рисунке 3.7.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7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7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3.7 – Распределение чистой приведённой стоимости выигрышей между бенефициарами в режиме Р2, 2026–2036 гг.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на симуляторе [34]; связность растёт от 0,008 до 0,192 к 2028 г.,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цена обмена в середине коридора (ω = 0,5), доля города в плате за НВОС 0,6 (класс C), ставка налога резидентов ТОСЭР в бюджет края 5 %.</w:t>
      </w:r>
    </w:p>
    <w:p>
      <w:pPr>
        <w:jc w:val="both"/>
      </w:pPr>
      <w:r>
        <w:t>Рисунок 3.7 показывает асимметрию, которую не видно по суммарным величинам. Почти весь выигрыш получают резиденты ТОСЭР (135,4 млн руб.), и лишь затем — экопромышленный парк и «Азот» (около 37 млн руб. каждый). Оператор платформы получает 6,3 млн руб., поскольку сервисный платёж покрывает его затраты, но не больше. Бюджет Невинномысска теряет 83,8 млн руб. выпадающей платы за НВОС, и дивиденд эту потерю не компенсирует. Федеральный бюджет выигрывает за счёт налога на прибыль (24,5 млн руб.), бюджет края проигрывает 12,2 млн руб. Компенсация σ (при сценарных затратах подключения 6 млн руб. в год) увеличивает выигрыш резидентов до 145,7 млн руб. и потерю края до 23,3 млн руб.; федеральный бюджет при этом получает дополнительно 0,8 млн руб.</w:t>
      </w:r>
    </w:p>
    <w:p>
      <w:pPr>
        <w:jc w:val="both"/>
      </w:pPr>
      <w:r>
        <w:t>Для механизма отсюда вытекает требование, которого не было в главе 2. Город, давший согласие на сокращение собственных поступлений, должен получить компенсацию не из дивиденда, а через межбюджетный трансферт или норматив зачисления платы за НВОС. Нормативы зачисления этой платы между бюджетом субъекта и бюджетом города в расчёте приняты сценарно и подлежат сверке с действующей редакцией Бюджетного кодекса РФ и закона Ставропольского края о бюджете. Ни одна из трёх схем распределения дивиденда этой задачи не решает.</w:t>
      </w:r>
    </w:p>
    <w:p>
      <w:pPr>
        <w:keepNext/>
        <w:jc w:val="both"/>
      </w:pPr>
      <w:r>
        <w:rPr>
          <w:b/>
        </w:rPr>
        <w:t>3.3.6 Проверка гипотез главы 2 и условия опровержения</w:t>
      </w:r>
    </w:p>
    <w:p>
      <w:pPr>
        <w:jc w:val="both"/>
      </w:pPr>
      <w:r>
        <w:t>Таблица 2.13 передала в главу 3 семь гипотез. Результаты их проверки на симуляторе и наблюдения, которые могут их опровергнуть после запуска платформы, сведены в таблицу 3.14.</w:t>
      </w:r>
    </w:p>
    <w:p>
      <w:pPr>
        <w:keepNext/>
        <w:ind w:firstLine="0"/>
        <w:jc w:val="right"/>
      </w:pPr>
      <w:r>
        <w:t>Таблица 3.14</w:t>
      </w:r>
    </w:p>
    <w:p>
      <w:pPr>
        <w:keepNext/>
        <w:ind w:firstLine="0"/>
        <w:jc w:val="center"/>
      </w:pPr>
      <w:r>
        <w:t>Результаты проверки гипотез таблицы 2.13 и условия их опровержения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2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Гипотеза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Результат имитации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Статус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Опровергающее наблюдение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Рост k во времени при институциональных мерах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Задан допущением (3.32); при k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от 4 до 6 вероятность ΔE &gt; 0 не ниже 0,989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проверяется до запуска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Ряд оценок k по (2.6) за 3–4 года не растёт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ΔE</w:t>
            </w:r>
            <w:r>
              <w:rPr>
                <w:sz w:val="24"/>
                <w:vertAlign w:val="subscript"/>
              </w:rPr>
              <w:t>base</w:t>
            </w:r>
            <w:r>
              <w:rPr>
                <w:sz w:val="24"/>
              </w:rPr>
              <w:t xml:space="preserve"> = 250 — валовой, а не чистый эффект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Чистый эффект при φ = 1 равен 117,4; при равновесной связности — 40–78 млн руб.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Подтверждена, параметр заменён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Подтверждённый аудитом ΔE при C ≈ 0,19 выше 117 млн руб.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Сдвиг 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 xml:space="preserve"> вправо при внедрении платформы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>: 0,181 без платформы, 0,244 с платформой (2027)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Предельные издержки связности с платформой не ниже, чем без неё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Чувствительность SD к α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SD пропорционален α; на равновесное участие α почти не влияет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частично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Рост α на 0,02 привлекает больше резидентов, чем σ при равных затратах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Различие режимов распределения при одинаковом SD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бюджета: схема А — 2,20, Б — 1,53, В — 2,95 млн руб. (2036)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SD</w:t>
            </w:r>
            <w:r>
              <w:rPr>
                <w:sz w:val="24"/>
                <w:vertAlign w:val="subscript"/>
              </w:rPr>
              <w:t>б</w:t>
            </w:r>
            <w:r>
              <w:rPr>
                <w:sz w:val="24"/>
              </w:rPr>
              <w:t xml:space="preserve"> ≥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не выполняется без отдельного источника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выполняется ни в одном из 25 000 испытаний;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 xml:space="preserve"> — 86–91 % потребности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 в дивиденде покрывает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хотя бы в одном году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Участие малых резидентов определяется ценой, а не дивидендом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Дивиденд добавляет 0–2 резидентов; σ — 4, включая 3 «осторожных»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Резиденты типа C входят в сеть при α &gt; 0 без σ и доверительного управления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по результатам п. 3.3.2–3.3.5.</w:t>
      </w:r>
    </w:p>
    <w:p>
      <w:pPr>
        <w:jc w:val="both"/>
      </w:pPr>
      <w:r>
        <w:t>По таблице 3.14 пять гипотез из семи подтверждены в модели, одна подтверждена частично, одна не может быть проверена до запуска. Подтверждение в модели не равнозначно эмпирическому: популяция резидентов демонстрационная, и вывод о слабом влиянии дивиденда на участие может измениться, когда реестр платформы даст фактические выигрыши и затраты. Поэтому для каждой гипотезы указано наблюдение, которое её опровергнет. К ним добавляются три условия, полученные в самом параграфе: барьер поиска и согласования у резидентов ниже 0,9 млн руб. в год (вклад платформы требует пересмотра), совокупные продажи CO</w:t>
      </w:r>
      <w:r>
        <w:rPr>
          <w:vertAlign w:val="subscript"/>
        </w:rPr>
        <w:t>2</w:t>
      </w:r>
      <w:r>
        <w:t xml:space="preserve"> после запуска не выше 32 тыс. т (поток CO</w:t>
      </w:r>
      <w:r>
        <w:rPr>
          <w:vertAlign w:val="subscript"/>
        </w:rPr>
        <w:t>2</w:t>
      </w:r>
      <w:r>
        <w:t xml:space="preserve"> эффекта не создаёт) и связность через два года после запуска ниже C</w:t>
      </w:r>
      <w:r>
        <w:rPr>
          <w:vertAlign w:val="subscript"/>
        </w:rPr>
        <w:t>min</w:t>
      </w:r>
      <w:r>
        <w:t xml:space="preserve"> (платформа не вышла из переходного состояния).</w:t>
      </w:r>
    </w:p>
    <w:p>
      <w:pPr>
        <w:jc w:val="both"/>
      </w:pPr>
      <w:r>
        <w:t>По отношению к главе 2 параграф дал четыре результата. Сценарные пороги трёх состояний экосистемы получили экономическое содержание: граница между переходным и экосистемным состоянием определяется порогом окупаемости платформы C</w:t>
      </w:r>
      <w:r>
        <w:rPr>
          <w:vertAlign w:val="subscript"/>
        </w:rPr>
        <w:t>min</w:t>
      </w:r>
      <w:r>
        <w:t>, который снижается с 0,089 до 0,062 по мере роста k. Найдена количественная оценка информационного барьера (не менее 1,75 млн руб. в год на резидента), без которой модель не воспроизводит наблюдаемую связность Невинномысска, и показано, что от величины этого барьера зависит сам знак вклада платформы. Опасности ранжированы: переключение покупателей углекислоты опаснее простоя якоря, а дефицит средств на ликвидацию ущерба возникает при любых параметрах. Наконец, баланс бенефициаров выявил, что основной проигравший — бюджет города, и его компенсация должна быть встроена в механизм § 3.5. Сценарии 2027–2036 гг. с углеродным вариантом и трёхкомпонентный индекс устойчивости строятся в § 3.4 на равновесиях, найденных здесь.</w:t>
      </w:r>
    </w:p>
    <w:p>
      <w:pPr>
        <w:keepNext/>
        <w:jc w:val="both"/>
      </w:pPr>
      <w:r>
        <w:rPr>
          <w:b/>
        </w:rPr>
        <w:t>3.4 Сценарии развития экосистемы на 2027–2036 гг. и трёхкомпонентный индекс устойчивого развития</w:t>
      </w:r>
    </w:p>
    <w:p>
      <w:pPr>
        <w:keepNext/>
        <w:jc w:val="both"/>
      </w:pPr>
      <w:r>
        <w:rPr>
          <w:b/>
        </w:rPr>
        <w:t>3.4.1 Сценарная рамка и допущения</w:t>
      </w:r>
    </w:p>
    <w:p>
      <w:pPr>
        <w:jc w:val="both"/>
      </w:pPr>
      <w:r>
        <w:t>Параграф 3.3 сравнивал режимы экоплатформы при неизменной внешней среде. Для решения о запуске этого мало: за десять лет изменятся режим ТОСЭР, выпуск якоря и, возможно, правила учёта выбросов, а каждое из этих изменений действует на экосистему сильнее любого параметра платформы. Сценарный анализ отвечает на два вопроса. Сохраняется ли преимущество координируемой экосистемы при неблагоприятных внешних условиях? И какую часть устойчивости региона платформа вообще способна обеспечить, а какую — нет?</w:t>
      </w:r>
    </w:p>
    <w:p>
      <w:pPr>
        <w:jc w:val="both"/>
      </w:pPr>
      <w:r>
        <w:t xml:space="preserve">Сценарии собраны из четырёх внешних факторов, для каждого из которых есть документальная основа. Первый — срок льготного режима резидентов. Постановление о создании ТОСЭР «Невинномысск» принято в декабре 2017 г. [12], пункт о сроке её существования утратил силу в связи с постановлением 2023 г., изменившим правила создания территорий в моногородах [9]. Срок льгот поэтому задаётся сценарно: окончание в 2027 г. либо продление до 2032 г. в соответствии с горизонтом Стратегии пространственного развития [13]. Второй фактор — выпуск якоря: рост на 2 % в год до 2030 г. и на 1 % в год после него, что соответствует направлению отраслевой стратегии химического комплекса. Третий — межбюджетная поддержка: трансферт края городу 10 млн руб. в год с 2028 г. в логике краевой стратегии до 2035 г.</w:t>
      </w:r>
      <w:r>
        <w:rPr>
          <w:vertAlign w:val="superscript"/>
        </w:rPr>
        <w:footnoteReference w:id="20"/>
      </w:r>
      <w:r>
        <w:t>. Четвёртый — плата за выбросы парниковых газов. Действующего платежа для «Азота» нет, однако стратегия низкоуглеродного развития допускает введение ценовых инструментов</w:t>
      </w:r>
      <w:r>
        <w:rPr>
          <w:vertAlign w:val="superscript"/>
        </w:rPr>
        <w:footnoteReference w:id="21"/>
      </w:r>
      <w:r>
        <w:t>, а для экспорта удобрений в ЕС окончательный режим CBAM действует с 2026 г. (п. 3.1.8). Сценарная цена принята равной 1000 руб. за тонну CO</w:t>
      </w:r>
      <w:r>
        <w:rPr>
          <w:vertAlign w:val="subscript"/>
        </w:rPr>
        <w:t>2</w:t>
      </w:r>
      <w:r>
        <w:t>-экв. с 2030 г. с ростом на 10 % в год. Это не прогноз, а уровень, при котором проверяется чувствительность выводов.</w:t>
      </w:r>
    </w:p>
    <w:p>
      <w:pPr>
        <w:jc w:val="both"/>
      </w:pPr>
      <w:r>
        <w:t>Состав сценариев приведён в таблице 3.15. Инерционный сценарий S1 соответствует режиму Р0 § 3.3: платформы нет, льготы ТОСЭР заканчиваются в 2027 г. Его вариант S1c добавляет плату за выбросы и нужен для того, чтобы отделить влияние углеродного регулирования от влияния платформы. Координируемый сценарий S2 строится на режиме Р2σ, который в § 3.3 оказался наиболее устойчивым к опасностям. Углеродно-жёсткий сценарий S3 добавляет к S2 плату за выбросы, вариант S3a — ещё и каталитическую очистку N</w:t>
      </w:r>
      <w:r>
        <w:rPr>
          <w:vertAlign w:val="subscript"/>
        </w:rPr>
        <w:t>2</w:t>
      </w:r>
      <w:r>
        <w:t>O на агрегатах азотной кислоты с 2030 г., доводящую выбросы закиси азота до уровня американских аналогов (вариант A, п. 3.1.5). Стрессовый сценарий S4 объединяет две опасности из таблицы 3.12 с задержкой запуска платформы на год.</w:t>
      </w:r>
    </w:p>
    <w:p>
      <w:pPr>
        <w:keepNext/>
        <w:ind w:firstLine="0"/>
        <w:jc w:val="right"/>
      </w:pPr>
      <w:r>
        <w:t>Таблица 3.15</w:t>
      </w:r>
    </w:p>
    <w:p>
      <w:pPr>
        <w:keepNext/>
        <w:ind w:firstLine="0"/>
        <w:jc w:val="center"/>
      </w:pPr>
      <w:r>
        <w:t>Сценарии развития экосистемы промышленного комплекса Невинномысска на 2027–2036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Платформа и механизм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Льготы ТОСЭР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Трансферт края B</w:t>
            </w:r>
            <w:r>
              <w:rPr>
                <w:b/>
                <w:sz w:val="24"/>
                <w:vertAlign w:val="subscript"/>
              </w:rPr>
              <w:t>внеш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Плата за выбросы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Шоки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 инерционный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2027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S1c инерционный при цене выбросов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2027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 координируемый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Р2σ: α = 0,10, σ = 0,3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 млн руб./год с 2028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 углеродно-жёсткий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S3a то же с очисткой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очистка с 2030 г.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 стрессовый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Р2σ, запуск с 2028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простой 60 дн. в 2027–2028 гг.;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цена выбросов 1000 руб./т CO</w:t>
      </w:r>
      <w:r>
        <w:rPr>
          <w:sz w:val="24"/>
          <w:vertAlign w:val="subscript"/>
        </w:rPr>
        <w:t>2</w:t>
      </w:r>
      <w:r>
        <w:rPr>
          <w:sz w:val="24"/>
        </w:rPr>
        <w:t>-экв. с ростом 10 % в год, рост выпуска якоря 2 % в год до 2030 г. и 1 % после.</w:t>
      </w:r>
    </w:p>
    <w:p>
      <w:pPr>
        <w:jc w:val="both"/>
      </w:pPr>
      <w:r>
        <w:t>Сценарии в таблице 3.15 построены попарно, и каждая пара отличается одним фактором. S2 и S1 различаются только платформой и мерами поддержки, S3 и S2 — ценой выбросов, S3a и S3 — очисткой N</w:t>
      </w:r>
      <w:r>
        <w:rPr>
          <w:vertAlign w:val="subscript"/>
        </w:rPr>
        <w:t>2</w:t>
      </w:r>
      <w:r>
        <w:t>O, S4 и S2 — шоками. Такое построение позволяет приписать разницу результатов конкретной причине, а не сочетанию причин. Все сценарии используют одну и ту же популяцию резидентов, траекторию связности по формуле (3.33) и калибровку § 3.1, поэтому их результаты сопоставимы между собой, но наследуют демонстрационный характер популяции (класс C).</w:t>
      </w:r>
    </w:p>
    <w:p>
      <w:pPr>
        <w:keepNext/>
        <w:jc w:val="both"/>
      </w:pPr>
      <w:r>
        <w:rPr>
          <w:b/>
        </w:rPr>
        <w:t>3.4.2 Трёхкомпонентный индекс устойчивого развития</w:t>
      </w:r>
    </w:p>
    <w:p>
      <w:pPr>
        <w:jc w:val="both"/>
      </w:pPr>
      <w:r>
        <w:t>Технический индекс устойчивости симулятора, использованный в главе 2, складывал связность, покрытие ущерба и технологические коэффициенты и не содержал социальной составляющей. Для сравнения сценариев он непригоден: в нём нет ни бюджетов, ни выбросов якоря, ни участия малых предприятий. Вместо него предлагается индекс из трёх составляющих: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I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 xml:space="preserve">s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= 1</m:t>
        </m:r>
      </m:oMath>
      <w:r>
        <w:tab/>
        <w:t>(3.40)</w:t>
      </w:r>
    </w:p>
    <w:p>
      <w:pPr>
        <w:ind w:firstLine="0"/>
        <w:jc w:val="both"/>
      </w:pPr>
      <w:r>
        <w:t>где I</w:t>
      </w:r>
      <w:r>
        <w:rPr>
          <w:vertAlign w:val="subscript"/>
        </w:rPr>
        <w:t>t</w:t>
      </w:r>
      <w:r>
        <w:rPr>
          <w:vertAlign w:val="superscript"/>
        </w:rPr>
        <w:t>s</w:t>
      </w:r>
      <w:r>
        <w:t xml:space="preserve"> — индекс устойчивого развития экосистемы в сценарии s в году t; c — составляющая (экономическая, экологическая, социальная); w</w:t>
      </w:r>
      <w:r>
        <w:rPr>
          <w:vertAlign w:val="subscript"/>
        </w:rPr>
        <w:t>c</w:t>
      </w:r>
      <w:r>
        <w:t xml:space="preserve"> — вес составляющей, в базовом расчёте 1/3; I</w:t>
      </w:r>
      <w:r>
        <w:rPr>
          <w:vertAlign w:val="subscript"/>
        </w:rPr>
        <w:t>c,t</w:t>
      </w:r>
      <w:r>
        <w:rPr>
          <w:vertAlign w:val="superscript"/>
        </w:rPr>
        <w:t>s</w:t>
      </w:r>
      <w:r>
        <w:t xml:space="preserve"> — значение составляющей.</w:t>
      </w:r>
    </w:p>
    <w:p>
      <w:pPr>
        <w:jc w:val="both"/>
      </w:pPr>
      <w:r>
        <w:t>Каждая составляющая равна среднему нормированных показателей: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I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sup>
          <m:e>
            <m:sSubSup>
              <m:e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 xml:space="preserve">s</m:t>
                </m:r>
              </m:sup>
            </m:sSubSup>
          </m:e>
        </m:nary>
      </m:oMath>
      <w:r>
        <w:tab/>
        <w:t>(3.41)</w:t>
      </w:r>
    </w:p>
    <w:p>
      <w:pPr>
        <w:ind w:firstLine="0"/>
        <w:jc w:val="both"/>
      </w:pPr>
      <w:r>
        <w:t>где m</w:t>
      </w:r>
      <w:r>
        <w:rPr>
          <w:vertAlign w:val="subscript"/>
        </w:rPr>
        <w:t>c</w:t>
      </w:r>
      <w:r>
        <w:t xml:space="preserve"> — число показателей составляющей c; x̃</w:t>
      </w:r>
      <w:r>
        <w:rPr>
          <w:vertAlign w:val="subscript"/>
        </w:rPr>
        <w:t>i,t</w:t>
      </w:r>
      <w:r>
        <w:rPr>
          <w:vertAlign w:val="superscript"/>
        </w:rPr>
        <w:t>s</w:t>
      </w:r>
      <w:r>
        <w:t xml:space="preserve"> — нормированное значение показателя i.</w:t>
      </w:r>
    </w:p>
    <w:p>
      <w:pPr>
        <w:jc w:val="both"/>
      </w:pPr>
      <w:r>
        <w:t>Нормирование выполняется между худшим и целевым значениями, заданными до расчёта, а не по наблюдаемому разбросу сценариев. Иначе индекс зависел бы от того, какие сценарии включены в сравнение: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1; 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max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0; </m:t>
                        </m:r>
                        <m:f>
                          <m:num>
                            <m:sSubSup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,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t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s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− </m:t>
                            </m:r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0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− </m:t>
                            </m:r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0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  <w:t>(3.42)</w:t>
      </w:r>
    </w:p>
    <w:p>
      <w:pPr>
        <w:ind w:firstLine="0"/>
        <w:jc w:val="both"/>
      </w:pPr>
      <w:r>
        <w:t>где x</w:t>
      </w:r>
      <w:r>
        <w:rPr>
          <w:vertAlign w:val="subscript"/>
        </w:rPr>
        <w:t>i,t</w:t>
      </w:r>
      <w:r>
        <w:rPr>
          <w:vertAlign w:val="superscript"/>
        </w:rPr>
        <w:t>s</w:t>
      </w:r>
      <w:r>
        <w:t xml:space="preserve"> — значение показателя i; x</w:t>
      </w:r>
      <w:r>
        <w:rPr>
          <w:vertAlign w:val="subscript"/>
        </w:rPr>
        <w:t>i</w:t>
      </w:r>
      <w:r>
        <w:rPr>
          <w:vertAlign w:val="superscript"/>
        </w:rPr>
        <w:t>0</w:t>
      </w:r>
      <w:r>
        <w:t xml:space="preserve"> — худшее значение (нормированное значение 0); x</w:t>
      </w:r>
      <w:r>
        <w:rPr>
          <w:vertAlign w:val="subscript"/>
        </w:rPr>
        <w:t>i</w:t>
      </w:r>
      <w:r>
        <w:rPr>
          <w:vertAlign w:val="superscript"/>
        </w:rPr>
        <w:t>*</w:t>
      </w:r>
      <w:r>
        <w:t xml:space="preserve"> — целевое значение (нормированное значение 1). Если худшее значение больше целевого, формула сохраняет смысл: рост показателя уменьшает нормированное значение.</w:t>
      </w:r>
    </w:p>
    <w:p>
      <w:pPr>
        <w:jc w:val="both"/>
      </w:pPr>
      <w:r>
        <w:t>Метод линейной агрегации нормированных показателей с равными весами соответствует базовой процедуре построения сводных индикаторов</w:t>
      </w:r>
      <w:r>
        <w:rPr>
          <w:vertAlign w:val="superscript"/>
        </w:rPr>
        <w:footnoteReference w:id="22"/>
      </w:r>
      <w:r>
        <w:t>. Его известная слабость — произвол весов — проверяется ниже (п. 3.4.4). Состав показателей и границы нормирования приведены в таблице 3.16.</w:t>
      </w:r>
    </w:p>
    <w:p>
      <w:pPr>
        <w:keepNext/>
        <w:ind w:firstLine="0"/>
        <w:jc w:val="right"/>
      </w:pPr>
      <w:r>
        <w:t>Таблица 3.16</w:t>
      </w:r>
    </w:p>
    <w:p>
      <w:pPr>
        <w:keepNext/>
        <w:ind w:firstLine="0"/>
        <w:jc w:val="center"/>
      </w:pPr>
      <w:r>
        <w:t>Показатели трёхкомпонентного индекса и границы нормирования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5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Составляющая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Худшее x</w:t>
            </w:r>
            <w:r>
              <w:rPr>
                <w:b/>
                <w:sz w:val="24"/>
                <w:vertAlign w:val="superscript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Целевое x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Основание границ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Экономическая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e1. Дополнительный эффект ΔE(t),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117,4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потенциал при φ = 1 (табл. 2.6)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e2. Сальдо федерального и краевого бюджетов,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−15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+15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порядок бюджетных потоков механизма (σ и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e3. Углеродные платежи якоря по (3.44),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8 549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максимум сценария S3 в 2036 г.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Экологическая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g1. Доля отходов, выведенных из размещения (из 60 тыс. т)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табл. 2.5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g2. Покрытие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средствами бюджета города, экофонда и B</w:t>
            </w:r>
            <w:r>
              <w:rPr>
                <w:sz w:val="24"/>
                <w:vertAlign w:val="subscript"/>
              </w:rPr>
              <w:t>внеш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>(t)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(3.38)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g3. Выбросы якоря по (3.43),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4 839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2 301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вариант B с ростом выпуска на 15 % и вариант A 2026 г. (табл. 3.2)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Социальная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s1. Число резидентов типов A–C, участвующих в обменах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26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все резиденты, кроме «безразличных» (табл. 2.12)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s2. Сальдо бюджета города,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−23,9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полная потеря доли города в плате за НВОС (0,6 · 39,8)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автором.</w:t>
      </w:r>
    </w:p>
    <w:p>
      <w:pPr>
        <w:jc w:val="both"/>
      </w:pPr>
      <w:r>
        <w:t xml:space="preserve">Таблица 3.16 раскрывает логику выбора показателей. Социальная составляющая построена на двух каналах, которые экоплатформа реально затрагивает. Первый — вовлечение малых и средних резидентов в промышленную экосистему: в моногороде это главный путь снижения зависимости занятости от якоря. Второй — финансовые возможности города, из бюджета которого финансируются социальные услуги и который по расчёту § 3.3 теряет плату за НВОС. Численность занятых в показатели не включена сознательно. По данным администрации, к началу 2024 г. 43 резидента ТОСЭР создали 8 661 рабочее место из 10 493 запланированных [25], но связи этих мест с обменами ресурсами нет ни в одном источнике, и приписывать их платформе было бы нарушением контрфактического правила главы 2. А.В. Зубарев и Я.П. Мотякина также не обнаружили влияния статуса ТОР на долю занятых у градообразующего предприятия [24].</w:t>
      </w:r>
    </w:p>
    <w:p>
      <w:pPr>
        <w:jc w:val="both"/>
      </w:pPr>
      <w:r>
        <w:t>Выбросы якоря рассчитываются с учётом роста выпуска, передачи CO</w:t>
      </w:r>
      <w:r>
        <w:rPr>
          <w:vertAlign w:val="subscript"/>
        </w:rPr>
        <w:t>2</w:t>
      </w:r>
      <w:r>
        <w:t xml:space="preserve"> по платформе и возможной очистки N</w:t>
      </w:r>
      <w:r>
        <w:rPr>
          <w:vertAlign w:val="subscript"/>
        </w:rPr>
        <w:t>2</w:t>
      </w:r>
      <w:r>
        <w:t>O: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Q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CO₂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N₂O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η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d>
                  <m:dPr>
                    <m:begChr m:val="["/>
                    <m:endChr m:val="]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≥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η</m:t>
                        </m:r>
                      </m:sub>
                    </m:sSub>
                  </m:e>
                </m:d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q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(3.43)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t</w:t>
      </w:r>
      <w:r>
        <w:rPr>
          <w:vertAlign w:val="superscript"/>
        </w:rPr>
        <w:t>Аз</w:t>
      </w:r>
      <w:r>
        <w:t xml:space="preserve"> — выбросы «Азота» в году t, тыс. т CO</w:t>
      </w:r>
      <w:r>
        <w:rPr>
          <w:vertAlign w:val="subscript"/>
        </w:rPr>
        <w:t>2</w:t>
      </w:r>
      <w:r>
        <w:t>-экв.; Q</w:t>
      </w:r>
      <w:r>
        <w:rPr>
          <w:vertAlign w:val="subscript"/>
        </w:rPr>
        <w:t>t</w:t>
      </w:r>
      <w:r>
        <w:t xml:space="preserve"> — индекс выпуска к 2026 г.; E</w:t>
      </w:r>
      <w:r>
        <w:rPr>
          <w:vertAlign w:val="subscript"/>
        </w:rPr>
        <w:t>2026</w:t>
      </w:r>
      <w:r>
        <w:rPr>
          <w:vertAlign w:val="superscript"/>
        </w:rPr>
        <w:t>CO₂</w:t>
      </w:r>
      <w:r>
        <w:t xml:space="preserve"> = 1814 и E</w:t>
      </w:r>
      <w:r>
        <w:rPr>
          <w:vertAlign w:val="subscript"/>
        </w:rPr>
        <w:t>2026</w:t>
      </w:r>
      <w:r>
        <w:rPr>
          <w:vertAlign w:val="superscript"/>
        </w:rPr>
        <w:t>N₂O</w:t>
      </w:r>
      <w:r>
        <w:t xml:space="preserve"> = 2394 тыс. т — выбросы 2026 г. в границе МГЭИК при варианте B (табл. 3.3); η = 0,80 — доля сокращения N</w:t>
      </w:r>
      <w:r>
        <w:rPr>
          <w:vertAlign w:val="subscript"/>
        </w:rPr>
        <w:t>2</w:t>
      </w:r>
      <w:r>
        <w:t>O при очистке до уровня варианта A; t</w:t>
      </w:r>
      <w:r>
        <w:rPr>
          <w:vertAlign w:val="subscript"/>
        </w:rPr>
        <w:t>η</w:t>
      </w:r>
      <w:r>
        <w:t xml:space="preserve"> — год ввода очистки; κ = 0,2 — доля выбросов при подготовке и использовании переданного CO</w:t>
      </w:r>
      <w:r>
        <w:rPr>
          <w:vertAlign w:val="subscript"/>
        </w:rPr>
        <w:t>2</w:t>
      </w:r>
      <w:r>
        <w:t>; q</w:t>
      </w:r>
      <w:r>
        <w:rPr>
          <w:vertAlign w:val="subscript"/>
        </w:rPr>
        <w:t>t</w:t>
      </w:r>
      <w:r>
        <w:t xml:space="preserve"> — прирост продаж CO</w:t>
      </w:r>
      <w:r>
        <w:rPr>
          <w:vertAlign w:val="subscript"/>
        </w:rPr>
        <w:t>2</w:t>
      </w:r>
      <w:r>
        <w:t xml:space="preserve"> по платформе, тыс. т.</w:t>
      </w:r>
    </w:p>
    <w:p>
      <w:pPr>
        <w:jc w:val="both"/>
      </w:pPr>
      <w:r>
        <w:t>Углеродная нагрузка якоря при введении платы равна: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ЦН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Аз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r>
              <w:rPr>
                <w:rFonts w:ascii="Cambria Math" w:hAnsi="Cambria Math"/>
                <w:sz w:val="28"/>
              </w:rPr>
              <m:t xml:space="preserve">μ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</m:oMath>
      <w:r>
        <w:tab/>
        <w:t>(3.44)</w:t>
      </w:r>
    </w:p>
    <w:p>
      <w:pPr>
        <w:ind w:firstLine="0"/>
        <w:jc w:val="both"/>
      </w:pPr>
      <w:r>
        <w:t>где ЦН</w:t>
      </w:r>
      <w:r>
        <w:rPr>
          <w:vertAlign w:val="subscript"/>
        </w:rPr>
        <w:t>t</w:t>
      </w:r>
      <w:r>
        <w:t xml:space="preserve"> — углеродные платежи «Азота», млн руб.; p</w:t>
      </w:r>
      <w:r>
        <w:rPr>
          <w:vertAlign w:val="subscript"/>
        </w:rPr>
        <w:t>C,t</w:t>
      </w:r>
      <w:r>
        <w:t xml:space="preserve"> — цена выбросов, тыс. руб./т; μ — признак вычета переданного CO</w:t>
      </w:r>
      <w:r>
        <w:rPr>
          <w:vertAlign w:val="subscript"/>
        </w:rPr>
        <w:t>2</w:t>
      </w:r>
      <w:r>
        <w:t xml:space="preserve"> (μ = 0 по п. 3.1.8).</w:t>
      </w:r>
    </w:p>
    <w:p>
      <w:pPr>
        <w:keepNext/>
        <w:jc w:val="both"/>
      </w:pPr>
      <w:r>
        <w:rPr>
          <w:b/>
        </w:rPr>
        <w:t>3.4.3 Результаты сценарного расчёта</w:t>
      </w:r>
    </w:p>
    <w:p>
      <w:pPr>
        <w:jc w:val="both"/>
      </w:pPr>
      <w:r>
        <w:t>Расчёт выполнен на симуляторе: траектории связности получены по формуле (3.33), распределение выигрышей между бенефициарами — по балансу (3.39), выбросы и платежи — по (3.43)–(3.44). Сводные результаты за 2027–2036 гг. приведены в таблице 3.17.</w:t>
      </w:r>
    </w:p>
    <w:p>
      <w:pPr>
        <w:keepNext/>
        <w:ind w:firstLine="0"/>
        <w:jc w:val="right"/>
      </w:pPr>
      <w:r>
        <w:t>Таблица 3.17</w:t>
      </w:r>
    </w:p>
    <w:p>
      <w:pPr>
        <w:keepNext/>
        <w:ind w:firstLine="0"/>
        <w:jc w:val="center"/>
      </w:pPr>
      <w:r>
        <w:t>Результаты сценариев развития экосистемы, 2027–2036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9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ΔE, млн руб.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сальдо бюджетов, млн руб.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углеродных платежей, млн руб.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Средние выбросы якоря, тыс. т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Индекс Ī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Составляющие: эк. / экол. / соц.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4 599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0,344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0,500 / 0,032 / 0,500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S1c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22 442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4 599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0,286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0,326 / 0,032 / 0,500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4 591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0,576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0,556 / 0,482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22 398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4 591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0,518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0,382 / 0,482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S3a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12 228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3 102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0,610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0,461 / 0,677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97,9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−113,0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4 595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0,520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0,455 / 0,435 / 0,668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[34]; NPV — при ставке 10 % к 2026 г.; NPV ΔE — за вычетом компенсации σ; Ī — среднее за 2027–2036 гг.</w:t>
      </w:r>
    </w:p>
    <w:p>
      <w:pPr>
        <w:jc w:val="both"/>
      </w:pPr>
      <w:r>
        <w:t>Таблица 3.17 показывает три результата. Координируемый сценарий поднимает индекс с 0,344 до 0,576, и прирост приходится на экологическую (+0,45) и социальную (+0,19) составляющие, тогда как экономическая растёт лишь на 0,06. Причина в том, что экономический эффект платформы (336,8 млн руб. за десять лет) частично возвращается бюджетам с обратным знаком: сальдо федерального, краевого и городского бюджетов в S2 отрицательно и составляет −102,8 млн руб. Бюджеты финансируют компенсацию σ и трансферт B</w:t>
      </w:r>
      <w:r>
        <w:rPr>
          <w:vertAlign w:val="subscript"/>
        </w:rPr>
        <w:t>внеш</w:t>
      </w:r>
      <w:r>
        <w:t xml:space="preserve"> и теряют плату за НВОС, а прирост налога на прибыль эти потери не покрывает. Экосистема становится устойчивее, но не за счёт денежного выигрыша бюджетов.</w:t>
      </w:r>
    </w:p>
    <w:p>
      <w:pPr>
        <w:jc w:val="both"/>
      </w:pPr>
      <w:r>
        <w:t>Второй результат касается углерода. Приведённая стоимость углеродных платежей в сценарии S3 (22,4 млрд руб.) в 66 раз превышает приведённый эффект платформы. Платформа снижает эти платежи всего на 44 млн руб. по сравнению с S1c, а очистка N</w:t>
      </w:r>
      <w:r>
        <w:rPr>
          <w:vertAlign w:val="subscript"/>
        </w:rPr>
        <w:t>2</w:t>
      </w:r>
      <w:r>
        <w:t>O — на 10,2 млрд руб. Разница между S3 и S3a почти в 230 раз больше разницы между S3 и S1c. Углеродная устойчивость якоря определяется очисткой выбросов закиси азота, а не симбиозом, и это следует учитывать при выборе мер региональной политики: экоплатформа не может быть представлена как климатический проект «Азота».</w:t>
      </w:r>
    </w:p>
    <w:p>
      <w:pPr>
        <w:jc w:val="both"/>
      </w:pPr>
      <w:r>
        <w:t>Третий результат — устойчивость к шокам. В стрессовом сценарии S4 приведённый эффект снижается на 71 % (с 336,8 до 97,9 млн руб.), прежде всего из-за переключения покупателей CO</w:t>
      </w:r>
      <w:r>
        <w:rPr>
          <w:vertAlign w:val="subscript"/>
        </w:rPr>
        <w:t>2</w:t>
      </w:r>
      <w:r>
        <w:t xml:space="preserve"> и убыточного первого года, когда платформа несёт затраты без связей. Индекс при этом остаётся выше инерционного (0,520 против 0,344): экологическая и социальная составляющие зависят от числа вовлечённых резидентов и объёма переработки отходов, которые шоки затрагивают слабо. Динамика индекса по годам показана на рисунке 3.8.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8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3.8 – Динамика индекса устойчивого развития экосистемы по сценариям, 2027–2036 гг.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по формулам (3.40)–(3.42) на симуляторе [34].</w:t>
      </w:r>
    </w:p>
    <w:p>
      <w:pPr>
        <w:jc w:val="both"/>
      </w:pPr>
      <w:r>
        <w:t>Рисунок 3.8 показывает, что сценарии с платформой расходятся с инерционным уже в 2028 г., когда связность переходит порог C</w:t>
      </w:r>
      <w:r>
        <w:rPr>
          <w:vertAlign w:val="subscript"/>
        </w:rPr>
        <w:t>min</w:t>
      </w:r>
      <w:r>
        <w:t>, а углеродный фактор разводит их лишь с 2030 г. Инерционные сценарии монотонно снижаются: растут выбросы якоря при неизменной связности. В сценарии S1c снижение ускоряется после 2030 г. из-за платы за выбросы. Наибольшего значения индекс достигает в S3a (0,654 в 2036 г.), причём этот сценарий опережает S2, несмотря на углеродные платежи: сокращение выбросов N</w:t>
      </w:r>
      <w:r>
        <w:rPr>
          <w:vertAlign w:val="subscript"/>
        </w:rPr>
        <w:t>2</w:t>
      </w:r>
      <w:r>
        <w:t>O улучшает экологическую составляющую сильнее, чем платежи ухудшают экономическую. Вклад отдельных составляющих сопоставлен на рисунке 3.9.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0571"/>
            <wp:docPr id="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9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3.9 – Средние значения составляющих индекса по сценариям,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данным таблицы 3.17.</w:t>
      </w:r>
    </w:p>
    <w:p>
      <w:pPr>
        <w:jc w:val="both"/>
      </w:pPr>
      <w:r>
        <w:t>Из рисунка 3.9 видно, что социальная составляющая во всех сценариях с платформой выше, чем в инерционных, хотя показатель бюджета города в них хуже. Вовлечение 17 резидентов перевешивает потерю 4,5–6,8 млн руб. в год городского бюджета. Экологическая составляющая инерционных сценариев близка к нулю: без платформы отходы не выводятся из размещения, а средства на ликвидацию ущерба не поступают. Экономическая составляющая чувствительнее всего к углеродному фактору, и в S3 она опускается ниже уровня S1.</w:t>
      </w:r>
    </w:p>
    <w:p>
      <w:pPr>
        <w:jc w:val="both"/>
      </w:pPr>
      <w:r>
        <w:t>Связь выпуска и выбросов якоря оценивается по коэффициенту эластичности П. Тапио</w:t>
      </w:r>
      <w:r>
        <w:rPr>
          <w:vertAlign w:val="superscript"/>
        </w:rPr>
        <w:footnoteReference w:id="23"/>
      </w:r>
      <w:r>
        <w:t>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/</m:t>
            </m:r>
            <m:r>
              <w:rPr>
                <w:rFonts w:ascii="Cambria Math" w:hAnsi="Cambria Math"/>
                <w:sz w:val="28"/>
              </w:rPr>
              <m:t xml:space="preserve">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Q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/</m:t>
            </m:r>
            <m:r>
              <w:rPr>
                <w:rFonts w:ascii="Cambria Math" w:hAnsi="Cambria Math"/>
                <w:sz w:val="28"/>
              </w:rPr>
              <m:t xml:space="preserve">Q</m:t>
            </m:r>
          </m:den>
        </m:f>
      </m:oMath>
      <w:r>
        <w:tab/>
        <w:t>(3.45)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T</w:t>
      </w:r>
      <w:r>
        <w:t xml:space="preserve"> — коэффициент эластичности выбросов по выпуску; ΔE/E и ΔQ/Q — относительные изменения выбросов и выпуска за период. Значения 0,8–1,2 означают расширенную связь, отрицательные при росте выпуска — сильную развязку.</w:t>
      </w:r>
    </w:p>
    <w:p>
      <w:pPr>
        <w:jc w:val="both"/>
      </w:pPr>
      <w:r>
        <w:t>За 2027–2036 гг. выпуск якоря растёт на 12,7 %. В сценариях S1, S2 и S4 выбросы растут на 12,5–12,7 %, и коэффициент равен 0,99–1,00, то есть сохраняется расширенная связь: платформа не меняет зависимости выбросов от выпуска. В сценарии S3a выбросы сокращаются на 38,6 %, коэффициент равен −3,05, и достигается сильная развязка. Траектории выбросов показаны на рисунке 3.10.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0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10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3.10 – Выбросы АО «Невинномысский Азот» в сценариях S1, S2 и S3a,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формуле (3.43) и данным табл. 3.3.</w:t>
      </w:r>
    </w:p>
    <w:p>
      <w:pPr>
        <w:jc w:val="both"/>
      </w:pPr>
      <w:r>
        <w:t>Рисунок 3.10 наглядно подтверждает вывод таблицы 3.17: линии S1 и S2 практически совпадают, а очистка N</w:t>
      </w:r>
      <w:r>
        <w:rPr>
          <w:vertAlign w:val="subscript"/>
        </w:rPr>
        <w:t>2</w:t>
      </w:r>
      <w:r>
        <w:t>O смещает траекторию на 2,1 млн т CO</w:t>
      </w:r>
      <w:r>
        <w:rPr>
          <w:vertAlign w:val="subscript"/>
        </w:rPr>
        <w:t>2</w:t>
      </w:r>
      <w:r>
        <w:t>-экв. вниз. Отсюда же следует условие, при котором проверка эффекта отдачи (3.29) теряет практическое значение. Даже если платформа вызовет прирост выпуска якоря сверх допустимых 0,74–2,8 % (табл. 3.13), изменение выбросов будет на порядок меньше эффекта очистки.</w:t>
      </w:r>
    </w:p>
    <w:p>
      <w:pPr>
        <w:keepNext/>
        <w:jc w:val="both"/>
      </w:pPr>
      <w:r>
        <w:rPr>
          <w:b/>
        </w:rPr>
        <w:t>3.4.4 Устойчивость выводов к весам и условия опровержения</w:t>
      </w:r>
    </w:p>
    <w:p>
      <w:pPr>
        <w:jc w:val="both"/>
      </w:pPr>
      <w:r>
        <w:t>Равные веса составляющих — допущение, против которого обычно возражают первым. Для проверки веса выбирались случайно из равномерного распределения на симплексе (распределение Дирихле с параметрами 1, 1, 1), 10 000 раз, и для каждой тройки весов сценарии ранжировались заново. Вероятность того, что сценарий a превосходит сценарий b, оценивалась частотой: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</m:acc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&gt; </m:t>
            </m:r>
            <m:s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 xml:space="preserve">b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r>
              <w:rPr>
                <w:rFonts w:ascii="Cambria Math" w:hAnsi="Cambria Math"/>
                <w:sz w:val="28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r>
              <w:rPr>
                <w:rFonts w:ascii="Cambria Math" w:hAnsi="Cambria Math"/>
                <w:sz w:val="28"/>
              </w:rPr>
              <m:t xml:space="preserve">N</m:t>
            </m:r>
          </m:sup>
          <m:e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sub>
                  <m:sup/>
                  <m:e>
                    <m:sSub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n</m:t>
                            </m:r>
                          </m:e>
                        </m:d>
                      </m:sup>
                    </m:sSubSup>
                    <m:d>
                      <m:dPr>
                        <m:begChr m:val="("/>
                        <m:endChr m:val=")"/>
                      </m:dPr>
                      <m:e>
                        <m:sSubSup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a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 − </m:t>
                        </m:r>
                        <m:sSubSup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b</m:t>
                            </m:r>
                          </m:sup>
                        </m:sSubSup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&gt; 0</m:t>
                </m:r>
              </m:e>
            </m:d>
          </m:e>
        </m:nary>
      </m:oMath>
      <w:r>
        <w:tab/>
        <w:t>(3.46)</w:t>
      </w:r>
    </w:p>
    <w:p>
      <w:pPr>
        <w:ind w:firstLine="0"/>
        <w:jc w:val="both"/>
      </w:pPr>
      <w:r>
        <w:t>где P̂(I</w:t>
      </w:r>
      <w:r>
        <w:rPr>
          <w:vertAlign w:val="superscript"/>
        </w:rPr>
        <w:t>a</w:t>
      </w:r>
      <w:r>
        <w:t xml:space="preserve"> &gt; I</w:t>
      </w:r>
      <w:r>
        <w:rPr>
          <w:vertAlign w:val="superscript"/>
        </w:rPr>
        <w:t>b</w:t>
      </w:r>
      <w:r>
        <w:t>) — оценка вероятности превосходства; w</w:t>
      </w:r>
      <w:r>
        <w:rPr>
          <w:vertAlign w:val="subscript"/>
        </w:rPr>
        <w:t>c</w:t>
      </w:r>
      <w:r>
        <w:rPr>
          <w:vertAlign w:val="superscript"/>
        </w:rPr>
        <w:t>(n)</w:t>
      </w:r>
      <w:r>
        <w:t xml:space="preserve"> — веса в испытании n; Ī</w:t>
      </w:r>
      <w:r>
        <w:rPr>
          <w:vertAlign w:val="subscript"/>
        </w:rPr>
        <w:t>c</w:t>
      </w:r>
      <w:r>
        <w:rPr>
          <w:vertAlign w:val="superscript"/>
        </w:rPr>
        <w:t>a</w:t>
      </w:r>
      <w:r>
        <w:t>, Ī</w:t>
      </w:r>
      <w:r>
        <w:rPr>
          <w:vertAlign w:val="subscript"/>
        </w:rPr>
        <w:t>c</w:t>
      </w:r>
      <w:r>
        <w:rPr>
          <w:vertAlign w:val="superscript"/>
        </w:rPr>
        <w:t>b</w:t>
      </w:r>
      <w:r>
        <w:t xml:space="preserve"> — средние значения составляющей c в сценариях a и b; N = 10 000.</w:t>
      </w:r>
    </w:p>
    <w:p>
      <w:pPr>
        <w:keepNext/>
        <w:ind w:firstLine="0"/>
        <w:jc w:val="right"/>
      </w:pPr>
      <w:r>
        <w:t>Таблица 3.18</w:t>
      </w:r>
    </w:p>
    <w:p>
      <w:pPr>
        <w:keepNext/>
        <w:ind w:firstLine="0"/>
        <w:jc w:val="center"/>
      </w:pPr>
      <w:r>
        <w:t>Устойчивость ранжирования сценариев к весам составляющих индекса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Сравнение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Вероятность превосходства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Интерпретация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 &gt; S1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платформа улучшает индекс при любых весах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 &gt; S1c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 при плате за выбросы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 &gt; S1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0,977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преимущество сохраняется и при шоках, кроме весов с долей экономической составляющей около 0,8 и выше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Лучший сценарий — S3a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0,676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очистка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выигрывает, если вес экологии не мал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Лучший сценарий — S2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0,324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выигрывает при высоком весе экономической составляющей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формуле (3.46); 10 000 наборов весов.</w:t>
      </w:r>
    </w:p>
    <w:p>
      <w:pPr>
        <w:jc w:val="both"/>
      </w:pPr>
      <w:r>
        <w:t>По таблице 3.18 преимущество координируемой экосистемы над инерционной не зависит от весов. Лишь в стрессовом сценарии оно исчезает в 2,3 % наборов, где вес экономической составляющей велик. Выбор между S2 и S3a, напротив, определяется весами, но это выбор не о платформе, а о том, вводить ли очистку на якоре. Для механизма § 3.5 важно первое: решение о запуске платформы устойчиво к ценностным предпочтениям, а решение об очистке N</w:t>
      </w:r>
      <w:r>
        <w:rPr>
          <w:vertAlign w:val="subscript"/>
        </w:rPr>
        <w:t>2</w:t>
      </w:r>
      <w:r>
        <w:t>O принимается отдельно и другими участниками.</w:t>
      </w:r>
    </w:p>
    <w:p>
      <w:pPr>
        <w:jc w:val="both"/>
      </w:pPr>
      <w:r>
        <w:t>Выводы параграфа опровергаются следующими наблюдениями. Если к 2030 г. связность не превысит C</w:t>
      </w:r>
      <w:r>
        <w:rPr>
          <w:vertAlign w:val="subscript"/>
        </w:rPr>
        <w:t>min</w:t>
      </w:r>
      <w:r>
        <w:t>, сценарий S2 не реализуется, и сравнение S2 с S1 теряет смысл. Если выяснится, что на агрегатах азотной кислоты «Азота» очистка N</w:t>
      </w:r>
      <w:r>
        <w:rPr>
          <w:vertAlign w:val="subscript"/>
        </w:rPr>
        <w:t>2</w:t>
      </w:r>
      <w:r>
        <w:t>O уже действует, верным окажется вариант A, сценарии S3 и S3a сольются, а углеродные платежи сократятся вдвое. Если срок льгот ТОСЭР будет определён иначе, чем принято, изменятся показатели e2 и s1, но не знак различия S2 и S1: он задан экологической составляющей, от режима ТОСЭР не зависящей. Наконец, если на месте появятся данные о связи занятости резидентов с обменами, социальную составляющую следует дополнить показателем занятости, а расчёт повторить.</w:t>
      </w:r>
    </w:p>
    <w:p>
      <w:pPr>
        <w:jc w:val="both"/>
      </w:pPr>
      <w:r>
        <w:t>Результаты параграфа передают в механизм § 3.5 три требования. Механизм должен компенсировать бюджетам потерю платы за НВОС и затраты на σ и B</w:t>
      </w:r>
      <w:r>
        <w:rPr>
          <w:vertAlign w:val="subscript"/>
        </w:rPr>
        <w:t>внеш</w:t>
      </w:r>
      <w:r>
        <w:t>, иначе публичный партнёр несёт чистые расходы около 100 млн руб. в приведённой стоимости. Он должен включать защиту от переключения покупателей CO</w:t>
      </w:r>
      <w:r>
        <w:rPr>
          <w:vertAlign w:val="subscript"/>
        </w:rPr>
        <w:t>2</w:t>
      </w:r>
      <w:r>
        <w:t xml:space="preserve"> — главной опасности для экономической составляющей. И он должен разделять платформу и углеродную политику якоря, поскольку смешение этих задач приведёт к завышенным ожиданиям от симбиоза.</w:t>
      </w:r>
    </w:p>
    <w:p>
      <w:pPr>
        <w:keepNext/>
        <w:jc w:val="both"/>
      </w:pPr>
      <w:r>
        <w:rPr>
          <w:b/>
        </w:rPr>
        <w:t>3.5 Организационно-экономический механизм формирования экосистемы, дорожная карта и оценка после запуска</w:t>
      </w:r>
    </w:p>
    <w:p>
      <w:pPr>
        <w:keepNext/>
        <w:jc w:val="both"/>
      </w:pPr>
      <w:r>
        <w:rPr>
          <w:b/>
        </w:rPr>
        <w:t>3.5.1 Участники механизма и распределение функций</w:t>
      </w:r>
    </w:p>
    <w:p>
      <w:pPr>
        <w:jc w:val="both"/>
      </w:pPr>
      <w:r>
        <w:t>Параграфы 3.3 и 3.4 определили, что механизм должен делать: выводить сеть за порог окупаемости C</w:t>
      </w:r>
      <w:r>
        <w:rPr>
          <w:vertAlign w:val="subscript"/>
        </w:rPr>
        <w:t>min</w:t>
      </w:r>
      <w:r>
        <w:t>, снижать информационный барьер резидентов не менее чем на 0,9 млн руб. в год, защищать эффект от переключения покупателей углекислоты, компенсировать бюджету города выпадающую плату за НВОС и финансировать ликвидацию накопленного ущерба вне дивиденда. Ни одну из этих задач нельзя поручить одному участнику. Оператор платформы не распоряжается бюджетом, публичный партнёр не видит договоров, якорь не заинтересован раскрывать данные о выпуске. Механизм поэтому строится как распределение функций, при котором каждая задача закреплена за участником, имеющим и полномочия, и стимул её выполнять.</w:t>
      </w:r>
    </w:p>
    <w:p>
      <w:pPr>
        <w:jc w:val="both"/>
      </w:pPr>
      <w:r>
        <w:t>Распределение подчиняется принципу, введённому в § 2.2: тот, кто измеряет эффект, не получает от него доли, а тот, кто получает долю, его не измеряет. Оператор рассчитывает эффект по данным реестра, независимый аудитор его подтверждает, а распределяет дивиденд наблюдательный совет по заранее зафиксированным правилам. Для участников с чувствительными данными (тип C по табл. 2.12) вводится доверительный управляющий данными. Он получает сведения о потоках и раскрывает партнёрам только результат расчёта совместимости, что соответствует модели «восходящего» траста данных</w:t>
      </w:r>
      <w:r>
        <w:rPr>
          <w:vertAlign w:val="superscript"/>
        </w:rPr>
        <w:footnoteReference w:id="24"/>
      </w:r>
      <w:r>
        <w:t>. В § 3.3 доверительное управление дало тот же прирост связности, что и компенсация σ (с 0,169 до 0,208), при затратах 3 млн руб. в год. Функции участников сведены в таблицу 3.19.</w:t>
      </w:r>
    </w:p>
    <w:p>
      <w:pPr>
        <w:keepNext/>
        <w:ind w:firstLine="0"/>
        <w:jc w:val="right"/>
      </w:pPr>
      <w:r>
        <w:t>Таблица 3.19</w:t>
      </w:r>
    </w:p>
    <w:p>
      <w:pPr>
        <w:keepNext/>
        <w:ind w:firstLine="0"/>
        <w:jc w:val="center"/>
      </w:pPr>
      <w:r>
        <w:t>Участники организационно-экономического механизма экоплатформы и их функции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Участник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Функции в механизме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Инструменты и права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Получает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Несёт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Оператор платформы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реестр потоков, подбор пар, расчёт ΔE, типовые договоры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доступ к данным учёта по регламенту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сервисный платёж F, долю SD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затраты Z</w:t>
            </w:r>
            <w:r>
              <w:rPr>
                <w:sz w:val="24"/>
                <w:vertAlign w:val="subscript"/>
              </w:rPr>
              <w:t>пл</w:t>
            </w:r>
            <w:r>
              <w:rPr>
                <w:sz w:val="24"/>
              </w:rPr>
              <w:t>, ответственность за расчёт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Независимый аудитор (СКФУ)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подтверждение ΔE, оценка k(t) по (2.6), ex-post оценка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доступ к первичным документам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плата за аудит из Z</w:t>
            </w:r>
            <w:r>
              <w:rPr>
                <w:sz w:val="24"/>
                <w:vertAlign w:val="subscript"/>
              </w:rPr>
              <w:t>пл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методическую ответственность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Доверительный управляющий данными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хранение и обезличивание данных типа C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договор о коммерческой тайне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плату 3 млн руб./год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ответственность за утечку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АО «Невинномысский Азот»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поставка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сверх Q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>, раскрытие месячных отгрузок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долгосрочный договор с компенсацией досрочного расторжения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выигрыш в цене, долю Шепли с поправкой на 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обязательство отгрузок, резерв при ремонтах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ГРЭС и экопромышленный парк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поставка тепла и вторичного сырья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договор, тариф при регулировании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выигрыш в цене, долю SD поставщиков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аннуитеты узлов обмена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Резиденты ТОСЭР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потребление ресурсов, передача отходов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типовой договор, σ, доверительное управление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экономию в цене, дивиденд по (2.20′)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затраты подключения (1 − σ)·c</w:t>
            </w:r>
            <w:r>
              <w:rPr>
                <w:sz w:val="24"/>
                <w:vertAlign w:val="subscript"/>
              </w:rPr>
              <w:t>j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Администрация г. Невинномысска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публичный партнёр, получатель доли SD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соглашение о МЧП, муниципальное имущество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долю SD, компенсацию T</w:t>
            </w:r>
            <w:r>
              <w:rPr>
                <w:sz w:val="24"/>
                <w:vertAlign w:val="subscript"/>
              </w:rPr>
              <w:t>г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выпадающую долю платы за НВОС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Правительство края и корпорация развития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финансирование σ и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>, региональное СЗПК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бюджетные ассигнования, соглашения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долю SD корпорации, налог на прибыль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расходы на σ,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>, B</w:t>
            </w:r>
            <w:r>
              <w:rPr>
                <w:sz w:val="24"/>
                <w:vertAlign w:val="subscript"/>
              </w:rPr>
              <w:t>внеш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на основе § 2.2–2.6 и результатов § 3.2–3.4.</w:t>
      </w:r>
    </w:p>
    <w:p>
      <w:pPr>
        <w:jc w:val="both"/>
      </w:pPr>
      <w:r>
        <w:t>В таблице 3.19 особое место занимает якорь. Он не выбирает параметры механизма и не входит в число его получателей по положению, а участвует как поставщик со своей долей Шепли, уменьшенной на риск остановки (формула 3.25). Такая конструкция снимает распространённое опасение, что экоплатформа станет инструментом градообразующего предприятия. Вуз выступает аудитором, и это даёт ему вторую функцию: кадровую связь с резидентами через практики и прикладные исследования, которая учитывается в социальной составляющей при наличии данных.</w:t>
      </w:r>
    </w:p>
    <w:p>
      <w:pPr>
        <w:keepNext/>
        <w:jc w:val="both"/>
      </w:pPr>
      <w:r>
        <w:rPr>
          <w:b/>
        </w:rPr>
        <w:t>3.5.2 Финансовая архитектура: три контура и компенсация городу</w:t>
      </w:r>
    </w:p>
    <w:p>
      <w:pPr>
        <w:jc w:val="both"/>
      </w:pPr>
      <w:r>
        <w:t>Расчёты § 3.3–3.4 показали, что из одного источника механизм не профинансировать. Дивиденд составляет 4–8 млн руб. в год и покрывает лишь 9–14 % потребности в ликвидации ущерба. Сервисный платёж окупает платформу, но не стимулирует малых резидентов. Бюджеты в координируемом сценарии несут чистые расходы около 100 млн руб. в приведённой стоимости. Финансовая архитектура поэтому разделена на три контура с разными источниками и разными получателями.</w:t>
      </w:r>
    </w:p>
    <w:p>
      <w:pPr>
        <w:jc w:val="both"/>
      </w:pPr>
      <w:r>
        <w:t>Первый контур — операционный. Платформа должна окупаться за счёт пользователей, без постоянной бюджетной поддержки: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w:rPr>
            <w:rFonts w:ascii="Cambria Math" w:hAnsi="Cambria Math"/>
            <w:sz w:val="28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опер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(3.47)</w:t>
      </w:r>
    </w:p>
    <w:p>
      <w:pPr>
        <w:ind w:firstLine="0"/>
        <w:jc w:val="both"/>
      </w:pPr>
      <w:r>
        <w:t>где F(t) — сервисный платёж участников оператору, млн руб.; γ</w:t>
      </w:r>
      <w:r>
        <w:rPr>
          <w:vertAlign w:val="subscript"/>
        </w:rPr>
        <w:t>опер</w:t>
      </w:r>
      <w:r>
        <w:t xml:space="preserve"> — доля оператора в дивиденде; Z</w:t>
      </w:r>
      <w:r>
        <w:rPr>
          <w:vertAlign w:val="subscript"/>
        </w:rPr>
        <w:t>пл</w:t>
      </w:r>
      <w:r>
        <w:t>(t) — годовые затраты платформы (аннуитет вложений, эксплуатация, аудит), млн руб.</w:t>
      </w:r>
    </w:p>
    <w:p>
      <w:pPr>
        <w:jc w:val="both"/>
      </w:pPr>
      <w:r>
        <w:t xml:space="preserve">По расчёту главы 2 условие (3.47) выполняется при сервисном платеже 54,6 млн руб. в год, что составляет около 29 % валовой экономии участников. Дивиденд выступает премией, а не источником возврата капитала (формула 2.19). Снизить платёж можно, если часть вложений принимает на себя публичный партнёр. Наиболее подходящий инструмент — региональное соглашение о защите и поощрении капиталовложений. Закон допускает возмещение затрат на сопутствующую инфраструктуру, находящуюся в публичной собственности, до 100 % в течение десяти лет при капиталовложениях от 200 млн руб. [8]. Теплотрасса стоимостью 300 млн руб. подпадает под это требование, и её аннуитет 39,4 млн руб. в год (табл. 2.6) может быть возмещён из налогов, которые платит проект, без прямых бюджетных расходов. Альтернатива — соглашение о муниципально-частном партнёрстве [7], при котором теплотрасса остаётся в муниципальной собственности, а коридор цены тепла расширяется до 50–360 руб./Гкал (табл. 2.9).</w:t>
      </w:r>
    </w:p>
    <w:p>
      <w:pPr>
        <w:jc w:val="both"/>
      </w:pPr>
      <w:r>
        <w:t>Второй контур — стимулирующий. Он финансирует компенсацию затрат подключения σ = 0,3, которая в § 3.3 добавила четырёх резидентов и сдвинула интервал эффекта вверх на 6–8 млн руб. Расход края составляет 1,8–2,6 млн руб. в год в зависимости от оценки затрат подключения (п. 3.3.3 и 3.3.5). Средства привязываются к подтверждённым договорам, а не к заявкам: компенсация выплачивается после первого года исполнения обмена. Такое условие исключает подключение «безразличных» резидентов (тип D), чьё вовлечение снижает чистый результат сети (§ 2.6.3).</w:t>
      </w:r>
    </w:p>
    <w:p>
      <w:pPr>
        <w:jc w:val="both"/>
      </w:pPr>
      <w:r>
        <w:t xml:space="preserve">Третий контур — экологический, и его устройство определяется нормой, которую до сих пор в расчётах не учитывали. С 2022 г. плата за НВОС носит целевой характер и в первую очередь направляется на выявление, оценку и ликвидацию объектов накопленного вреда на территории субъекта или муниципального образования [3]. Отсюда следует неочевидное противоречие. Экоплатформа сокращает размещение отходов и тем самым уменьшает плату за НВОС на 26–31 млн руб. в год, то есть сужает тот самый источник, из которого по закону финансируется ликвидация ущерба. Сокращение воздействия — цель регулирования, и упрекать платформу за него нельзя. Но механизм обязан замещать выпадающий целевой источник, иначе экологическая составляющая улучшится по одному показателю и ухудшится по другому. Условие финансирования ликвидации ущерба записывается так: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кр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16.6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r>
          <w:rPr>
            <w:rFonts w:ascii="Cambria Math" w:hAnsi="Cambria Math"/>
            <w:sz w:val="28"/>
          </w:rPr>
          <m:t xml:space="preserve">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эко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(3.48)</w:t>
      </w:r>
    </w:p>
    <w:p>
      <w:pPr>
        <w:ind w:firstLine="0"/>
        <w:jc w:val="both"/>
      </w:pPr>
      <w:r>
        <w:t>где B</w:t>
      </w:r>
      <w:r>
        <w:rPr>
          <w:vertAlign w:val="subscript"/>
        </w:rPr>
        <w:t>внеш</w:t>
      </w:r>
      <w:r>
        <w:t>(t) — средства на ликвидацию накопленного ущерба вне дивиденда, млн руб.; T</w:t>
      </w:r>
      <w:r>
        <w:rPr>
          <w:vertAlign w:val="subscript"/>
        </w:rPr>
        <w:t>кр</w:t>
      </w:r>
      <w:r>
        <w:t>(t) — целевой трансферт края; Н</w:t>
      </w:r>
      <w:r>
        <w:rPr>
          <w:vertAlign w:val="subscript"/>
        </w:rPr>
        <w:t>16.6</w:t>
      </w:r>
      <w:r>
        <w:t>(t) — плата за НВОС, сохраняющаяся у остальных плательщиков и направляемая на ликвидацию по ст. 16.6 Федерального закона «Об охране окружающей среды»; G(t) — гранты и средства программ «зелёного» финансирования; C</w:t>
      </w:r>
      <w:r>
        <w:rPr>
          <w:vertAlign w:val="subscript"/>
        </w:rPr>
        <w:t>ликв</w:t>
      </w:r>
      <w:r>
        <w:t>(t) — годовая потребность; γ</w:t>
      </w:r>
      <w:r>
        <w:rPr>
          <w:vertAlign w:val="subscript"/>
        </w:rPr>
        <w:t>пуб</w:t>
      </w:r>
      <w:r>
        <w:t>·SD(t) — доля публичного получателя в дивиденде; D</w:t>
      </w:r>
      <w:r>
        <w:rPr>
          <w:vertAlign w:val="subscript"/>
        </w:rPr>
        <w:t>эко</w:t>
      </w:r>
      <w:r>
        <w:t>(t) — отчисления экофонда (8 % дивиденда).</w:t>
      </w:r>
    </w:p>
    <w:p>
      <w:pPr>
        <w:jc w:val="both"/>
      </w:pPr>
      <w:r>
        <w:t>Компенсация бюджету города отделена от финансирования ликвидации, поскольку это разные обязательства. Город теряет свою долю платы за НВОС и получает часть дивиденда, и чистая потеря определяет необходимый трансферт: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г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·Δ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НВОС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б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(3.49)</w:t>
      </w:r>
    </w:p>
    <w:p>
      <w:pPr>
        <w:ind w:firstLine="0"/>
        <w:jc w:val="both"/>
      </w:pPr>
      <w:r>
        <w:t>где T</w:t>
      </w:r>
      <w:r>
        <w:rPr>
          <w:vertAlign w:val="subscript"/>
        </w:rPr>
        <w:t>г</w:t>
      </w:r>
      <w:r>
        <w:t>(t) — компенсация бюджету города, млн руб.; ν</w:t>
      </w:r>
      <w:r>
        <w:rPr>
          <w:vertAlign w:val="subscript"/>
        </w:rPr>
        <w:t>г</w:t>
      </w:r>
      <w:r>
        <w:t xml:space="preserve"> — доля города в плате за НВОС (в расчёте 0,6, класс C); ΔНВОС(t) — плата за НВОС, не поступившая из-за сокращения размещения отходов; γ</w:t>
      </w:r>
      <w:r>
        <w:rPr>
          <w:vertAlign w:val="subscript"/>
        </w:rPr>
        <w:t>б</w:t>
      </w:r>
      <w:r>
        <w:t>(C) — доля бюджета города в дивиденде по схеме В (формула 2.18).</w:t>
      </w:r>
    </w:p>
    <w:p>
      <w:pPr>
        <w:jc w:val="both"/>
      </w:pPr>
      <w:r>
        <w:t>Итог трёх контуров приведён в таблице 3.20 для координируемого сценария S2.</w:t>
      </w:r>
    </w:p>
    <w:p>
      <w:pPr>
        <w:keepNext/>
        <w:ind w:firstLine="0"/>
        <w:jc w:val="right"/>
      </w:pPr>
      <w:r>
        <w:t>Таблица 3.20</w:t>
      </w:r>
    </w:p>
    <w:p>
      <w:pPr>
        <w:keepNext/>
        <w:ind w:firstLine="0"/>
        <w:jc w:val="center"/>
      </w:pPr>
      <w:r>
        <w:t>Финансовая архитектура механизма в координируемом сценарии, млн руб. в год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Контур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Источник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Получатель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2028 г.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2030 г.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2036 г.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Операционный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сервисный платёж F и доля оператора в SD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возмещение по СЗПК (аннуитет теплотрассы)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инвестор теплотрассы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Стимулирующий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 края: σ = 0,3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резиденты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Экологический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γ</w:t>
            </w:r>
            <w:r>
              <w:rPr>
                <w:sz w:val="24"/>
                <w:vertAlign w:val="subscript"/>
              </w:rPr>
              <w:t>пуб</w:t>
            </w:r>
            <w:r>
              <w:rPr>
                <w:sz w:val="24"/>
              </w:rPr>
              <w:t>·SD + экофонд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ликвидация ущерба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3,8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трансферт края T</w:t>
            </w:r>
            <w:r>
              <w:rPr>
                <w:sz w:val="24"/>
                <w:vertAlign w:val="subscript"/>
              </w:rPr>
              <w:t>кр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недостаёт до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(покрывается Н</w:t>
            </w:r>
            <w:r>
              <w:rPr>
                <w:sz w:val="24"/>
                <w:vertAlign w:val="subscript"/>
              </w:rPr>
              <w:t>16.6</w:t>
            </w:r>
            <w:r>
              <w:rPr>
                <w:sz w:val="24"/>
              </w:rPr>
              <w:t xml:space="preserve"> и G)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4,1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4,5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6,7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Компенсация городу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необходимый трансферт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 xml:space="preserve"> по (3.49)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 города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14,5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15,7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[34]; сценарий S2 (табл. 3.15), ν</w:t>
      </w:r>
      <w:r>
        <w:rPr>
          <w:sz w:val="24"/>
          <w:vertAlign w:val="subscript"/>
        </w:rPr>
        <w:t>г</w:t>
      </w:r>
      <w:r>
        <w:rPr>
          <w:sz w:val="24"/>
        </w:rPr>
        <w:t xml:space="preserve"> = 0,6; строка «недостаёт» — разность C</w:t>
      </w:r>
      <w:r>
        <w:rPr>
          <w:sz w:val="24"/>
          <w:vertAlign w:val="subscript"/>
        </w:rPr>
        <w:t>ликв</w:t>
      </w:r>
      <w:r>
        <w:rPr>
          <w:sz w:val="24"/>
        </w:rPr>
        <w:t xml:space="preserve"> и покрытия при трансферте 10 млн руб.</w:t>
      </w:r>
    </w:p>
    <w:p>
      <w:pPr>
        <w:jc w:val="both"/>
      </w:pPr>
      <w:r>
        <w:t>Таблица 3.20 показывает соотношение, которое следует учитывать при переговорах о механизме. Компенсация городу (13,6–15,7 млн руб. в год) сопоставима с потребностью в ликвидации ущерба и почти в полтора раза больше трансферта, заложенного в краевой сценарий. При трансферте 10 млн руб. город покрывает лишь две трети своих потерь, а ликвидация ущерба недофинансирована на 4–7 млн руб. в год. Если весь трансферт края (10 млн руб.) направить на компенсацию городу, экологический контур останется без внешнего источника. Вместе обе задачи требуют сверх дивиденда 28–32 млн руб. в год (ликвидация ущерба 14,1–16,7 млн руб., компенсация городу 13,6–15,7 млн руб.), и краевой трансферт покрывает около трети этой суммы. Остальное должна дать целевая плата за НВОС других плательщиков (Н</w:t>
      </w:r>
      <w:r>
        <w:rPr>
          <w:vertAlign w:val="subscript"/>
        </w:rPr>
        <w:t>16.6</w:t>
      </w:r>
      <w:r>
        <w:t>) и программы «зелёного» финансирования. Величина 28–32 млн руб. в год и есть обоснованный объём публичной поддержки механизма.</w:t>
      </w:r>
    </w:p>
    <w:p>
      <w:pPr>
        <w:keepNext/>
        <w:jc w:val="both"/>
      </w:pPr>
      <w:r>
        <w:rPr>
          <w:b/>
        </w:rPr>
        <w:t xml:space="preserve">3.5.3 Договорные механизмы снижения рисков, выявленных при имитационном моделировании</w:t>
      </w:r>
    </w:p>
    <w:p>
      <w:pPr>
        <w:jc w:val="both"/>
      </w:pPr>
      <w:r>
        <w:t>Три опасности из § 3.3–3.4 требуют не финансовых, а договорных решений. Первая — переключение покупателей углекислоты. Она снижает средний эффект на 19 млн руб. и обнаруживается только по совокупным отгрузкам. В договор с «Азотом» включается условие о раскрытии оператору помесячных отгрузок CO</w:t>
      </w:r>
      <w:r>
        <w:rPr>
          <w:vertAlign w:val="subscript"/>
        </w:rPr>
        <w:t>2</w:t>
      </w:r>
      <w:r>
        <w:t xml:space="preserve"> всем покупателям, а эффект потока и доля «Азота» в дивиденде начисляются только на прирост сверх 32 тыс. т (формула 3.11). Тогда переключение прежних покупателей не приносит якорю дополнительного дохода, и стимул к нему исчезает. Для резидента такое условие нейтрально: его экономия в цене от источника углекислоты не зависит.</w:t>
      </w:r>
    </w:p>
    <w:p>
      <w:pPr>
        <w:jc w:val="both"/>
      </w:pPr>
      <w:r>
        <w:t>Вторая опасность — остановка якоря. По § 3.3 она слабо влияет на суммарный эффект, но для отдельного тепличного резидента может оказаться критической, если ремонт совпадёт с пиком потребности теплиц в подкормке. Договор предусматривает график плановых ремонтов, согласованный с потребителями, и резервный источник CO</w:t>
      </w:r>
      <w:r>
        <w:rPr>
          <w:vertAlign w:val="subscript"/>
        </w:rPr>
        <w:t>2</w:t>
      </w:r>
      <w:r>
        <w:t xml:space="preserve"> у резидента, стоимость которого включается в затраты подключения (§ 3.2.4). Для поставщиков якоря доля продаж «Азоту» сопоставляется с критической долей λ</w:t>
      </w:r>
      <w:r>
        <w:rPr>
          <w:vertAlign w:val="subscript"/>
        </w:rPr>
        <w:t>j</w:t>
      </w:r>
      <w:r>
        <w:rPr>
          <w:vertAlign w:val="superscript"/>
        </w:rPr>
        <w:t>*</w:t>
      </w:r>
      <w:r>
        <w:t xml:space="preserve"> по формуле (3.27). Резидентам с λ</w:t>
      </w:r>
      <w:r>
        <w:rPr>
          <w:vertAlign w:val="subscript"/>
        </w:rPr>
        <w:t>j</w:t>
      </w:r>
      <w:r>
        <w:rPr>
          <w:vertAlign w:val="superscript"/>
        </w:rPr>
        <w:t>*</w:t>
      </w:r>
      <w:r>
        <w:t xml:space="preserve"> &lt; 0,5 оператор рекомендует второго покупателя ещё до заключения договора, не дожидаясь проверки нормы ТОСЭР.</w:t>
      </w:r>
    </w:p>
    <w:p>
      <w:pPr>
        <w:jc w:val="both"/>
      </w:pPr>
      <w:r>
        <w:t>Третья опасность — смешение задач платформы и углеродной политики якоря. Сценарный анализ показал, что вклад симбиоза в сокращение выбросов «Азота» составляет 0,2–0,4 %, тогда как очистка N</w:t>
      </w:r>
      <w:r>
        <w:rPr>
          <w:vertAlign w:val="subscript"/>
        </w:rPr>
        <w:t>2</w:t>
      </w:r>
      <w:r>
        <w:t>O способна сократить их на 38 %. В отчётности платформы климатический эффект поэтому показывается в натуральном выражении и отдельно от ΔE. Решение об очистке выбросов принимается якорем вне механизма, а углеродная часть эффекта в дивиденд не включается, пока μ</w:t>
      </w:r>
      <w:r>
        <w:rPr>
          <w:vertAlign w:val="subscript"/>
        </w:rPr>
        <w:t>f</w:t>
      </w:r>
      <w:r>
        <w:t xml:space="preserve"> = 0 (п. 3.1.8). Это защищает механизм от завышенных ожиданий, неизбежно ведущих к разочарованию после первых отчётов.</w:t>
      </w:r>
    </w:p>
    <w:p>
      <w:pPr>
        <w:keepNext/>
        <w:jc w:val="both"/>
      </w:pPr>
      <w:r>
        <w:rPr>
          <w:b/>
        </w:rPr>
        <w:t>3.5.4 Дорожная карта формирования экосистемы на 2027–2036 гг.</w:t>
      </w:r>
    </w:p>
    <w:p>
      <w:pPr>
        <w:jc w:val="both"/>
      </w:pPr>
      <w:r>
        <w:t>Дорожная карта делит горизонт на три этапа. Переход между ними происходит не по календарю, а при выполнении пороговых условий, рассчитанных в § 3.3–3.4. Если условие не выполнено, этап продлевается, а при повторном невыполнении механизм пересматривается. Последовательность этапов и мероприятий показана на рисунке 3.11.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78857"/>
            <wp:docPr id="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11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3.11 – Дорожная карта формирования экосистемы промышленного комплекса Невинномысска, 2027–2036 гг.</w:t>
      </w:r>
    </w:p>
    <w:p>
      <w:pPr>
        <w:ind w:firstLine="0"/>
        <w:jc w:val="center"/>
      </w:pPr>
      <w:r>
        <w:rPr>
          <w:sz w:val="24"/>
        </w:rPr>
        <w:t>Источник: составлено автором по результатам § 3.3–3.4.</w:t>
      </w:r>
    </w:p>
    <w:p>
      <w:pPr>
        <w:jc w:val="both"/>
      </w:pPr>
      <w:r>
        <w:t>Рисунок 3.11 показывает, что контрольные точки сосредоточены в начале горизонта. Именно в 2027–2028 гг. сеть проходит переходную зону, где платформа работает в убыток, и именно здесь решается, будет ли достигнут порог C</w:t>
      </w:r>
      <w:r>
        <w:rPr>
          <w:vertAlign w:val="subscript"/>
        </w:rPr>
        <w:t>min</w:t>
      </w:r>
      <w:r>
        <w:t>. Мероприятия, пороги и ответственные приведены в таблице 3.21.</w:t>
      </w:r>
    </w:p>
    <w:p>
      <w:pPr>
        <w:keepNext/>
        <w:ind w:firstLine="0"/>
        <w:jc w:val="right"/>
      </w:pPr>
      <w:r>
        <w:t>Таблица 3.21</w:t>
      </w:r>
    </w:p>
    <w:p>
      <w:pPr>
        <w:keepNext/>
        <w:ind w:firstLine="0"/>
        <w:jc w:val="center"/>
      </w:pPr>
      <w:r>
        <w:t>Этапы дорожной карты, мероприятия и пороговые условия перехода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Этап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Ключевые мероприятия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Пороговые условия перехода к следующему этапу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Ответственные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I. Запуск, 2027–2029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инвентаризация потоков; запуск оператора и реестра; пилот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и вторсырья; обследование барьера поиска; запрос данных «Азота» (N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O, карбамид, месячные отгрузки)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≥ C</w:t>
            </w:r>
            <w:r>
              <w:rPr>
                <w:sz w:val="24"/>
                <w:vertAlign w:val="subscript"/>
              </w:rPr>
              <w:t>min</w:t>
            </w:r>
            <w:r>
              <w:rPr>
                <w:sz w:val="24"/>
              </w:rPr>
              <w:t xml:space="preserve"> к концу 2028 г.; не менее 13 резидентов в обменах; продажи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выше 32 тыс. т; барьер поиска не ниже 0,9 млн руб./год на резидента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оператор, администрация, СКФУ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II. Масштабирование, 2030–2032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теплотрасса по СЗПК или МЧП; компенсация σ; трансферты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 xml:space="preserve"> и T</w:t>
            </w:r>
            <w:r>
              <w:rPr>
                <w:sz w:val="24"/>
                <w:vertAlign w:val="subscript"/>
              </w:rPr>
              <w:t>кр</w:t>
            </w:r>
            <w:r>
              <w:rPr>
                <w:sz w:val="24"/>
              </w:rPr>
              <w:t>; переход резидентов от льгот ТОСЭР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≥ 0,19; ΔE ≥ 60 млн руб./год; оценка k по (2.6) растёт; покрытие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не ниже 75 %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правительство края, корпорация развития, оператор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III. Самоокупаемость, 2033–2036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отказ от σ при k ≥ 7; сервисный платёж покрывает Z</w:t>
            </w:r>
            <w:r>
              <w:rPr>
                <w:sz w:val="24"/>
                <w:vertAlign w:val="subscript"/>
              </w:rPr>
              <w:t>пл</w:t>
            </w:r>
            <w:r>
              <w:rPr>
                <w:sz w:val="24"/>
              </w:rPr>
              <w:t>; расширение на новых резидентов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условие (3.47) без бюджетной поддержки; индекс I</w:t>
            </w:r>
            <w:r>
              <w:rPr>
                <w:sz w:val="24"/>
                <w:vertAlign w:val="subscript"/>
              </w:rPr>
              <w:t>t</w:t>
            </w:r>
            <w:r>
              <w:rPr>
                <w:sz w:val="24"/>
              </w:rPr>
              <w:t xml:space="preserve"> ≥ 0,6; число резидентов без σ не ниже 15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оператор, наблюдательный совет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пороги — по табл. 3.10–3.12, 3.17.</w:t>
      </w:r>
    </w:p>
    <w:p>
      <w:pPr>
        <w:jc w:val="both"/>
      </w:pPr>
      <w:r>
        <w:t>Пороги таблицы 3.21 выведены из расчётов, а не назначены. Порог первого этапа совпадает с C</w:t>
      </w:r>
      <w:r>
        <w:rPr>
          <w:vertAlign w:val="subscript"/>
        </w:rPr>
        <w:t>min</w:t>
      </w:r>
      <w:r>
        <w:t xml:space="preserve"> (формула 3.34) и равновесием режима Р1 (табл. 3.11). Условие «продажи CO</w:t>
      </w:r>
      <w:r>
        <w:rPr>
          <w:vertAlign w:val="subscript"/>
        </w:rPr>
        <w:t>2</w:t>
      </w:r>
      <w:r>
        <w:t xml:space="preserve"> выше 32 тыс. т» проверяет главную опасность. Условие о барьере проверяет допущение, от которого зависит знак вклада платформы. На втором этапе требование к покрытию C</w:t>
      </w:r>
      <w:r>
        <w:rPr>
          <w:vertAlign w:val="subscript"/>
        </w:rPr>
        <w:t>ликв</w:t>
      </w:r>
      <w:r>
        <w:t xml:space="preserve"> (75 %) соответствует расчётному покрытию при трансферте края 10 млн руб. (74 %). Отказ от σ на третьем этапе допускается, когда рост k делает компенсацию ненужной: при k = 7,5 равновесие без σ (0,192) лишь на 0,016 ниже равновесия с σ (0,208), и цена закрытия разрыва снижается до 1,3 млн руб. в год (п. 3.3.3).</w:t>
      </w:r>
    </w:p>
    <w:p>
      <w:pPr>
        <w:keepNext/>
        <w:jc w:val="both"/>
      </w:pPr>
      <w:r>
        <w:rPr>
          <w:b/>
        </w:rPr>
        <w:t>3.5.5 Оценка результатов после запуска платформы</w:t>
      </w:r>
    </w:p>
    <w:p>
      <w:pPr>
        <w:jc w:val="both"/>
      </w:pPr>
      <w:r>
        <w:t>Предпусковая оценка § 3.3–3.4 опирается на демонстрационную популяцию и аналоговую статистику. После запуска её необходимо заменить фактической оценкой, причём такой, которая отделяет вклад платформы от общего развития города. Международная рамка эко-индустриальных парков требует сравнения с базовой линией, установленной до начала программы</w:t>
      </w:r>
      <w:r>
        <w:rPr>
          <w:vertAlign w:val="superscript"/>
        </w:rPr>
        <w:footnoteReference w:id="25"/>
      </w:r>
      <w:r>
        <w:t>. Для Невинномысска предлагаются два метода — по одному на каждый уровень, где платформа может проявить себя.</w:t>
      </w:r>
    </w:p>
    <w:p>
      <w:pPr>
        <w:jc w:val="both"/>
      </w:pPr>
      <w:r>
        <w:t>На уровне города используется метод синтетического контроля</w:t>
      </w:r>
      <w:r>
        <w:rPr>
          <w:vertAlign w:val="superscript"/>
        </w:rPr>
        <w:footnoteReference w:id="26"/>
      </w:r>
      <w:r>
        <w:t>. Контрафактическая траектория Невинномысска строится как взвешенная комбинация моногородов со статусом ТОР, не имеющих экоплатформы: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ω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sSub>
          <m:e>
            <m:r>
              <w:rPr>
                <w:rFonts w:ascii="Cambria Math" w:hAnsi="Cambria Math"/>
                <w:sz w:val="28"/>
              </w:rPr>
              <m:t xml:space="preserve">τ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(3.50)</w:t>
      </w:r>
    </w:p>
    <w:p>
      <w:pPr>
        <w:ind w:firstLine="0"/>
        <w:jc w:val="both"/>
      </w:pPr>
      <w:r>
        <w:t>где Ŷ</w:t>
      </w:r>
      <w:r>
        <w:rPr>
          <w:vertAlign w:val="subscript"/>
        </w:rPr>
        <w:t>0,t</w:t>
      </w:r>
      <w:r>
        <w:t xml:space="preserve"> — оценка показателя Невинномысска в году t при отсутствии платформы; Y</w:t>
      </w:r>
      <w:r>
        <w:rPr>
          <w:vertAlign w:val="subscript"/>
        </w:rPr>
        <w:t>k,t</w:t>
      </w:r>
      <w:r>
        <w:t xml:space="preserve"> — тот же показатель в моногороде k из донорской группы; ω</w:t>
      </w:r>
      <w:r>
        <w:rPr>
          <w:vertAlign w:val="subscript"/>
        </w:rPr>
        <w:t>k</w:t>
      </w:r>
      <w:r>
        <w:t xml:space="preserve"> — веса, подобранные так, чтобы до запуска платформы (2018–2026 гг.) синтетическая траектория воспроизводила фактическую; τ</w:t>
      </w:r>
      <w:r>
        <w:rPr>
          <w:vertAlign w:val="subscript"/>
        </w:rPr>
        <w:t>t</w:t>
      </w:r>
      <w:r>
        <w:t xml:space="preserve"> — оценка эффекта платформы в году t; Y</w:t>
      </w:r>
      <w:r>
        <w:rPr>
          <w:vertAlign w:val="subscript"/>
        </w:rPr>
        <w:t>0,t</w:t>
      </w:r>
      <w:r>
        <w:t xml:space="preserve"> — фактическое значение.</w:t>
      </w:r>
    </w:p>
    <w:p>
      <w:pPr>
        <w:jc w:val="both"/>
      </w:pPr>
      <w:r>
        <w:t xml:space="preserve">Показателями служат число действующих предприятий на 1000 жителей и доля занятых у градообразующих предприятий, то есть те же величины, по которым А.В. Зубарев и Я.П. Мотякина оценили эффект статуса ТОР [24]. Донорская группа берётся из их выборки, что обеспечивает сопоставимость и исключает из оценки эффект самого статуса ТОР. Если доля занятых у якоря в Невинномысске снизится сильнее, чем у синтетического двойника, это будет свидетельством в пользу платформы. Такая проверка прямо предусмотрена калибровкой § 3.1.</w:t>
      </w:r>
    </w:p>
    <w:p>
      <w:pPr>
        <w:jc w:val="both"/>
      </w:pPr>
      <w:r>
        <w:t>На уровне предприятий используется метод разности разностей при разновременном подключении резидентов</w:t>
      </w:r>
      <w:r>
        <w:rPr>
          <w:vertAlign w:val="superscript"/>
        </w:rPr>
        <w:footnoteReference w:id="27"/>
      </w:r>
      <w:r>
        <w:t>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y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α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r>
          <w:rPr>
            <w:rFonts w:ascii="Cambria Math" w:hAnsi="Cambria Math"/>
            <w:sz w:val="28"/>
          </w:rPr>
          <m:t xml:space="preserve">β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D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ε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(3.51)</w:t>
      </w:r>
    </w:p>
    <w:p>
      <w:pPr>
        <w:ind w:firstLine="0"/>
        <w:jc w:val="both"/>
      </w:pPr>
      <w:r>
        <w:t>где y</w:t>
      </w:r>
      <w:r>
        <w:rPr>
          <w:vertAlign w:val="subscript"/>
        </w:rPr>
        <w:t>jt</w:t>
      </w:r>
      <w:r>
        <w:t xml:space="preserve"> — показатель резидента j в году t (затраты на ресурсы на рубль выручки, рентабельность продаж по данным бухгалтерской отчётности); α</w:t>
      </w:r>
      <w:r>
        <w:rPr>
          <w:vertAlign w:val="subscript"/>
        </w:rPr>
        <w:t>j</w:t>
      </w:r>
      <w:r>
        <w:t xml:space="preserve"> — постоянный эффект резидента; λ</w:t>
      </w:r>
      <w:r>
        <w:rPr>
          <w:vertAlign w:val="subscript"/>
        </w:rPr>
        <w:t>t</w:t>
      </w:r>
      <w:r>
        <w:t xml:space="preserve"> — эффект года; D</w:t>
      </w:r>
      <w:r>
        <w:rPr>
          <w:vertAlign w:val="subscript"/>
        </w:rPr>
        <w:t>jt</w:t>
      </w:r>
      <w:r>
        <w:t xml:space="preserve"> — индикатор, равный единице с года заключения первого договора через платформу; β — эффект участия; ε</w:t>
      </w:r>
      <w:r>
        <w:rPr>
          <w:vertAlign w:val="subscript"/>
        </w:rPr>
        <w:t>jt</w:t>
      </w:r>
      <w:r>
        <w:t xml:space="preserve"> — случайная составляющая.</w:t>
      </w:r>
    </w:p>
    <w:p>
      <w:pPr>
        <w:jc w:val="both"/>
      </w:pPr>
      <w:r>
        <w:t>Резиденты подключаются в разные годы (по траектории § 3.3 в 2027–2029 гг.), поэтому оценка β выполняется с поправкой на разновременность: каждая когорта сравнивается с ещё не подключившимися резидентами того же года. Это исключает смещение, возникающее в двусторонней модели с фиксированными эффектами, когда ранние участники служат контролем для поздних. Состав оценок после запуска сведён в таблице 3.22.</w:t>
      </w:r>
    </w:p>
    <w:p>
      <w:pPr>
        <w:keepNext/>
        <w:ind w:firstLine="0"/>
        <w:jc w:val="right"/>
      </w:pPr>
      <w:r>
        <w:t>Таблица 3.22</w:t>
      </w:r>
    </w:p>
    <w:p>
      <w:pPr>
        <w:keepNext/>
        <w:ind w:firstLine="0"/>
        <w:jc w:val="center"/>
      </w:pPr>
      <w:r>
        <w:t>План оценки результатов экоплатформы после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202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Вопрос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Данные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Период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Опровергающий результат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Вырос ли дополнительный эффект?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аудит ΔE по (2.7)–(2.9)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реестр платформы, первичные документы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ΔE &lt; 0 при C ≥ C</w:t>
            </w:r>
            <w:r>
              <w:rPr>
                <w:sz w:val="24"/>
                <w:vertAlign w:val="subscript"/>
              </w:rPr>
              <w:t>min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Создаёт ли поток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эффект?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сравнение Q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 и 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помесячные отгрузки «Азота» всем покупателям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ежемесячно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 ≤ 32 тыс. т при действующих договорах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Растёт ли k?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(2.6)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и C</w:t>
            </w:r>
            <w:r>
              <w:rPr>
                <w:sz w:val="24"/>
                <w:vertAlign w:val="subscript"/>
              </w:rPr>
              <w:t>стоим</w:t>
            </w:r>
            <w:r>
              <w:rPr>
                <w:sz w:val="24"/>
              </w:rPr>
              <w:t xml:space="preserve"> по реестру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 с 2028 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k не растёт три года подряд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Выигрывают ли резиденты?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разность разностей (3.51)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отчётность резидентов (СПАРК), реестр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2029, 2032, 2036 гг.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β не отличается от нуля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Меняется ли структура моногорода?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синтетический контроль (3.50)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данные Росстата по моногородам с ТОР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2030, 2036 гг.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t</w:t>
            </w:r>
            <w:r>
              <w:rPr>
                <w:sz w:val="24"/>
              </w:rPr>
              <w:t xml:space="preserve"> в пределах разброса до запуска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Нет ли эффекта отдачи?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условие (3.29)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помесячный выпуск аммиака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прирост выпуска сверх 0,74–2,8 % при росте выбросов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Выполняется ли финансовая архитектура?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условия (3.47)–(3.49)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бюджетная отчётность, отчёт оператора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дефицит любого контура два года подряд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автором.</w:t>
      </w:r>
    </w:p>
    <w:p>
      <w:pPr>
        <w:jc w:val="both"/>
      </w:pPr>
      <w:r>
        <w:t>Таблица 3.22 связывает оценку после запуска с допущениями, на которых построена глава. Каждая строка проверяет одно из них: контрфактическую базу CO</w:t>
      </w:r>
      <w:r>
        <w:rPr>
          <w:vertAlign w:val="subscript"/>
        </w:rPr>
        <w:t>2</w:t>
      </w:r>
      <w:r>
        <w:t>, рост институциональной среды, выигрыш резидентов, изменение структуры моногорода, отсутствие эффекта отдачи и финансовую замкнутость механизма. Опровергающий результат в любой строке указывает, какой элемент механизма пересматривается, и не требует отказа от механизма в целом.</w:t>
      </w:r>
    </w:p>
    <w:p>
      <w:pPr>
        <w:jc w:val="both"/>
      </w:pPr>
      <w:r>
        <w:t>Предприятие-якорь подтверждает применимость результатов справкой о внедрении. Для её подготовки и для замены параметров класса C фактическими значениями у АО «Невинномысский Азот» запрашиваются мощность по аммиаку, сведения о каталитической очистке N</w:t>
      </w:r>
      <w:r>
        <w:rPr>
          <w:vertAlign w:val="subscript"/>
        </w:rPr>
        <w:t>2</w:t>
      </w:r>
      <w:r>
        <w:t>O на агрегатах азотной кислоты, выпуск карбамида, аммиачной селитры и азотной кислоты, помесячная отгрузка CO</w:t>
      </w:r>
      <w:r>
        <w:rPr>
          <w:vertAlign w:val="subscript"/>
        </w:rPr>
        <w:t>2</w:t>
      </w:r>
      <w:r>
        <w:t xml:space="preserve"> всем покупателям, помесячный выпуск аммиака и график плановых ремонтов. Перечень упорядочен по влиянию на выводы. Наличие очистки N</w:t>
      </w:r>
      <w:r>
        <w:rPr>
          <w:vertAlign w:val="subscript"/>
        </w:rPr>
        <w:t>2</w:t>
      </w:r>
      <w:r>
        <w:t>O меняет углеродный профиль якоря вдвое, отгрузки CO</w:t>
      </w:r>
      <w:r>
        <w:rPr>
          <w:vertAlign w:val="subscript"/>
        </w:rPr>
        <w:t>2</w:t>
      </w:r>
      <w:r>
        <w:t xml:space="preserve"> проверяют главную опасность, выпуск аммиака проверяет эффект отдачи.</w:t>
      </w:r>
    </w:p>
    <w:p>
      <w:pPr>
        <w:keepNext/>
        <w:jc w:val="both"/>
      </w:pPr>
      <w:r>
        <w:rPr>
          <w:b/>
        </w:rPr>
        <w:t>Выводы по главе 3</w:t>
      </w:r>
    </w:p>
    <w:p>
      <w:pPr>
        <w:jc w:val="both"/>
      </w:pPr>
      <w:r>
        <w:t>1. Параметры модели экоплатформы, которые АО «Невинномысский Азот» не раскрывает, откалиброваны по открытой отчётности 19 интегрированных азотных комплексов США. Перенос ограничен относительной динамикой и удельными показателями на тонну мощности, каждому параметру присвоен класс качества. Выбросы CO</w:t>
      </w:r>
      <w:r>
        <w:rPr>
          <w:vertAlign w:val="subscript"/>
        </w:rPr>
        <w:t>2</w:t>
      </w:r>
      <w:r>
        <w:t xml:space="preserve"> «Азота» в границе МГЭИК оценены в 1,81 млн т. Выбросы N</w:t>
      </w:r>
      <w:r>
        <w:rPr>
          <w:vertAlign w:val="subscript"/>
        </w:rPr>
        <w:t>2</w:t>
      </w:r>
      <w:r>
        <w:t>O составляют 0,49 млн т CO</w:t>
      </w:r>
      <w:r>
        <w:rPr>
          <w:vertAlign w:val="subscript"/>
        </w:rPr>
        <w:t>2</w:t>
      </w:r>
      <w:r>
        <w:t>-экв. при очистке уровня американских заводов и 2,39 млн т без неё, и это главная неопределённость главы. Свободный технологический CO</w:t>
      </w:r>
      <w:r>
        <w:rPr>
          <w:vertAlign w:val="subscript"/>
        </w:rPr>
        <w:t>2</w:t>
      </w:r>
      <w:r>
        <w:t xml:space="preserve"> (около 0,9 млн т в год) многократно превышает возможный спрос, поэтому обмены CO</w:t>
      </w:r>
      <w:r>
        <w:rPr>
          <w:vertAlign w:val="subscript"/>
        </w:rPr>
        <w:t>2</w:t>
      </w:r>
      <w:r>
        <w:t xml:space="preserve"> в Невинномысске ограничены спросом, а не предложением. Эффект платформы засчитывается только для прироста продаж сверх действующих 32 тыс. т, а углеродная часть эффекта по правилам CBAM для всех обсуждаемых потоков равна нулю.</w:t>
      </w:r>
    </w:p>
    <w:p>
      <w:pPr>
        <w:jc w:val="both"/>
      </w:pPr>
      <w:r>
        <w:t>2. Разработана двухуровневая модель равновесной связности экосистемы с якорным предприятием. На нижнем уровне резиденты решают об участии с учётом нормы ТОСЭР, заданной на выручке инвестиционного проекта. На верхнем уровне оператор и публичный партнёр выбирают параметры механизма с учётом бюджетного ограничения на ликвидацию ущерба. Разрыв между оптимальной и равновесной связностью получил денежную меру — цену закрытия Z</w:t>
      </w:r>
      <w:r>
        <w:rPr>
          <w:vertAlign w:val="subscript"/>
        </w:rPr>
        <w:t>min</w:t>
      </w:r>
      <w:r>
        <w:t>. Вектор Шепли скорректирован на риск остановки якоря, а норма 50 % сопоставлена с критической долей зависимости резидента-поставщика: для низкомаржинальных резидентов она мягка, для высокомаржинальных — жёстка.</w:t>
      </w:r>
    </w:p>
    <w:p>
      <w:pPr>
        <w:jc w:val="both"/>
      </w:pPr>
      <w:r>
        <w:t>3. Три состояния экосистемы, выделявшиеся в симуляторе сценарно, получили экономическое содержание. Граница между переходным и экосистемным состоянием определяется порогом окупаемости платформы C</w:t>
      </w:r>
      <w:r>
        <w:rPr>
          <w:vertAlign w:val="subscript"/>
        </w:rPr>
        <w:t>min</w:t>
      </w:r>
      <w:r>
        <w:t xml:space="preserve"> = −ln(1 − Z</w:t>
      </w:r>
      <w:r>
        <w:rPr>
          <w:vertAlign w:val="subscript"/>
        </w:rPr>
        <w:t>пл</w:t>
      </w:r>
      <w:r>
        <w:t>/ΣE)/k, который снижается с 0,089 в 2027 г. до 0,062 в 2036 г. Переходное состояние — зона, где платформа уже несёт затраты, а связей недостаточно для их возмещения.</w:t>
      </w:r>
    </w:p>
    <w:p>
      <w:pPr>
        <w:jc w:val="both"/>
      </w:pPr>
      <w:r>
        <w:t>4. Модель без информационного барьера предсказывает участие 13 резидентов и без платформы, тогда как в Невинномысске действует одна связь. Наблюдаемое состояние воспроизводится при барьере поиска и согласования не менее 1,75 млн руб. в год на резидента. Платформа превосходит двусторонние сделки, только если барьер не ниже 0,9–1,05 млн руб., и это условие опровержения вклада платформы выносится на обследование резидентов.</w:t>
      </w:r>
    </w:p>
    <w:p>
      <w:pPr>
        <w:jc w:val="both"/>
      </w:pPr>
      <w:r>
        <w:t>5. При равновесной связности 0,17–0,21 дополнительный эффект платформы составляет 40–78 млн руб. в год, а не 117,4 млн руб. полной реализации. Приведённая стоимость эффекта за 2027–2036 гг. равна 302–337 млн руб. в зависимости от механизма. Дивиденд почти не влияет на участие резидентов, тогда как компенсация 30 % затрат подключения добавляет четырёх участников при бюджетных затратах около 2,6 млн руб. в год и повышает устойчивость эффекта к опасностям. Вероятность положительного эффекта по 25 000 испытаниям Монте-Карло не ниже 0,956 во всех сценариях опасностей. Наибольшую опасность создаёт переключение прежних покупателей углекислоты, а не простой якоря.</w:t>
      </w:r>
    </w:p>
    <w:p>
      <w:pPr>
        <w:jc w:val="both"/>
      </w:pPr>
      <w:r>
        <w:t>6. Дивиденд не покрывает потребность в ликвидации накопленного ущерба ни при одном сочетании параметров: внешний источник должен давать 86–91 % средств. Баланс бенефициаров показал, что основной выигрыш получают резиденты ТОСЭР, а основной проигравший — бюджет города, теряющий плату за НВОС. Поскольку с 2022 г. эта плата целевым образом направляется на ликвидацию накопленного вреда, платформа сужает законный источник финансирования ликвидации, и механизм обязан его замещать.</w:t>
      </w:r>
    </w:p>
    <w:p>
      <w:pPr>
        <w:jc w:val="both"/>
      </w:pPr>
      <w:r>
        <w:t>7. Предложен трёхкомпонентный индекс устойчивого развития экосистемы с нормированием показателей между заранее заданными худшим и целевым значениями. Координируемый сценарий повышает индекс с 0,344 до 0,576 при любых весах составляющих. Экоплатформа не является инструментом декарбонизации якоря: она сокращает его выбросы на 0,2–0,4 %, тогда как очистка N</w:t>
      </w:r>
      <w:r>
        <w:rPr>
          <w:vertAlign w:val="subscript"/>
        </w:rPr>
        <w:t>2</w:t>
      </w:r>
      <w:r>
        <w:t>O — на 38 %, а приведённые углеродные платежи при сценарной цене в 66 раз превышают эффект платформы. Связь выпуска и выбросов якоря без очистки остаётся расширенной (коэффициент Тапио около 1), с очисткой достигается сильная развязка.</w:t>
      </w:r>
    </w:p>
    <w:p>
      <w:pPr>
        <w:jc w:val="both"/>
      </w:pPr>
      <w:r>
        <w:t>8. Разработан организационно-экономический механизм с разделением функций измерения и получения эффекта, доверительным управлением данными и тремя финансовыми контурами: операционным (сервисный платёж и возмещение затрат на теплотрассу по СЗПК), стимулирующим (компенсация σ по подтверждённым договорам) и экологическим (дивиденд, трансферт края и целевая плата за НВОС). Обоснован объём публичной поддержки — 28–32 млн руб. в год сверх дивиденда на компенсацию городу и ликвидацию ущерба, из которых краевой трансферт покрывает около трети. Дорожная карта на 2027–2036 гг. разделена на три этапа с пороговыми условиями перехода, выведенными из расчётов. План оценки после запуска (синтетический контроль по моногородам с ТОР и разность разностей по резидентам) для каждого допущения главы указывает наблюдение, способное его опровергнуть.</w:t>
      </w:r>
    </w:p>
    <w:p>
      <w:pPr>
        <w:keepNext/>
        <w:ind w:firstLine="0"/>
        <w:jc w:val="center"/>
      </w:pPr>
      <w:r>
        <w:rPr>
          <w:b/>
        </w:rPr>
        <w:t xml:space="preserve">Приложение А. Экранные формы симулятора экоплатформы</w:t>
      </w:r>
    </w:p>
    <w:p>
      <w:pPr>
        <w:jc w:val="both"/>
      </w:pPr>
      <w:r>
        <w:t>Экранные формы получены на автономной сборке симулятора DYNSIM v4.2 (коммит bab1ca2 от 15.10.2026) при параметрах по умолчанию; изменялись только горизонт прогноза и индекс связности C</w:t>
      </w:r>
      <w:r>
        <w:rPr>
          <w:vertAlign w:val="subscript"/>
        </w:rPr>
        <w:t>инд</w:t>
      </w:r>
      <w:r>
        <w:t xml:space="preserve">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1_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А.1 – Линейное состояние экосистемы: C</w:t>
      </w:r>
      <w:r>
        <w:rPr>
          <w:vertAlign w:val="subscript"/>
        </w:rPr>
        <w:t>инд</w:t>
      </w:r>
      <w:r>
        <w:t xml:space="preserve"> = 0,03, 2027 г.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Граф потоков показывает только отходы, дивиденд равен нулю, ΔE(t) = −69,6 млн руб.: платформа несёт затраты без эффекта.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2_to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А.2 – Переходное состояние экосистемы: C</w:t>
      </w:r>
      <w:r>
        <w:rPr>
          <w:vertAlign w:val="subscript"/>
        </w:rPr>
        <w:t>инд</w:t>
      </w:r>
      <w:r>
        <w:t xml:space="preserve"> = 0,08, 2027 г.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Связность ниже порога C</w:t>
      </w:r>
      <w:r>
        <w:rPr>
          <w:vertAlign w:val="subscript"/>
        </w:rPr>
        <w:t>min</w:t>
      </w:r>
      <w:r>
        <w:t xml:space="preserve"> = 0,089, поэтому ΔE(t) отрицателен и дивиденд не начисляется.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3_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А.3 – Экосистемное состояние: C</w:t>
      </w:r>
      <w:r>
        <w:rPr>
          <w:vertAlign w:val="subscript"/>
        </w:rPr>
        <w:t>инд</w:t>
      </w:r>
      <w:r>
        <w:t xml:space="preserve"> = 0,19, 2030 г.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Эффект и дивиденд положительны; распределение SD показано по получателям схемы В.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6182"/>
            <wp:docPr id="15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_char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А.4 – Вкладка «Двухуровневая модель»: отображение Γ(C; θ) и цена закрытия разрыва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Равновесие C</w:t>
      </w:r>
      <w:r>
        <w:rPr>
          <w:vertAlign w:val="superscript"/>
        </w:rPr>
        <w:t>**</w:t>
      </w:r>
      <w:r>
        <w:t xml:space="preserve"> — первое пересечение ступенчатой линии Γ с биссектрисой; справа — Π(Ĉ), Z</w:t>
      </w:r>
      <w:r>
        <w:rPr>
          <w:vertAlign w:val="subscript"/>
        </w:rPr>
        <w:t>min</w:t>
      </w:r>
      <w:r>
        <w:t>(Ĉ) и их разность, максимум которой задаёт Ĉ.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xmlns:w="http://schemas.openxmlformats.org/wordprocessingml/2006/main" w:id="1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IPCC. Climate Change 2007: The Physical Science Basis. Contribution of Working Group I to the Fourth Assessment Report. Cambridge: Cambridge University Press, 2007.</w:t>
      </w:r>
    </w:p>
  </w:footnote>
  <w:footnote xmlns:w="http://schemas.openxmlformats.org/wordprocessingml/2006/main" w:id="2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Efron B. Bootstrap Methods: Another Look at the Jackknife // The Annals of Statistics. 1979. Vol. 7, no. 1. P. 1–26.</w:t>
      </w:r>
    </w:p>
  </w:footnote>
  <w:footnote xmlns:w="http://schemas.openxmlformats.org/wordprocessingml/2006/main" w:id="3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Требования к инвестиционным проектам резидентов территорий опережающего социально-экономического развития, создаваемых на территориях монопрофильных муниципальных образований Российской Федерации (моногородов): утв. постановлением Правительства РФ от 22.06.2015 № 614 (в ред. постановления Правительства РФ от 24.06.2020 № 918, с изм. от 21.07.2023 № 1179). Подп. «в» п. 1. Доступ из СПС «КонсультантПлюс».</w:t>
      </w:r>
    </w:p>
  </w:footnote>
  <w:footnote xmlns:w="http://schemas.openxmlformats.org/wordprocessingml/2006/main" w:id="4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Tan R.R., Aviso K.B. An inverse optimization approach to inducing resource conservation in eco-industrial parks // Computer Aided Chemical Engineering. 2012. Vol. 31. P. 775–779. DOI: 10.1016/B978-0-444-59507-2.50147-5.</w:t>
      </w:r>
    </w:p>
  </w:footnote>
  <w:footnote xmlns:w="http://schemas.openxmlformats.org/wordprocessingml/2006/main" w:id="5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Daş G.S., Yeşilkaya M., Altınkaynak B., Birgören B. Modeling an industrial symbiosis network using bilevel programming // 62nd International Scientific Conference on Information Technology and Management Science of Riga Technical University (ITMS 2021). Riga, 2021. DOI: 10.1109/ITMS52826.2021.9615312.</w:t>
      </w:r>
    </w:p>
  </w:footnote>
  <w:footnote xmlns:w="http://schemas.openxmlformats.org/wordprocessingml/2006/main" w:id="6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Chin H.H., Varbanov P.S., Klemeš J.J., Bandyopadhyay S. Subsidised water symbiosis of eco-industrial parks: A multi-stage game theory approach // Computers and Chemical Engineering. 2021. Vol. 155. Art. 107539. DOI: 10.1016/j.compchemeng.2021.107539.</w:t>
      </w:r>
    </w:p>
  </w:footnote>
  <w:footnote xmlns:w="http://schemas.openxmlformats.org/wordprocessingml/2006/main" w:id="7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Tarski A. A lattice-theoretical fixpoint theorem and its applications // Pacific Journal of Mathematics. 1955. Vol. 5, № 2. P. 285–309.</w:t>
      </w:r>
    </w:p>
  </w:footnote>
  <w:footnote xmlns:w="http://schemas.openxmlformats.org/wordprocessingml/2006/main" w:id="8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Jackson M.O., Wolinsky A. A strategic model of social and economic networks // Journal of Economic Theory. 1996. Vol. 71, № 1. P. 44–74.</w:t>
      </w:r>
    </w:p>
  </w:footnote>
  <w:footnote xmlns:w="http://schemas.openxmlformats.org/wordprocessingml/2006/main" w:id="9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Gerarden T.D., Newell R.G., Stavins R.N. Assessing the energy-efficiency gap // Journal of Economic Literature. 2017. Vol. 55, № 4. P. 1486–1525.</w:t>
      </w:r>
    </w:p>
  </w:footnote>
  <w:footnote xmlns:w="http://schemas.openxmlformats.org/wordprocessingml/2006/main" w:id="10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xmlns:w="http://schemas.openxmlformats.org/wordprocessingml/2006/main" w:id="11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xmlns:w="http://schemas.openxmlformats.org/wordprocessingml/2006/main" w:id="12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Jin Y., Li S., Jiang D. Cooperative game based cost analysis of multi-plant heat exchanger network integration in chemical industry park // Chemical Engineering Transactions. 2017. Vol. 61. P. 1219–1224.</w:t>
      </w:r>
    </w:p>
  </w:footnote>
  <w:footnote xmlns:w="http://schemas.openxmlformats.org/wordprocessingml/2006/main" w:id="13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xmlns:w="http://schemas.openxmlformats.org/wordprocessingml/2006/main" w:id="14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Zhang Y., Zheng H., Shi H., Yu X., Liu G., Su M., Li Y., Chai Y. Network analysis of eight industrial symbiosis systems // Frontiers of Earth Science. 2016. Vol. 10, № 2. P. 352–365. DOI: 10.1007/s11707-015-0520-9.</w:t>
      </w:r>
    </w:p>
  </w:footnote>
  <w:footnote xmlns:w="http://schemas.openxmlformats.org/wordprocessingml/2006/main" w:id="15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Chopra S.S., Khanna V. Understanding resilience in industrial symbiosis networks: Insights from network analysis // Journal of Environmental Management. 2014. Vol. 141. P. 86–94.</w:t>
      </w:r>
    </w:p>
  </w:footnote>
  <w:footnote xmlns:w="http://schemas.openxmlformats.org/wordprocessingml/2006/main" w:id="16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Tapio P. Towards a theory of decoupling: degrees of decoupling in the EU and the case of road traffic in Finland between 1970 and 2001 // Transport Policy. 2005. Vol. 12, № 2. P. 137–151.</w:t>
      </w:r>
    </w:p>
  </w:footnote>
  <w:footnote xmlns:w="http://schemas.openxmlformats.org/wordprocessingml/2006/main" w:id="17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xmlns:w="http://schemas.openxmlformats.org/wordprocessingml/2006/main" w:id="18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xmlns:w="http://schemas.openxmlformats.org/wordprocessingml/2006/main" w:id="19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xmlns:w="http://schemas.openxmlformats.org/wordprocessingml/2006/main" w:id="20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О Стратегии социально-экономического развития Ставропольского края до 2035 года: закон Ставропольского края от 27.12.2019 № 110-кз. Доступ из СПС «Гарант».</w:t>
      </w:r>
    </w:p>
  </w:footnote>
  <w:footnote xmlns:w="http://schemas.openxmlformats.org/wordprocessingml/2006/main" w:id="21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Об утверждении Стратегии социально-экономического развития Российской Федерации с низким уровнем выбросов парниковых газов до 2050 года: распоряжение Правительства РФ от 29.10.2021 № 3052-р. Доступ из СПС «КонсультантПлюс».</w:t>
      </w:r>
    </w:p>
  </w:footnote>
  <w:footnote xmlns:w="http://schemas.openxmlformats.org/wordprocessingml/2006/main" w:id="22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Handbook on Constructing Composite Indicators: Methodology and User Guide / OECD, European Commission JRC. Paris: OECD Publishing, 2008. 158 p. DOI: 10.1787/9789264043466-en.</w:t>
      </w:r>
    </w:p>
  </w:footnote>
  <w:footnote xmlns:w="http://schemas.openxmlformats.org/wordprocessingml/2006/main" w:id="23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Tapio P. Towards a theory of decoupling: degrees of decoupling in the EU and the case of road traffic in Finland between 1970 and 2001 // Transport Policy. 2005. Vol. 12, № 2. P. 137–151. DOI: 10.1016/j.tranpol.2005.01.001.</w:t>
      </w:r>
    </w:p>
  </w:footnote>
  <w:footnote xmlns:w="http://schemas.openxmlformats.org/wordprocessingml/2006/main" w:id="24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Delacroix S., Lawrence N.D. Bottom-up data trusts: disturbing the ‘one size fits all’ approach to data governance // International Data Privacy Law. 2019. Vol. 9, № 4. P. 236–252. DOI: 10.1093/idpl/ipz014.</w:t>
      </w:r>
    </w:p>
  </w:footnote>
  <w:footnote xmlns:w="http://schemas.openxmlformats.org/wordprocessingml/2006/main" w:id="25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An International Framework for Eco-Industrial Parks. Version 2.0 / UNIDO, World Bank Group, GIZ. Washington, DC: World Bank, 2021. 164 p.</w:t>
      </w:r>
    </w:p>
  </w:footnote>
  <w:footnote xmlns:w="http://schemas.openxmlformats.org/wordprocessingml/2006/main" w:id="26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Abadie A., Diamond A., Hainmueller J. Synthetic control methods for comparative case studies: estimating the effect of California’s tobacco control program // Journal of the American Statistical Association. 2010. Vol. 105, № 490. P. 493–505. DOI: 10.1198/jasa.2009.ap08746.</w:t>
      </w:r>
    </w:p>
  </w:footnote>
  <w:footnote xmlns:w="http://schemas.openxmlformats.org/wordprocessingml/2006/main" w:id="27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Callaway B., Sant’Anna P.H.C. Difference-in-differences with multiple time periods // Journal of Econometrics. 2021. Vol. 225, № 2. P. 200–230. DOI: 10.1016/j.jeconom.2020.12.001.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h3_1.png"/><Relationship Id="rId10" Type="http://schemas.openxmlformats.org/officeDocument/2006/relationships/image" Target="media/ch3_2.svg"/><Relationship Id="rId11" Type="http://schemas.openxmlformats.org/officeDocument/2006/relationships/image" Target="media/ch3_3.png"/><Relationship Id="rId12" Type="http://schemas.openxmlformats.org/officeDocument/2006/relationships/image" Target="media/ch3_4.svg"/><Relationship Id="rId13" Type="http://schemas.openxmlformats.org/officeDocument/2006/relationships/image" Target="media/ch3_5.png"/><Relationship Id="rId14" Type="http://schemas.openxmlformats.org/officeDocument/2006/relationships/image" Target="media/ch3_6.svg"/><Relationship Id="rId15" Type="http://schemas.openxmlformats.org/officeDocument/2006/relationships/image" Target="media/ch3_7.png"/><Relationship Id="rId16" Type="http://schemas.openxmlformats.org/officeDocument/2006/relationships/image" Target="media/ch3_8.svg"/><Relationship Id="rId17" Type="http://schemas.openxmlformats.org/officeDocument/2006/relationships/image" Target="media/ch3_9.png"/><Relationship Id="rId18" Type="http://schemas.openxmlformats.org/officeDocument/2006/relationships/image" Target="media/ch3_10.svg"/><Relationship Id="rId19" Type="http://schemas.openxmlformats.org/officeDocument/2006/relationships/image" Target="media/ch3_11.png"/><Relationship Id="rId20" Type="http://schemas.openxmlformats.org/officeDocument/2006/relationships/image" Target="media/ch3_12.svg"/><Relationship Id="rId21" Type="http://schemas.openxmlformats.org/officeDocument/2006/relationships/image" Target="media/ch3_13.png"/><Relationship Id="rId22" Type="http://schemas.openxmlformats.org/officeDocument/2006/relationships/image" Target="media/ch3_14.svg"/><Relationship Id="rId23" Type="http://schemas.openxmlformats.org/officeDocument/2006/relationships/image" Target="media/ch3_15.png"/><Relationship Id="rId24" Type="http://schemas.openxmlformats.org/officeDocument/2006/relationships/image" Target="media/ch3_16.svg"/><Relationship Id="rId25" Type="http://schemas.openxmlformats.org/officeDocument/2006/relationships/image" Target="media/ch3_17.png"/><Relationship Id="rId26" Type="http://schemas.openxmlformats.org/officeDocument/2006/relationships/image" Target="media/ch3_18.svg"/><Relationship Id="rId27" Type="http://schemas.openxmlformats.org/officeDocument/2006/relationships/image" Target="media/ch3_19.png"/><Relationship Id="rId28" Type="http://schemas.openxmlformats.org/officeDocument/2006/relationships/image" Target="media/ch3_20.svg"/><Relationship Id="rId29" Type="http://schemas.openxmlformats.org/officeDocument/2006/relationships/image" Target="media/ch3_21.png"/><Relationship Id="rId30" Type="http://schemas.openxmlformats.org/officeDocument/2006/relationships/image" Target="media/ch3_22.svg"/><Relationship Id="rId31" Type="http://schemas.openxmlformats.org/officeDocument/2006/relationships/image" Target="media/ch3_23.png"/><Relationship Id="rId32" Type="http://schemas.openxmlformats.org/officeDocument/2006/relationships/image" Target="media/ch3_24.png"/><Relationship Id="rId33" Type="http://schemas.openxmlformats.org/officeDocument/2006/relationships/image" Target="media/ch3_25.png"/><Relationship Id="rId34" Type="http://schemas.openxmlformats.org/officeDocument/2006/relationships/image" Target="media/ch3_26.png"/><Relationship Id="rId35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Гладков К.Г.</dc:creator>
  <cp:lastModifiedBy>Гладков К.Г.</cp:lastModifiedBy>
  <cp:revision>1</cp:revision>
  <dcterms:created xsi:type="dcterms:W3CDTF">2026-10-21T19:58:14Z</dcterms:created>
  <dcterms:modified xsi:type="dcterms:W3CDTF">2026-10-24T12:40:00Z</dcterms:modified>
</cp:coreProperties>
</file>