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theme/themeOverride2.xml" ContentType="application/vnd.openxmlformats-officedocument.themeOverrid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theme/themeOverride3.xml" ContentType="application/vnd.openxmlformats-officedocument.themeOverrid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theme/themeOverride4.xml" ContentType="application/vnd.openxmlformats-officedocument.themeOverrid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theme/themeOverride5.xml" ContentType="application/vnd.openxmlformats-officedocument.themeOverrid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theme/themeOverride6.xml" ContentType="application/vnd.openxmlformats-officedocument.themeOverrid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theme/themeOverride7.xml" ContentType="application/vnd.openxmlformats-officedocument.themeOverrid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theme/themeOverride8.xml" ContentType="application/vnd.openxmlformats-officedocument.themeOverrid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theme/themeOverride9.xml" ContentType="application/vnd.openxmlformats-officedocument.themeOverrid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theme/themeOverride10.xml" ContentType="application/vnd.openxmlformats-officedocument.themeOverrid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theme/themeOverride11.xml" ContentType="application/vnd.openxmlformats-officedocument.themeOverrid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theme/themeOverride12.xml" ContentType="application/vnd.openxmlformats-officedocument.themeOverrid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theme/themeOverride13.xml" ContentType="application/vnd.openxmlformats-officedocument.themeOverride+xml"/>
  <Override PartName="/word/charts/chart14.xml" ContentType="application/vnd.openxmlformats-officedocument.drawingml.chart+xml"/>
  <Override PartName="/word/charts/style14.xml" ContentType="application/vnd.ms-office.chartstyle+xml"/>
  <Override PartName="/word/charts/colors14.xml" ContentType="application/vnd.ms-office.chartcolorstyle+xml"/>
  <Override PartName="/word/theme/themeOverride14.xml" ContentType="application/vnd.openxmlformats-officedocument.themeOverride+xml"/>
  <Override PartName="/word/charts/chart15.xml" ContentType="application/vnd.openxmlformats-officedocument.drawingml.chart+xml"/>
  <Override PartName="/word/charts/style15.xml" ContentType="application/vnd.ms-office.chartstyle+xml"/>
  <Override PartName="/word/charts/colors15.xml" ContentType="application/vnd.ms-office.chartcolorstyle+xml"/>
  <Override PartName="/word/theme/themeOverride15.xml" ContentType="application/vnd.openxmlformats-officedocument.themeOverride+xml"/>
  <Override PartName="/word/charts/chart16.xml" ContentType="application/vnd.openxmlformats-officedocument.drawingml.chart+xml"/>
  <Override PartName="/word/charts/style16.xml" ContentType="application/vnd.ms-office.chartstyle+xml"/>
  <Override PartName="/word/charts/colors16.xml" ContentType="application/vnd.ms-office.chartcolorstyle+xml"/>
  <Override PartName="/word/theme/themeOverride16.xml" ContentType="application/vnd.openxmlformats-officedocument.themeOverride+xml"/>
  <Override PartName="/word/charts/chart17.xml" ContentType="application/vnd.openxmlformats-officedocument.drawingml.chart+xml"/>
  <Override PartName="/word/charts/style17.xml" ContentType="application/vnd.ms-office.chartstyle+xml"/>
  <Override PartName="/word/charts/colors17.xml" ContentType="application/vnd.ms-office.chartcolorstyle+xml"/>
  <Override PartName="/word/theme/themeOverride17.xml" ContentType="application/vnd.openxmlformats-officedocument.themeOverride+xml"/>
  <Override PartName="/word/charts/chart18.xml" ContentType="application/vnd.openxmlformats-officedocument.drawingml.chart+xml"/>
  <Override PartName="/word/charts/style18.xml" ContentType="application/vnd.ms-office.chartstyle+xml"/>
  <Override PartName="/word/charts/colors18.xml" ContentType="application/vnd.ms-office.chartcolorstyle+xml"/>
  <Override PartName="/word/theme/themeOverride18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8B1E0" w14:textId="77777777" w:rsidR="008D22DB" w:rsidRPr="008D22DB" w:rsidRDefault="008D22DB" w:rsidP="008D22DB">
      <w:pPr>
        <w:adjustRightInd w:val="0"/>
        <w:spacing w:after="0" w:line="360" w:lineRule="auto"/>
        <w:ind w:firstLine="709"/>
        <w:jc w:val="center"/>
        <w:rPr>
          <w:rFonts w:cs="Times New Roman"/>
          <w:b/>
          <w:bCs/>
          <w:caps/>
          <w:kern w:val="0"/>
          <w:sz w:val="28"/>
          <w:szCs w:val="28"/>
          <w14:ligatures w14:val="none"/>
        </w:rPr>
      </w:pPr>
      <w:r w:rsidRPr="008D22DB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>ГЛАВА</w:t>
      </w:r>
      <w:r w:rsidRPr="008D22DB">
        <w:rPr>
          <w:rFonts w:ascii="Times New Roman Полужирный" w:hAnsi="Times New Roman Полужирный" w:cs="Times New Roman"/>
          <w:b/>
          <w:bCs/>
          <w:caps/>
          <w:kern w:val="0"/>
          <w:sz w:val="28"/>
          <w:szCs w:val="28"/>
          <w14:ligatures w14:val="none"/>
        </w:rPr>
        <w:t xml:space="preserve"> 2. Анализ инновационно-инклюзивного развития Республики Кот-д’Ивуар и </w:t>
      </w:r>
    </w:p>
    <w:p w14:paraId="36FCD5F6" w14:textId="77777777" w:rsidR="008D22DB" w:rsidRPr="008D22DB" w:rsidRDefault="008D22DB" w:rsidP="008D22DB">
      <w:pPr>
        <w:adjustRightInd w:val="0"/>
        <w:spacing w:after="0" w:line="360" w:lineRule="auto"/>
        <w:ind w:firstLine="709"/>
        <w:jc w:val="center"/>
        <w:rPr>
          <w:rFonts w:ascii="Times New Roman Полужирный" w:hAnsi="Times New Roman Полужирный" w:cs="Times New Roman"/>
          <w:b/>
          <w:bCs/>
          <w:caps/>
          <w:kern w:val="0"/>
          <w:sz w:val="28"/>
          <w:szCs w:val="28"/>
          <w14:ligatures w14:val="none"/>
        </w:rPr>
      </w:pPr>
      <w:r w:rsidRPr="008D22DB">
        <w:rPr>
          <w:rFonts w:ascii="Times New Roman Полужирный" w:hAnsi="Times New Roman Полужирный" w:cs="Times New Roman"/>
          <w:b/>
          <w:bCs/>
          <w:caps/>
          <w:kern w:val="0"/>
          <w:sz w:val="28"/>
          <w:szCs w:val="28"/>
          <w14:ligatures w14:val="none"/>
        </w:rPr>
        <w:t xml:space="preserve">факторов его формирования </w:t>
      </w:r>
    </w:p>
    <w:p w14:paraId="1CA91450" w14:textId="77777777" w:rsidR="008D22DB" w:rsidRPr="008D22DB" w:rsidRDefault="008D22DB" w:rsidP="008D22DB">
      <w:pPr>
        <w:adjustRightInd w:val="0"/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1D7D01A7" w14:textId="77777777" w:rsidR="008D22DB" w:rsidRPr="008D22DB" w:rsidRDefault="008D22DB" w:rsidP="008D22DB">
      <w:pPr>
        <w:adjustRightInd w:val="0"/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D22DB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2.1. Социально-экономические предпосылки и институциональные барьеры инновационного развития Республики Кот-д’Ивуар </w:t>
      </w:r>
    </w:p>
    <w:p w14:paraId="5FB52D2C" w14:textId="77777777" w:rsidR="008D22DB" w:rsidRPr="008D22DB" w:rsidRDefault="008D22DB" w:rsidP="008D22DB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492D217" w14:textId="77777777" w:rsidR="008D22DB" w:rsidRPr="008D22DB" w:rsidRDefault="008D22DB" w:rsidP="008D22D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F92A5C7" w14:textId="77777777" w:rsidR="008D22DB" w:rsidRPr="008D22DB" w:rsidRDefault="008D22DB" w:rsidP="008D22D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D22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Выбор Республики Кот-д’Ивуар в качестве объекта эмпирического анализа обусловлен ее статусом одной из динамично развивающихся экономик Западной Африки, демонстрирующей устойчивый экономический рост при сохраняющейся структурной неоднородности, институциональных ограничениях и выраженных территориальных диспропорциях. В этих условиях особую значимость приобретает оценка того, в какой степени инновационные процессы и цифровая трансформация способствуют расширению экономической включенности и формированию устойчивых институциональных механизмов развития.</w:t>
      </w:r>
    </w:p>
    <w:p w14:paraId="47EEB2F0" w14:textId="77777777" w:rsidR="008D22DB" w:rsidRPr="008D22DB" w:rsidRDefault="008D22DB" w:rsidP="008D22D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D22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Республика Кот-д’Ивуар как и все страны африканского континента приступила к реализации своего 50-летнего плана развития, адаптировав и внедрив повестку дня на период до 2063 года в национальные и региональные стратегии развития. Пятьдесят четыре страны подписали и двадцать девять ратифицировали данное соглашение. За первые шесть лет реализации был достигнут значительный прогресс в достижении целей, определенных в первом десятилетнем плане реализации повестки с общим баллом 32 % по сравнению с целевыми ориентирами 2019 года. На региональном уровне в Восточной Африке был зафиксирован самый высокий показатель эффективности по пяти ЦУР с совокупным баллом 40 %, в Западной Африке данный показатель составил 34 %, а Северной Африки – 27 % [</w:t>
      </w:r>
      <w:r w:rsidRPr="008D22DB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14:ligatures w14:val="none"/>
        </w:rPr>
        <w:t>177</w:t>
      </w:r>
      <w:r w:rsidRPr="008D22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]. </w:t>
      </w:r>
    </w:p>
    <w:p w14:paraId="2B536D64" w14:textId="77777777" w:rsidR="008D22DB" w:rsidRPr="008D22DB" w:rsidRDefault="008D22DB" w:rsidP="008D22D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D22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Перечень ЦУР новой утвержденной повестки до 2063 года представлен в таблице 13. Как видно они охватывают максимально широкий перечень </w:t>
      </w:r>
      <w:r w:rsidRPr="008D22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целей, которые соответствуют критериям инклюзивного роста и устойчивого развития, а именно: акцент на развитии человеческого потенциала, устранение всех видов неравенств, уважение прав человека и т.д.</w:t>
      </w:r>
    </w:p>
    <w:p w14:paraId="3A9864C1" w14:textId="77777777" w:rsidR="008D22DB" w:rsidRPr="008D22DB" w:rsidRDefault="008D22DB" w:rsidP="008D22D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D22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Очевидно, что потребуются дополнительные усилия для ускорения реализации на континенте комплекса целей и задач, определенных в новой повестке. Также потребуются согласованные и скоординированные усилия на субнациональном, национальном, региональном и континентальном уровнях для комплексного решения выявленных проблем и рационально использовать имеющиеся возможности. При этом актуальным остается вопрос согласования ЦУР повестки развития до 2063 г. и долгосрочных целевых ориентиров предыдущей стратегии развития африканского континента (таблица 13).</w:t>
      </w:r>
    </w:p>
    <w:p w14:paraId="035E0846" w14:textId="77777777" w:rsidR="008D22DB" w:rsidRPr="008D22DB" w:rsidRDefault="008D22DB" w:rsidP="008D22DB">
      <w:pPr>
        <w:spacing w:after="0" w:line="360" w:lineRule="auto"/>
        <w:jc w:val="both"/>
        <w:rPr>
          <w:rFonts w:ascii="Times New Roman" w:hAnsi="Times New Roman" w:cs="Times New Roman"/>
          <w:iCs/>
          <w:kern w:val="0"/>
          <w:sz w:val="28"/>
          <w:szCs w:val="28"/>
          <w14:ligatures w14:val="none"/>
        </w:rPr>
      </w:pPr>
    </w:p>
    <w:p w14:paraId="497015D5" w14:textId="77777777" w:rsidR="008D22DB" w:rsidRPr="008D22DB" w:rsidRDefault="008D22DB" w:rsidP="008D22DB">
      <w:pPr>
        <w:spacing w:after="0" w:line="360" w:lineRule="auto"/>
        <w:jc w:val="both"/>
        <w:rPr>
          <w:rFonts w:ascii="Times New Roman" w:hAnsi="Times New Roman" w:cs="Times New Roman"/>
          <w:iCs/>
          <w:kern w:val="0"/>
          <w:sz w:val="28"/>
          <w:szCs w:val="28"/>
          <w14:ligatures w14:val="none"/>
        </w:rPr>
      </w:pPr>
      <w:r w:rsidRPr="008D22DB">
        <w:rPr>
          <w:rFonts w:ascii="Times New Roman" w:hAnsi="Times New Roman" w:cs="Times New Roman"/>
          <w:iCs/>
          <w:kern w:val="0"/>
          <w:sz w:val="28"/>
          <w:szCs w:val="28"/>
          <w14:ligatures w14:val="none"/>
        </w:rPr>
        <w:t>Таблица 13 – Повестка дня Африканского союза на период до 2063 г.</w:t>
      </w:r>
      <w:r w:rsidRPr="008D22DB">
        <w:rPr>
          <w:rFonts w:ascii="Times New Roman" w:hAnsi="Times New Roman" w:cs="Times New Roman"/>
          <w:iCs/>
          <w:kern w:val="0"/>
          <w:sz w:val="28"/>
          <w:szCs w:val="28"/>
          <w:vertAlign w:val="superscript"/>
          <w14:ligatures w14:val="none"/>
        </w:rPr>
        <w:footnoteReference w:id="1"/>
      </w:r>
      <w:r w:rsidRPr="008D22DB">
        <w:rPr>
          <w:rFonts w:ascii="Times New Roman" w:hAnsi="Times New Roman" w:cs="Times New Roman"/>
          <w:iCs/>
          <w:kern w:val="0"/>
          <w:sz w:val="28"/>
          <w:szCs w:val="28"/>
          <w14:ligatures w14:val="none"/>
        </w:rPr>
        <w:t xml:space="preserve"> </w:t>
      </w:r>
    </w:p>
    <w:tbl>
      <w:tblPr>
        <w:tblStyle w:val="TableNormal"/>
        <w:tblW w:w="949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8505"/>
      </w:tblGrid>
      <w:tr w:rsidR="008D22DB" w:rsidRPr="008D22DB" w14:paraId="38D21FD2" w14:textId="77777777" w:rsidTr="00640DD7">
        <w:trPr>
          <w:trHeight w:val="289"/>
        </w:trPr>
        <w:tc>
          <w:tcPr>
            <w:tcW w:w="993" w:type="dxa"/>
          </w:tcPr>
          <w:p w14:paraId="6C027341" w14:textId="77777777" w:rsidR="008D22DB" w:rsidRPr="008D22DB" w:rsidRDefault="008D22DB" w:rsidP="008D22DB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D22DB">
              <w:rPr>
                <w:rFonts w:ascii="Times New Roman" w:eastAsia="Times New Roman" w:hAnsi="Times New Roman" w:cs="Times New Roman"/>
                <w:bCs/>
              </w:rPr>
              <w:t>№ цели</w:t>
            </w:r>
          </w:p>
        </w:tc>
        <w:tc>
          <w:tcPr>
            <w:tcW w:w="8505" w:type="dxa"/>
          </w:tcPr>
          <w:p w14:paraId="350C6D84" w14:textId="77777777" w:rsidR="008D22DB" w:rsidRPr="008D22DB" w:rsidRDefault="008D22DB" w:rsidP="008D22DB">
            <w:pPr>
              <w:ind w:left="142"/>
              <w:rPr>
                <w:rFonts w:ascii="Times New Roman" w:eastAsia="Times New Roman" w:hAnsi="Times New Roman" w:cs="Times New Roman"/>
                <w:bCs/>
              </w:rPr>
            </w:pPr>
            <w:r w:rsidRPr="008D22DB">
              <w:rPr>
                <w:rFonts w:ascii="Times New Roman" w:eastAsia="Times New Roman" w:hAnsi="Times New Roman" w:cs="Times New Roman"/>
                <w:bCs/>
              </w:rPr>
              <w:t>Описание</w:t>
            </w:r>
          </w:p>
        </w:tc>
      </w:tr>
      <w:tr w:rsidR="008D22DB" w:rsidRPr="008D22DB" w14:paraId="063730A6" w14:textId="77777777" w:rsidTr="00640DD7">
        <w:trPr>
          <w:trHeight w:val="289"/>
        </w:trPr>
        <w:tc>
          <w:tcPr>
            <w:tcW w:w="993" w:type="dxa"/>
          </w:tcPr>
          <w:p w14:paraId="701B7DF9" w14:textId="77777777" w:rsidR="008D22DB" w:rsidRPr="008D22DB" w:rsidRDefault="008D22DB" w:rsidP="008D22DB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D22DB">
              <w:rPr>
                <w:rFonts w:ascii="Times New Roman" w:eastAsia="Times New Roman" w:hAnsi="Times New Roman" w:cs="Times New Roman"/>
                <w:bCs/>
              </w:rPr>
              <w:t>1</w:t>
            </w:r>
          </w:p>
        </w:tc>
        <w:tc>
          <w:tcPr>
            <w:tcW w:w="8505" w:type="dxa"/>
          </w:tcPr>
          <w:p w14:paraId="69BCAC9F" w14:textId="77777777" w:rsidR="008D22DB" w:rsidRPr="008D22DB" w:rsidRDefault="008D22DB" w:rsidP="008D22DB">
            <w:pPr>
              <w:ind w:left="142"/>
              <w:rPr>
                <w:rFonts w:ascii="Times New Roman" w:eastAsia="Times New Roman" w:hAnsi="Times New Roman" w:cs="Times New Roman"/>
                <w:bCs/>
              </w:rPr>
            </w:pPr>
            <w:r w:rsidRPr="008D22DB">
              <w:rPr>
                <w:rFonts w:ascii="Times New Roman" w:eastAsia="Times New Roman" w:hAnsi="Times New Roman" w:cs="Times New Roman"/>
                <w:bCs/>
              </w:rPr>
              <w:t>Процветающая Африка, основанная на инклюзивном росте и устойчивом развитии</w:t>
            </w:r>
          </w:p>
        </w:tc>
      </w:tr>
      <w:tr w:rsidR="008D22DB" w:rsidRPr="008D22DB" w14:paraId="45B4CEAB" w14:textId="77777777" w:rsidTr="00640DD7">
        <w:trPr>
          <w:trHeight w:val="482"/>
        </w:trPr>
        <w:tc>
          <w:tcPr>
            <w:tcW w:w="993" w:type="dxa"/>
          </w:tcPr>
          <w:p w14:paraId="0E51FE77" w14:textId="77777777" w:rsidR="008D22DB" w:rsidRPr="008D22DB" w:rsidRDefault="008D22DB" w:rsidP="008D22DB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D22DB">
              <w:rPr>
                <w:rFonts w:ascii="Times New Roman" w:eastAsia="Times New Roman" w:hAnsi="Times New Roman" w:cs="Times New Roman"/>
                <w:bCs/>
              </w:rPr>
              <w:t>2</w:t>
            </w:r>
          </w:p>
        </w:tc>
        <w:tc>
          <w:tcPr>
            <w:tcW w:w="8505" w:type="dxa"/>
          </w:tcPr>
          <w:p w14:paraId="7A9BCA82" w14:textId="77777777" w:rsidR="008D22DB" w:rsidRPr="008D22DB" w:rsidRDefault="008D22DB" w:rsidP="008D22DB">
            <w:pPr>
              <w:ind w:left="142"/>
              <w:rPr>
                <w:rFonts w:ascii="Times New Roman" w:eastAsia="Times New Roman" w:hAnsi="Times New Roman" w:cs="Times New Roman"/>
                <w:bCs/>
              </w:rPr>
            </w:pPr>
            <w:r w:rsidRPr="008D22DB">
              <w:rPr>
                <w:rFonts w:ascii="Times New Roman" w:eastAsia="Times New Roman" w:hAnsi="Times New Roman" w:cs="Times New Roman"/>
                <w:bCs/>
              </w:rPr>
              <w:t>Единый континент; политически объединенный и основанный на идеалах панафриканизма и видении Возрождения Африки</w:t>
            </w:r>
          </w:p>
        </w:tc>
      </w:tr>
      <w:tr w:rsidR="008D22DB" w:rsidRPr="008D22DB" w14:paraId="7C309A95" w14:textId="77777777" w:rsidTr="00640DD7">
        <w:trPr>
          <w:trHeight w:val="290"/>
        </w:trPr>
        <w:tc>
          <w:tcPr>
            <w:tcW w:w="993" w:type="dxa"/>
          </w:tcPr>
          <w:p w14:paraId="44695043" w14:textId="77777777" w:rsidR="008D22DB" w:rsidRPr="008D22DB" w:rsidRDefault="008D22DB" w:rsidP="008D22DB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D22DB">
              <w:rPr>
                <w:rFonts w:ascii="Times New Roman" w:eastAsia="Times New Roman" w:hAnsi="Times New Roman" w:cs="Times New Roman"/>
                <w:bCs/>
              </w:rPr>
              <w:t>3</w:t>
            </w:r>
          </w:p>
        </w:tc>
        <w:tc>
          <w:tcPr>
            <w:tcW w:w="8505" w:type="dxa"/>
          </w:tcPr>
          <w:p w14:paraId="1738E186" w14:textId="77777777" w:rsidR="008D22DB" w:rsidRPr="008D22DB" w:rsidRDefault="008D22DB" w:rsidP="008D22DB">
            <w:pPr>
              <w:ind w:left="142"/>
              <w:rPr>
                <w:rFonts w:ascii="Times New Roman" w:eastAsia="Times New Roman" w:hAnsi="Times New Roman" w:cs="Times New Roman"/>
                <w:bCs/>
              </w:rPr>
            </w:pPr>
            <w:r w:rsidRPr="008D22DB">
              <w:rPr>
                <w:rFonts w:ascii="Times New Roman" w:eastAsia="Times New Roman" w:hAnsi="Times New Roman" w:cs="Times New Roman"/>
                <w:bCs/>
              </w:rPr>
              <w:t>Африка благого управления, демократии, уважения прав человека, справедливости и верховенства закона</w:t>
            </w:r>
          </w:p>
        </w:tc>
      </w:tr>
      <w:tr w:rsidR="008D22DB" w:rsidRPr="008D22DB" w14:paraId="7A60AF72" w14:textId="77777777" w:rsidTr="00640DD7">
        <w:trPr>
          <w:trHeight w:val="290"/>
        </w:trPr>
        <w:tc>
          <w:tcPr>
            <w:tcW w:w="993" w:type="dxa"/>
          </w:tcPr>
          <w:p w14:paraId="6FA73C37" w14:textId="77777777" w:rsidR="008D22DB" w:rsidRPr="008D22DB" w:rsidRDefault="008D22DB" w:rsidP="008D22DB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D22DB">
              <w:rPr>
                <w:rFonts w:ascii="Times New Roman" w:eastAsia="Times New Roman" w:hAnsi="Times New Roman" w:cs="Times New Roman"/>
                <w:bCs/>
              </w:rPr>
              <w:t>4</w:t>
            </w:r>
          </w:p>
        </w:tc>
        <w:tc>
          <w:tcPr>
            <w:tcW w:w="8505" w:type="dxa"/>
          </w:tcPr>
          <w:p w14:paraId="7DBDEE02" w14:textId="77777777" w:rsidR="008D22DB" w:rsidRPr="008D22DB" w:rsidRDefault="008D22DB" w:rsidP="008D22DB">
            <w:pPr>
              <w:ind w:left="142"/>
              <w:rPr>
                <w:rFonts w:ascii="Times New Roman" w:eastAsia="Times New Roman" w:hAnsi="Times New Roman" w:cs="Times New Roman"/>
                <w:bCs/>
              </w:rPr>
            </w:pPr>
            <w:r w:rsidRPr="008D22DB">
              <w:rPr>
                <w:rFonts w:ascii="Times New Roman" w:eastAsia="Times New Roman" w:hAnsi="Times New Roman" w:cs="Times New Roman"/>
                <w:bCs/>
              </w:rPr>
              <w:t>Мирная и безопасная Африка</w:t>
            </w:r>
          </w:p>
        </w:tc>
      </w:tr>
      <w:tr w:rsidR="008D22DB" w:rsidRPr="008D22DB" w14:paraId="394CCF4B" w14:textId="77777777" w:rsidTr="00640DD7">
        <w:trPr>
          <w:trHeight w:val="290"/>
        </w:trPr>
        <w:tc>
          <w:tcPr>
            <w:tcW w:w="993" w:type="dxa"/>
          </w:tcPr>
          <w:p w14:paraId="6A3797D5" w14:textId="77777777" w:rsidR="008D22DB" w:rsidRPr="008D22DB" w:rsidRDefault="008D22DB" w:rsidP="008D22DB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D22DB">
              <w:rPr>
                <w:rFonts w:ascii="Times New Roman" w:eastAsia="Times New Roman" w:hAnsi="Times New Roman" w:cs="Times New Roman"/>
                <w:bCs/>
              </w:rPr>
              <w:t>5</w:t>
            </w:r>
          </w:p>
        </w:tc>
        <w:tc>
          <w:tcPr>
            <w:tcW w:w="8505" w:type="dxa"/>
          </w:tcPr>
          <w:p w14:paraId="71C8A41D" w14:textId="77777777" w:rsidR="008D22DB" w:rsidRPr="008D22DB" w:rsidRDefault="008D22DB" w:rsidP="008D22DB">
            <w:pPr>
              <w:ind w:left="142"/>
              <w:rPr>
                <w:rFonts w:ascii="Times New Roman" w:eastAsia="Times New Roman" w:hAnsi="Times New Roman" w:cs="Times New Roman"/>
                <w:bCs/>
              </w:rPr>
            </w:pPr>
            <w:r w:rsidRPr="008D22DB">
              <w:rPr>
                <w:rFonts w:ascii="Times New Roman" w:eastAsia="Times New Roman" w:hAnsi="Times New Roman" w:cs="Times New Roman"/>
                <w:bCs/>
              </w:rPr>
              <w:t>Африка с сильной культурной самобытностью, общим наследием, общими ценностями и этикой</w:t>
            </w:r>
          </w:p>
        </w:tc>
      </w:tr>
      <w:tr w:rsidR="008D22DB" w:rsidRPr="008D22DB" w14:paraId="55CE3762" w14:textId="77777777" w:rsidTr="00640DD7">
        <w:trPr>
          <w:trHeight w:val="482"/>
        </w:trPr>
        <w:tc>
          <w:tcPr>
            <w:tcW w:w="993" w:type="dxa"/>
          </w:tcPr>
          <w:p w14:paraId="52B9334E" w14:textId="77777777" w:rsidR="008D22DB" w:rsidRPr="008D22DB" w:rsidRDefault="008D22DB" w:rsidP="008D22DB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D22DB">
              <w:rPr>
                <w:rFonts w:ascii="Times New Roman" w:eastAsia="Times New Roman" w:hAnsi="Times New Roman" w:cs="Times New Roman"/>
                <w:bCs/>
              </w:rPr>
              <w:t>6</w:t>
            </w:r>
          </w:p>
        </w:tc>
        <w:tc>
          <w:tcPr>
            <w:tcW w:w="8505" w:type="dxa"/>
          </w:tcPr>
          <w:p w14:paraId="25F226FB" w14:textId="77777777" w:rsidR="008D22DB" w:rsidRPr="008D22DB" w:rsidRDefault="008D22DB" w:rsidP="008D22DB">
            <w:pPr>
              <w:ind w:left="142"/>
              <w:rPr>
                <w:rFonts w:ascii="Times New Roman" w:eastAsia="Times New Roman" w:hAnsi="Times New Roman" w:cs="Times New Roman"/>
                <w:bCs/>
              </w:rPr>
            </w:pPr>
            <w:r w:rsidRPr="008D22DB">
              <w:rPr>
                <w:rFonts w:ascii="Times New Roman" w:eastAsia="Times New Roman" w:hAnsi="Times New Roman" w:cs="Times New Roman"/>
                <w:bCs/>
              </w:rPr>
              <w:t>Африка, развитие которой зависит от людей, опирающихся на потенциал африканцев, особенно женщин и молодежи, и заботящихся о детях.</w:t>
            </w:r>
          </w:p>
        </w:tc>
      </w:tr>
      <w:tr w:rsidR="008D22DB" w:rsidRPr="008D22DB" w14:paraId="7CD23FCF" w14:textId="77777777" w:rsidTr="00640DD7">
        <w:trPr>
          <w:trHeight w:val="290"/>
        </w:trPr>
        <w:tc>
          <w:tcPr>
            <w:tcW w:w="993" w:type="dxa"/>
          </w:tcPr>
          <w:p w14:paraId="632FA063" w14:textId="77777777" w:rsidR="008D22DB" w:rsidRPr="008D22DB" w:rsidRDefault="008D22DB" w:rsidP="008D22DB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D22DB">
              <w:rPr>
                <w:rFonts w:ascii="Times New Roman" w:eastAsia="Times New Roman" w:hAnsi="Times New Roman" w:cs="Times New Roman"/>
                <w:bCs/>
              </w:rPr>
              <w:t>7</w:t>
            </w:r>
          </w:p>
        </w:tc>
        <w:tc>
          <w:tcPr>
            <w:tcW w:w="8505" w:type="dxa"/>
          </w:tcPr>
          <w:p w14:paraId="3528E47C" w14:textId="77777777" w:rsidR="008D22DB" w:rsidRPr="008D22DB" w:rsidRDefault="008D22DB" w:rsidP="008D22DB">
            <w:pPr>
              <w:ind w:left="142"/>
              <w:rPr>
                <w:rFonts w:ascii="Times New Roman" w:eastAsia="Times New Roman" w:hAnsi="Times New Roman" w:cs="Times New Roman"/>
                <w:bCs/>
              </w:rPr>
            </w:pPr>
            <w:r w:rsidRPr="008D22DB">
              <w:rPr>
                <w:rFonts w:ascii="Times New Roman" w:eastAsia="Times New Roman" w:hAnsi="Times New Roman" w:cs="Times New Roman"/>
                <w:bCs/>
              </w:rPr>
              <w:t>Африка как сильный, единый, устойчивый и влиятельный глобальный игрок и партнер</w:t>
            </w:r>
          </w:p>
        </w:tc>
      </w:tr>
    </w:tbl>
    <w:p w14:paraId="28E6F571" w14:textId="77777777" w:rsidR="008D22DB" w:rsidRPr="008D22DB" w:rsidRDefault="008D22DB" w:rsidP="008D22DB">
      <w:pPr>
        <w:spacing w:line="360" w:lineRule="auto"/>
        <w:ind w:left="142" w:firstLine="709"/>
        <w:jc w:val="both"/>
        <w:rPr>
          <w:rFonts w:ascii="Times New Roman" w:hAnsi="Times New Roman" w:cs="Times New Roman"/>
          <w:kern w:val="0"/>
          <w:sz w:val="20"/>
          <w:szCs w:val="20"/>
          <w14:ligatures w14:val="none"/>
        </w:rPr>
      </w:pPr>
    </w:p>
    <w:p w14:paraId="3F62B2AA" w14:textId="77777777" w:rsidR="008D22DB" w:rsidRPr="008D22DB" w:rsidRDefault="008D22DB" w:rsidP="008D22D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D22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Несмотря на то, что период их действия весьма различен (всего 15 лет для повестки дня на период до 2030 г. и 50 лет для повестки дня до 2063 г.), 17 ЦУР предыдущей программы четко вписываются в новые 20 целей, которые планируется достичь к 2063 г. Степень сближения между двумя повестками дня зависит от уровня и степени их дезагрегации по целям, задачам, индикаторам, а также же характера направленности. Картографирование, </w:t>
      </w:r>
      <w:r w:rsidRPr="008D22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проведенное Экономической комиссией ООН для Африки в 2017 году, показало, что конвергенция на целевом уровне составляет 100,0 %, на целевом уровне – 69,8 % и 67,2 % на уровне индикаторов [</w:t>
      </w:r>
      <w:r w:rsidRPr="008D22DB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14:ligatures w14:val="none"/>
        </w:rPr>
        <w:t>65</w:t>
      </w:r>
      <w:r w:rsidRPr="008D22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]. </w:t>
      </w:r>
    </w:p>
    <w:p w14:paraId="486CE997" w14:textId="77777777" w:rsidR="008D22DB" w:rsidRPr="008D22DB" w:rsidRDefault="008D22DB" w:rsidP="008D22D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D22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В этой связи, на наш взгляд, африканские страны выполняя повестку дня на период до 2063 года, тем самым будут выполнять глобальные обязательства в рамках повестки дня на период до 2030 года. Существуют отдельные расхождения по таким темам, как неравенство (между странами и внутри них), устойчивое управление наземными экосистемами (опустынивание, биоразнообразие и деградация земель), ответственное потребление и производство, но формат их постановки в новой повестке дня позволяет говорить о возможности их согласования. При этом следует учитывать, что присутствует значительное совпадение тем в повестках дня на период до 2030 года и до 2063 года (таблица 14). </w:t>
      </w:r>
    </w:p>
    <w:p w14:paraId="154A2AC9" w14:textId="77777777" w:rsidR="008D22DB" w:rsidRPr="008D22DB" w:rsidRDefault="008D22DB" w:rsidP="008D22DB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kern w:val="0"/>
          <w:sz w:val="28"/>
          <w:szCs w:val="28"/>
          <w14:ligatures w14:val="none"/>
        </w:rPr>
      </w:pPr>
    </w:p>
    <w:p w14:paraId="59582E32" w14:textId="77777777" w:rsidR="008D22DB" w:rsidRPr="008D22DB" w:rsidRDefault="008D22DB" w:rsidP="008D22DB">
      <w:pPr>
        <w:spacing w:after="0" w:line="360" w:lineRule="auto"/>
        <w:jc w:val="both"/>
        <w:rPr>
          <w:rFonts w:ascii="Times New Roman" w:hAnsi="Times New Roman" w:cs="Times New Roman"/>
          <w:iCs/>
          <w:kern w:val="0"/>
          <w:sz w:val="28"/>
          <w:szCs w:val="28"/>
          <w14:ligatures w14:val="none"/>
        </w:rPr>
      </w:pPr>
      <w:r w:rsidRPr="008D22DB">
        <w:rPr>
          <w:rFonts w:ascii="Times New Roman" w:hAnsi="Times New Roman" w:cs="Times New Roman"/>
          <w:iCs/>
          <w:kern w:val="0"/>
          <w:sz w:val="28"/>
          <w:szCs w:val="28"/>
          <w14:ligatures w14:val="none"/>
        </w:rPr>
        <w:t>Таблица 14 – Сравнение повестки дня 2030 г. и повестки дня 2063 г.</w:t>
      </w:r>
      <w:r w:rsidRPr="008D22DB">
        <w:rPr>
          <w:rFonts w:ascii="Times New Roman" w:hAnsi="Times New Roman" w:cs="Times New Roman"/>
          <w:iCs/>
          <w:kern w:val="0"/>
          <w:sz w:val="28"/>
          <w:szCs w:val="28"/>
          <w:vertAlign w:val="superscript"/>
          <w14:ligatures w14:val="none"/>
        </w:rPr>
        <w:footnoteReference w:id="2"/>
      </w:r>
    </w:p>
    <w:tbl>
      <w:tblPr>
        <w:tblStyle w:val="TableNormal"/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15"/>
        <w:gridCol w:w="1865"/>
        <w:gridCol w:w="1721"/>
        <w:gridCol w:w="1465"/>
        <w:gridCol w:w="1577"/>
      </w:tblGrid>
      <w:tr w:rsidR="008D22DB" w:rsidRPr="008D22DB" w14:paraId="38DCADA1" w14:textId="77777777" w:rsidTr="00640DD7">
        <w:trPr>
          <w:trHeight w:val="288"/>
        </w:trPr>
        <w:tc>
          <w:tcPr>
            <w:tcW w:w="3015" w:type="dxa"/>
            <w:shd w:val="clear" w:color="auto" w:fill="FFFFFF" w:themeFill="background1"/>
          </w:tcPr>
          <w:p w14:paraId="26F11174" w14:textId="77777777" w:rsidR="008D22DB" w:rsidRPr="008D22DB" w:rsidRDefault="008D22DB" w:rsidP="008D22DB">
            <w:pPr>
              <w:ind w:firstLine="17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D22DB">
              <w:rPr>
                <w:rFonts w:ascii="Times New Roman" w:eastAsia="Times New Roman" w:hAnsi="Times New Roman" w:cs="Times New Roman"/>
                <w:bCs/>
              </w:rPr>
              <w:t xml:space="preserve">Цели устойчивого </w:t>
            </w:r>
            <w:r w:rsidRPr="008D22DB">
              <w:rPr>
                <w:rFonts w:ascii="Times New Roman" w:eastAsia="Times New Roman" w:hAnsi="Times New Roman" w:cs="Times New Roman"/>
                <w:bCs/>
              </w:rPr>
              <w:br/>
              <w:t>развития</w:t>
            </w:r>
          </w:p>
        </w:tc>
        <w:tc>
          <w:tcPr>
            <w:tcW w:w="1865" w:type="dxa"/>
            <w:shd w:val="clear" w:color="auto" w:fill="FFFFFF" w:themeFill="background1"/>
          </w:tcPr>
          <w:p w14:paraId="09374817" w14:textId="77777777" w:rsidR="008D22DB" w:rsidRPr="008D22DB" w:rsidRDefault="008D22DB" w:rsidP="008D22DB">
            <w:pPr>
              <w:ind w:firstLine="17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D22DB">
              <w:rPr>
                <w:rFonts w:ascii="Times New Roman" w:eastAsia="Times New Roman" w:hAnsi="Times New Roman" w:cs="Times New Roman"/>
                <w:bCs/>
              </w:rPr>
              <w:t>Сильное совпадение</w:t>
            </w:r>
          </w:p>
        </w:tc>
        <w:tc>
          <w:tcPr>
            <w:tcW w:w="1721" w:type="dxa"/>
            <w:shd w:val="clear" w:color="auto" w:fill="FFFFFF" w:themeFill="background1"/>
          </w:tcPr>
          <w:p w14:paraId="28D54FA2" w14:textId="77777777" w:rsidR="008D22DB" w:rsidRPr="008D22DB" w:rsidRDefault="008D22DB" w:rsidP="008D22DB">
            <w:pPr>
              <w:ind w:firstLine="17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D22DB">
              <w:rPr>
                <w:rFonts w:ascii="Times New Roman" w:eastAsia="Times New Roman" w:hAnsi="Times New Roman" w:cs="Times New Roman"/>
                <w:bCs/>
              </w:rPr>
              <w:t>Частичное совпадение</w:t>
            </w:r>
          </w:p>
        </w:tc>
        <w:tc>
          <w:tcPr>
            <w:tcW w:w="1465" w:type="dxa"/>
            <w:shd w:val="clear" w:color="auto" w:fill="FFFFFF" w:themeFill="background1"/>
          </w:tcPr>
          <w:p w14:paraId="1A5CB2F3" w14:textId="77777777" w:rsidR="008D22DB" w:rsidRPr="008D22DB" w:rsidRDefault="008D22DB" w:rsidP="008D22DB">
            <w:pPr>
              <w:ind w:firstLine="17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D22DB">
              <w:rPr>
                <w:rFonts w:ascii="Times New Roman" w:eastAsia="Times New Roman" w:hAnsi="Times New Roman" w:cs="Times New Roman"/>
                <w:bCs/>
              </w:rPr>
              <w:t>Полное совпадение</w:t>
            </w:r>
          </w:p>
        </w:tc>
        <w:tc>
          <w:tcPr>
            <w:tcW w:w="1577" w:type="dxa"/>
            <w:shd w:val="clear" w:color="auto" w:fill="FFFFFF" w:themeFill="background1"/>
          </w:tcPr>
          <w:p w14:paraId="7149D77C" w14:textId="77777777" w:rsidR="008D22DB" w:rsidRPr="008D22DB" w:rsidRDefault="008D22DB" w:rsidP="008D22DB">
            <w:pPr>
              <w:ind w:firstLine="17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D22DB">
              <w:rPr>
                <w:rFonts w:ascii="Times New Roman" w:eastAsia="Times New Roman" w:hAnsi="Times New Roman" w:cs="Times New Roman"/>
                <w:bCs/>
              </w:rPr>
              <w:t>Нет совпадений</w:t>
            </w:r>
          </w:p>
        </w:tc>
      </w:tr>
      <w:tr w:rsidR="008D22DB" w:rsidRPr="008D22DB" w14:paraId="45FDF917" w14:textId="77777777" w:rsidTr="00640DD7">
        <w:trPr>
          <w:trHeight w:val="288"/>
        </w:trPr>
        <w:tc>
          <w:tcPr>
            <w:tcW w:w="3015" w:type="dxa"/>
          </w:tcPr>
          <w:p w14:paraId="04FDBD74" w14:textId="77777777" w:rsidR="008D22DB" w:rsidRPr="008D22DB" w:rsidRDefault="008D22DB" w:rsidP="008D22DB">
            <w:pPr>
              <w:ind w:firstLine="17"/>
              <w:jc w:val="both"/>
              <w:rPr>
                <w:rFonts w:ascii="Times New Roman" w:eastAsia="Times New Roman" w:hAnsi="Times New Roman" w:cs="Times New Roman"/>
              </w:rPr>
            </w:pPr>
            <w:r w:rsidRPr="008D22DB">
              <w:rPr>
                <w:rFonts w:ascii="Times New Roman" w:eastAsia="Times New Roman" w:hAnsi="Times New Roman" w:cs="Times New Roman"/>
              </w:rPr>
              <w:t>Количество задач</w:t>
            </w:r>
          </w:p>
        </w:tc>
        <w:tc>
          <w:tcPr>
            <w:tcW w:w="1865" w:type="dxa"/>
          </w:tcPr>
          <w:p w14:paraId="1559B4F4" w14:textId="77777777" w:rsidR="008D22DB" w:rsidRPr="008D22DB" w:rsidRDefault="008D22DB" w:rsidP="008D22DB">
            <w:pPr>
              <w:ind w:firstLine="17"/>
              <w:jc w:val="center"/>
              <w:rPr>
                <w:rFonts w:ascii="Times New Roman" w:eastAsia="Times New Roman" w:hAnsi="Times New Roman" w:cs="Times New Roman"/>
              </w:rPr>
            </w:pPr>
            <w:r w:rsidRPr="008D22DB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1721" w:type="dxa"/>
          </w:tcPr>
          <w:p w14:paraId="2D7FB5C1" w14:textId="77777777" w:rsidR="008D22DB" w:rsidRPr="008D22DB" w:rsidRDefault="008D22DB" w:rsidP="008D22DB">
            <w:pPr>
              <w:ind w:firstLine="17"/>
              <w:jc w:val="center"/>
              <w:rPr>
                <w:rFonts w:ascii="Times New Roman" w:eastAsia="Times New Roman" w:hAnsi="Times New Roman" w:cs="Times New Roman"/>
              </w:rPr>
            </w:pPr>
            <w:r w:rsidRPr="008D22DB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465" w:type="dxa"/>
          </w:tcPr>
          <w:p w14:paraId="176C8109" w14:textId="77777777" w:rsidR="008D22DB" w:rsidRPr="008D22DB" w:rsidRDefault="008D22DB" w:rsidP="008D22DB">
            <w:pPr>
              <w:ind w:firstLine="17"/>
              <w:jc w:val="center"/>
              <w:rPr>
                <w:rFonts w:ascii="Times New Roman" w:eastAsia="Times New Roman" w:hAnsi="Times New Roman" w:cs="Times New Roman"/>
              </w:rPr>
            </w:pPr>
            <w:r w:rsidRPr="008D22DB">
              <w:rPr>
                <w:rFonts w:ascii="Times New Roman" w:eastAsia="Times New Roman" w:hAnsi="Times New Roman" w:cs="Times New Roman"/>
              </w:rPr>
              <w:t>17</w:t>
            </w:r>
          </w:p>
        </w:tc>
        <w:tc>
          <w:tcPr>
            <w:tcW w:w="1577" w:type="dxa"/>
          </w:tcPr>
          <w:p w14:paraId="389EFA88" w14:textId="77777777" w:rsidR="008D22DB" w:rsidRPr="008D22DB" w:rsidRDefault="008D22DB" w:rsidP="008D22DB">
            <w:pPr>
              <w:ind w:firstLine="17"/>
              <w:jc w:val="center"/>
              <w:rPr>
                <w:rFonts w:ascii="Times New Roman" w:eastAsia="Times New Roman" w:hAnsi="Times New Roman" w:cs="Times New Roman"/>
              </w:rPr>
            </w:pPr>
            <w:r w:rsidRPr="008D22DB"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008D22DB" w:rsidRPr="008D22DB" w14:paraId="2D5299DA" w14:textId="77777777" w:rsidTr="00640DD7">
        <w:trPr>
          <w:trHeight w:val="288"/>
        </w:trPr>
        <w:tc>
          <w:tcPr>
            <w:tcW w:w="3015" w:type="dxa"/>
          </w:tcPr>
          <w:p w14:paraId="3B49BE59" w14:textId="77777777" w:rsidR="008D22DB" w:rsidRPr="008D22DB" w:rsidRDefault="008D22DB" w:rsidP="008D22DB">
            <w:pPr>
              <w:ind w:firstLine="17"/>
              <w:jc w:val="both"/>
              <w:rPr>
                <w:rFonts w:ascii="Times New Roman" w:eastAsia="Times New Roman" w:hAnsi="Times New Roman" w:cs="Times New Roman"/>
              </w:rPr>
            </w:pPr>
            <w:r w:rsidRPr="008D22DB">
              <w:rPr>
                <w:rFonts w:ascii="Times New Roman" w:eastAsia="Times New Roman" w:hAnsi="Times New Roman" w:cs="Times New Roman"/>
              </w:rPr>
              <w:t>Процент задач</w:t>
            </w:r>
          </w:p>
        </w:tc>
        <w:tc>
          <w:tcPr>
            <w:tcW w:w="1865" w:type="dxa"/>
          </w:tcPr>
          <w:p w14:paraId="171831C1" w14:textId="77777777" w:rsidR="008D22DB" w:rsidRPr="008D22DB" w:rsidRDefault="008D22DB" w:rsidP="008D22DB">
            <w:pPr>
              <w:ind w:firstLine="17"/>
              <w:jc w:val="center"/>
              <w:rPr>
                <w:rFonts w:ascii="Times New Roman" w:eastAsia="Times New Roman" w:hAnsi="Times New Roman" w:cs="Times New Roman"/>
              </w:rPr>
            </w:pPr>
            <w:r w:rsidRPr="008D22DB">
              <w:rPr>
                <w:rFonts w:ascii="Times New Roman" w:eastAsia="Times New Roman" w:hAnsi="Times New Roman" w:cs="Times New Roman"/>
              </w:rPr>
              <w:t>64,7</w:t>
            </w:r>
          </w:p>
        </w:tc>
        <w:tc>
          <w:tcPr>
            <w:tcW w:w="1721" w:type="dxa"/>
          </w:tcPr>
          <w:p w14:paraId="16396F4A" w14:textId="77777777" w:rsidR="008D22DB" w:rsidRPr="008D22DB" w:rsidRDefault="008D22DB" w:rsidP="008D22DB">
            <w:pPr>
              <w:ind w:firstLine="17"/>
              <w:jc w:val="center"/>
              <w:rPr>
                <w:rFonts w:ascii="Times New Roman" w:eastAsia="Times New Roman" w:hAnsi="Times New Roman" w:cs="Times New Roman"/>
              </w:rPr>
            </w:pPr>
            <w:r w:rsidRPr="008D22DB">
              <w:rPr>
                <w:rFonts w:ascii="Times New Roman" w:eastAsia="Times New Roman" w:hAnsi="Times New Roman" w:cs="Times New Roman"/>
              </w:rPr>
              <w:t>35,3</w:t>
            </w:r>
          </w:p>
        </w:tc>
        <w:tc>
          <w:tcPr>
            <w:tcW w:w="1465" w:type="dxa"/>
          </w:tcPr>
          <w:p w14:paraId="346F29DF" w14:textId="77777777" w:rsidR="008D22DB" w:rsidRPr="008D22DB" w:rsidRDefault="008D22DB" w:rsidP="008D22DB">
            <w:pPr>
              <w:ind w:firstLine="17"/>
              <w:jc w:val="center"/>
              <w:rPr>
                <w:rFonts w:ascii="Times New Roman" w:eastAsia="Times New Roman" w:hAnsi="Times New Roman" w:cs="Times New Roman"/>
              </w:rPr>
            </w:pPr>
            <w:r w:rsidRPr="008D22DB">
              <w:rPr>
                <w:rFonts w:ascii="Times New Roman" w:eastAsia="Times New Roman" w:hAnsi="Times New Roman" w:cs="Times New Roman"/>
              </w:rPr>
              <w:t>100,0</w:t>
            </w:r>
          </w:p>
        </w:tc>
        <w:tc>
          <w:tcPr>
            <w:tcW w:w="1577" w:type="dxa"/>
          </w:tcPr>
          <w:p w14:paraId="27A62E80" w14:textId="77777777" w:rsidR="008D22DB" w:rsidRPr="008D22DB" w:rsidRDefault="008D22DB" w:rsidP="008D22DB">
            <w:pPr>
              <w:ind w:firstLine="17"/>
              <w:jc w:val="center"/>
              <w:rPr>
                <w:rFonts w:ascii="Times New Roman" w:eastAsia="Times New Roman" w:hAnsi="Times New Roman" w:cs="Times New Roman"/>
              </w:rPr>
            </w:pPr>
            <w:r w:rsidRPr="008D22DB">
              <w:rPr>
                <w:rFonts w:ascii="Times New Roman" w:eastAsia="Times New Roman" w:hAnsi="Times New Roman" w:cs="Times New Roman"/>
              </w:rPr>
              <w:t>0,0</w:t>
            </w:r>
          </w:p>
        </w:tc>
      </w:tr>
      <w:tr w:rsidR="008D22DB" w:rsidRPr="008D22DB" w14:paraId="548E2D69" w14:textId="77777777" w:rsidTr="00640DD7">
        <w:trPr>
          <w:trHeight w:val="288"/>
        </w:trPr>
        <w:tc>
          <w:tcPr>
            <w:tcW w:w="3015" w:type="dxa"/>
          </w:tcPr>
          <w:p w14:paraId="54E50042" w14:textId="77777777" w:rsidR="008D22DB" w:rsidRPr="008D22DB" w:rsidRDefault="008D22DB" w:rsidP="008D22DB">
            <w:pPr>
              <w:ind w:firstLine="17"/>
              <w:jc w:val="both"/>
              <w:rPr>
                <w:rFonts w:ascii="Times New Roman" w:eastAsia="Times New Roman" w:hAnsi="Times New Roman" w:cs="Times New Roman"/>
              </w:rPr>
            </w:pPr>
            <w:r w:rsidRPr="008D22DB">
              <w:rPr>
                <w:rFonts w:ascii="Times New Roman" w:eastAsia="Times New Roman" w:hAnsi="Times New Roman" w:cs="Times New Roman"/>
              </w:rPr>
              <w:t>Количество целей</w:t>
            </w:r>
          </w:p>
        </w:tc>
        <w:tc>
          <w:tcPr>
            <w:tcW w:w="1865" w:type="dxa"/>
          </w:tcPr>
          <w:p w14:paraId="7047C96D" w14:textId="77777777" w:rsidR="008D22DB" w:rsidRPr="008D22DB" w:rsidRDefault="008D22DB" w:rsidP="008D22DB">
            <w:pPr>
              <w:ind w:firstLine="17"/>
              <w:jc w:val="center"/>
              <w:rPr>
                <w:rFonts w:ascii="Times New Roman" w:eastAsia="Times New Roman" w:hAnsi="Times New Roman" w:cs="Times New Roman"/>
              </w:rPr>
            </w:pPr>
            <w:r w:rsidRPr="008D22DB">
              <w:rPr>
                <w:rFonts w:ascii="Times New Roman" w:eastAsia="Times New Roman" w:hAnsi="Times New Roman" w:cs="Times New Roman"/>
              </w:rPr>
              <w:t>62</w:t>
            </w:r>
          </w:p>
        </w:tc>
        <w:tc>
          <w:tcPr>
            <w:tcW w:w="1721" w:type="dxa"/>
          </w:tcPr>
          <w:p w14:paraId="0D07588E" w14:textId="77777777" w:rsidR="008D22DB" w:rsidRPr="008D22DB" w:rsidRDefault="008D22DB" w:rsidP="008D22DB">
            <w:pPr>
              <w:ind w:firstLine="17"/>
              <w:jc w:val="center"/>
              <w:rPr>
                <w:rFonts w:ascii="Times New Roman" w:eastAsia="Times New Roman" w:hAnsi="Times New Roman" w:cs="Times New Roman"/>
              </w:rPr>
            </w:pPr>
            <w:r w:rsidRPr="008D22DB">
              <w:rPr>
                <w:rFonts w:ascii="Times New Roman" w:eastAsia="Times New Roman" w:hAnsi="Times New Roman" w:cs="Times New Roman"/>
              </w:rPr>
              <w:t>56</w:t>
            </w:r>
          </w:p>
        </w:tc>
        <w:tc>
          <w:tcPr>
            <w:tcW w:w="1465" w:type="dxa"/>
          </w:tcPr>
          <w:p w14:paraId="6DDD0019" w14:textId="77777777" w:rsidR="008D22DB" w:rsidRPr="008D22DB" w:rsidRDefault="008D22DB" w:rsidP="008D22DB">
            <w:pPr>
              <w:ind w:firstLine="17"/>
              <w:jc w:val="center"/>
              <w:rPr>
                <w:rFonts w:ascii="Times New Roman" w:eastAsia="Times New Roman" w:hAnsi="Times New Roman" w:cs="Times New Roman"/>
              </w:rPr>
            </w:pPr>
            <w:r w:rsidRPr="008D22DB">
              <w:rPr>
                <w:rFonts w:ascii="Times New Roman" w:eastAsia="Times New Roman" w:hAnsi="Times New Roman" w:cs="Times New Roman"/>
              </w:rPr>
              <w:t>118</w:t>
            </w:r>
          </w:p>
        </w:tc>
        <w:tc>
          <w:tcPr>
            <w:tcW w:w="1577" w:type="dxa"/>
          </w:tcPr>
          <w:p w14:paraId="5259A7FB" w14:textId="77777777" w:rsidR="008D22DB" w:rsidRPr="008D22DB" w:rsidRDefault="008D22DB" w:rsidP="008D22DB">
            <w:pPr>
              <w:ind w:firstLine="17"/>
              <w:jc w:val="center"/>
              <w:rPr>
                <w:rFonts w:ascii="Times New Roman" w:eastAsia="Times New Roman" w:hAnsi="Times New Roman" w:cs="Times New Roman"/>
              </w:rPr>
            </w:pPr>
            <w:r w:rsidRPr="008D22DB">
              <w:rPr>
                <w:rFonts w:ascii="Times New Roman" w:eastAsia="Times New Roman" w:hAnsi="Times New Roman" w:cs="Times New Roman"/>
              </w:rPr>
              <w:t>51</w:t>
            </w:r>
          </w:p>
        </w:tc>
      </w:tr>
      <w:tr w:rsidR="008D22DB" w:rsidRPr="008D22DB" w14:paraId="7615A282" w14:textId="77777777" w:rsidTr="00640DD7">
        <w:trPr>
          <w:trHeight w:val="288"/>
        </w:trPr>
        <w:tc>
          <w:tcPr>
            <w:tcW w:w="3015" w:type="dxa"/>
          </w:tcPr>
          <w:p w14:paraId="6D70FE31" w14:textId="77777777" w:rsidR="008D22DB" w:rsidRPr="008D22DB" w:rsidRDefault="008D22DB" w:rsidP="008D22DB">
            <w:pPr>
              <w:ind w:firstLine="17"/>
              <w:jc w:val="both"/>
              <w:rPr>
                <w:rFonts w:ascii="Times New Roman" w:eastAsia="Times New Roman" w:hAnsi="Times New Roman" w:cs="Times New Roman"/>
              </w:rPr>
            </w:pPr>
            <w:r w:rsidRPr="008D22DB">
              <w:rPr>
                <w:rFonts w:ascii="Times New Roman" w:eastAsia="Times New Roman" w:hAnsi="Times New Roman" w:cs="Times New Roman"/>
              </w:rPr>
              <w:t>Процент целей</w:t>
            </w:r>
          </w:p>
        </w:tc>
        <w:tc>
          <w:tcPr>
            <w:tcW w:w="1865" w:type="dxa"/>
          </w:tcPr>
          <w:p w14:paraId="22D490F8" w14:textId="77777777" w:rsidR="008D22DB" w:rsidRPr="008D22DB" w:rsidRDefault="008D22DB" w:rsidP="008D22DB">
            <w:pPr>
              <w:ind w:firstLine="17"/>
              <w:jc w:val="center"/>
              <w:rPr>
                <w:rFonts w:ascii="Times New Roman" w:eastAsia="Times New Roman" w:hAnsi="Times New Roman" w:cs="Times New Roman"/>
              </w:rPr>
            </w:pPr>
            <w:r w:rsidRPr="008D22DB">
              <w:rPr>
                <w:rFonts w:ascii="Times New Roman" w:eastAsia="Times New Roman" w:hAnsi="Times New Roman" w:cs="Times New Roman"/>
              </w:rPr>
              <w:t>36,7</w:t>
            </w:r>
          </w:p>
        </w:tc>
        <w:tc>
          <w:tcPr>
            <w:tcW w:w="1721" w:type="dxa"/>
          </w:tcPr>
          <w:p w14:paraId="4FCA349D" w14:textId="77777777" w:rsidR="008D22DB" w:rsidRPr="008D22DB" w:rsidRDefault="008D22DB" w:rsidP="008D22DB">
            <w:pPr>
              <w:ind w:firstLine="17"/>
              <w:jc w:val="center"/>
              <w:rPr>
                <w:rFonts w:ascii="Times New Roman" w:eastAsia="Times New Roman" w:hAnsi="Times New Roman" w:cs="Times New Roman"/>
              </w:rPr>
            </w:pPr>
            <w:r w:rsidRPr="008D22DB">
              <w:rPr>
                <w:rFonts w:ascii="Times New Roman" w:eastAsia="Times New Roman" w:hAnsi="Times New Roman" w:cs="Times New Roman"/>
              </w:rPr>
              <w:t>33,1</w:t>
            </w:r>
          </w:p>
        </w:tc>
        <w:tc>
          <w:tcPr>
            <w:tcW w:w="1465" w:type="dxa"/>
          </w:tcPr>
          <w:p w14:paraId="1B513F8F" w14:textId="77777777" w:rsidR="008D22DB" w:rsidRPr="008D22DB" w:rsidRDefault="008D22DB" w:rsidP="008D22DB">
            <w:pPr>
              <w:ind w:firstLine="17"/>
              <w:jc w:val="center"/>
              <w:rPr>
                <w:rFonts w:ascii="Times New Roman" w:eastAsia="Times New Roman" w:hAnsi="Times New Roman" w:cs="Times New Roman"/>
              </w:rPr>
            </w:pPr>
            <w:r w:rsidRPr="008D22DB">
              <w:rPr>
                <w:rFonts w:ascii="Times New Roman" w:eastAsia="Times New Roman" w:hAnsi="Times New Roman" w:cs="Times New Roman"/>
              </w:rPr>
              <w:t>69,8</w:t>
            </w:r>
          </w:p>
        </w:tc>
        <w:tc>
          <w:tcPr>
            <w:tcW w:w="1577" w:type="dxa"/>
          </w:tcPr>
          <w:p w14:paraId="1700003B" w14:textId="77777777" w:rsidR="008D22DB" w:rsidRPr="008D22DB" w:rsidRDefault="008D22DB" w:rsidP="008D22DB">
            <w:pPr>
              <w:ind w:firstLine="17"/>
              <w:jc w:val="center"/>
              <w:rPr>
                <w:rFonts w:ascii="Times New Roman" w:eastAsia="Times New Roman" w:hAnsi="Times New Roman" w:cs="Times New Roman"/>
              </w:rPr>
            </w:pPr>
            <w:r w:rsidRPr="008D22DB">
              <w:rPr>
                <w:rFonts w:ascii="Times New Roman" w:eastAsia="Times New Roman" w:hAnsi="Times New Roman" w:cs="Times New Roman"/>
              </w:rPr>
              <w:t>30,2</w:t>
            </w:r>
          </w:p>
        </w:tc>
      </w:tr>
      <w:tr w:rsidR="008D22DB" w:rsidRPr="008D22DB" w14:paraId="050410F9" w14:textId="77777777" w:rsidTr="00640DD7">
        <w:trPr>
          <w:trHeight w:val="288"/>
        </w:trPr>
        <w:tc>
          <w:tcPr>
            <w:tcW w:w="3015" w:type="dxa"/>
          </w:tcPr>
          <w:p w14:paraId="37085594" w14:textId="77777777" w:rsidR="008D22DB" w:rsidRPr="008D22DB" w:rsidRDefault="008D22DB" w:rsidP="008D22DB">
            <w:pPr>
              <w:ind w:firstLine="17"/>
              <w:jc w:val="both"/>
              <w:rPr>
                <w:rFonts w:ascii="Times New Roman" w:eastAsia="Times New Roman" w:hAnsi="Times New Roman" w:cs="Times New Roman"/>
              </w:rPr>
            </w:pPr>
            <w:r w:rsidRPr="008D22DB">
              <w:rPr>
                <w:rFonts w:ascii="Times New Roman" w:eastAsia="Times New Roman" w:hAnsi="Times New Roman" w:cs="Times New Roman"/>
              </w:rPr>
              <w:t>Количество индикаторов</w:t>
            </w:r>
          </w:p>
        </w:tc>
        <w:tc>
          <w:tcPr>
            <w:tcW w:w="1865" w:type="dxa"/>
          </w:tcPr>
          <w:p w14:paraId="55C7EE73" w14:textId="77777777" w:rsidR="008D22DB" w:rsidRPr="008D22DB" w:rsidRDefault="008D22DB" w:rsidP="008D22DB">
            <w:pPr>
              <w:ind w:firstLine="17"/>
              <w:jc w:val="center"/>
              <w:rPr>
                <w:rFonts w:ascii="Times New Roman" w:eastAsia="Times New Roman" w:hAnsi="Times New Roman" w:cs="Times New Roman"/>
              </w:rPr>
            </w:pPr>
            <w:r w:rsidRPr="008D22DB">
              <w:rPr>
                <w:rFonts w:ascii="Times New Roman" w:eastAsia="Times New Roman" w:hAnsi="Times New Roman" w:cs="Times New Roman"/>
              </w:rPr>
              <w:t>96</w:t>
            </w:r>
          </w:p>
        </w:tc>
        <w:tc>
          <w:tcPr>
            <w:tcW w:w="1721" w:type="dxa"/>
          </w:tcPr>
          <w:p w14:paraId="721389E4" w14:textId="77777777" w:rsidR="008D22DB" w:rsidRPr="008D22DB" w:rsidRDefault="008D22DB" w:rsidP="008D22DB">
            <w:pPr>
              <w:ind w:firstLine="17"/>
              <w:jc w:val="center"/>
              <w:rPr>
                <w:rFonts w:ascii="Times New Roman" w:eastAsia="Times New Roman" w:hAnsi="Times New Roman" w:cs="Times New Roman"/>
              </w:rPr>
            </w:pPr>
            <w:r w:rsidRPr="008D22DB">
              <w:rPr>
                <w:rFonts w:ascii="Times New Roman" w:eastAsia="Times New Roman" w:hAnsi="Times New Roman" w:cs="Times New Roman"/>
              </w:rPr>
              <w:t>66</w:t>
            </w:r>
          </w:p>
        </w:tc>
        <w:tc>
          <w:tcPr>
            <w:tcW w:w="1465" w:type="dxa"/>
          </w:tcPr>
          <w:p w14:paraId="729DE10B" w14:textId="77777777" w:rsidR="008D22DB" w:rsidRPr="008D22DB" w:rsidRDefault="008D22DB" w:rsidP="008D22DB">
            <w:pPr>
              <w:ind w:firstLine="17"/>
              <w:jc w:val="center"/>
              <w:rPr>
                <w:rFonts w:ascii="Times New Roman" w:eastAsia="Times New Roman" w:hAnsi="Times New Roman" w:cs="Times New Roman"/>
              </w:rPr>
            </w:pPr>
            <w:r w:rsidRPr="008D22DB">
              <w:rPr>
                <w:rFonts w:ascii="Times New Roman" w:eastAsia="Times New Roman" w:hAnsi="Times New Roman" w:cs="Times New Roman"/>
              </w:rPr>
              <w:t>162</w:t>
            </w:r>
          </w:p>
        </w:tc>
        <w:tc>
          <w:tcPr>
            <w:tcW w:w="1577" w:type="dxa"/>
          </w:tcPr>
          <w:p w14:paraId="2DCF4E85" w14:textId="77777777" w:rsidR="008D22DB" w:rsidRPr="008D22DB" w:rsidRDefault="008D22DB" w:rsidP="008D22DB">
            <w:pPr>
              <w:ind w:firstLine="17"/>
              <w:jc w:val="center"/>
              <w:rPr>
                <w:rFonts w:ascii="Times New Roman" w:eastAsia="Times New Roman" w:hAnsi="Times New Roman" w:cs="Times New Roman"/>
              </w:rPr>
            </w:pPr>
            <w:r w:rsidRPr="008D22DB">
              <w:rPr>
                <w:rFonts w:ascii="Times New Roman" w:eastAsia="Times New Roman" w:hAnsi="Times New Roman" w:cs="Times New Roman"/>
              </w:rPr>
              <w:t>79</w:t>
            </w:r>
          </w:p>
        </w:tc>
      </w:tr>
      <w:tr w:rsidR="008D22DB" w:rsidRPr="008D22DB" w14:paraId="6E3E5F1D" w14:textId="77777777" w:rsidTr="00640DD7">
        <w:trPr>
          <w:trHeight w:val="288"/>
        </w:trPr>
        <w:tc>
          <w:tcPr>
            <w:tcW w:w="3015" w:type="dxa"/>
          </w:tcPr>
          <w:p w14:paraId="080BCCF8" w14:textId="77777777" w:rsidR="008D22DB" w:rsidRPr="008D22DB" w:rsidRDefault="008D22DB" w:rsidP="008D22DB">
            <w:pPr>
              <w:ind w:firstLine="17"/>
              <w:jc w:val="both"/>
              <w:rPr>
                <w:rFonts w:ascii="Times New Roman" w:eastAsia="Times New Roman" w:hAnsi="Times New Roman" w:cs="Times New Roman"/>
              </w:rPr>
            </w:pPr>
            <w:r w:rsidRPr="008D22DB">
              <w:rPr>
                <w:rFonts w:ascii="Times New Roman" w:eastAsia="Times New Roman" w:hAnsi="Times New Roman" w:cs="Times New Roman"/>
              </w:rPr>
              <w:t>Процент показателей</w:t>
            </w:r>
          </w:p>
        </w:tc>
        <w:tc>
          <w:tcPr>
            <w:tcW w:w="1865" w:type="dxa"/>
          </w:tcPr>
          <w:p w14:paraId="47C2F586" w14:textId="77777777" w:rsidR="008D22DB" w:rsidRPr="008D22DB" w:rsidRDefault="008D22DB" w:rsidP="008D22DB">
            <w:pPr>
              <w:ind w:firstLine="17"/>
              <w:jc w:val="center"/>
              <w:rPr>
                <w:rFonts w:ascii="Times New Roman" w:eastAsia="Times New Roman" w:hAnsi="Times New Roman" w:cs="Times New Roman"/>
              </w:rPr>
            </w:pPr>
            <w:r w:rsidRPr="008D22DB">
              <w:rPr>
                <w:rFonts w:ascii="Times New Roman" w:eastAsia="Times New Roman" w:hAnsi="Times New Roman" w:cs="Times New Roman"/>
              </w:rPr>
              <w:t>39,8</w:t>
            </w:r>
          </w:p>
        </w:tc>
        <w:tc>
          <w:tcPr>
            <w:tcW w:w="1721" w:type="dxa"/>
          </w:tcPr>
          <w:p w14:paraId="1D51EEB2" w14:textId="77777777" w:rsidR="008D22DB" w:rsidRPr="008D22DB" w:rsidRDefault="008D22DB" w:rsidP="008D22DB">
            <w:pPr>
              <w:ind w:firstLine="17"/>
              <w:jc w:val="center"/>
              <w:rPr>
                <w:rFonts w:ascii="Times New Roman" w:eastAsia="Times New Roman" w:hAnsi="Times New Roman" w:cs="Times New Roman"/>
              </w:rPr>
            </w:pPr>
            <w:r w:rsidRPr="008D22DB">
              <w:rPr>
                <w:rFonts w:ascii="Times New Roman" w:eastAsia="Times New Roman" w:hAnsi="Times New Roman" w:cs="Times New Roman"/>
              </w:rPr>
              <w:t>27,4</w:t>
            </w:r>
          </w:p>
        </w:tc>
        <w:tc>
          <w:tcPr>
            <w:tcW w:w="1465" w:type="dxa"/>
          </w:tcPr>
          <w:p w14:paraId="6B3EF469" w14:textId="77777777" w:rsidR="008D22DB" w:rsidRPr="008D22DB" w:rsidRDefault="008D22DB" w:rsidP="008D22DB">
            <w:pPr>
              <w:ind w:firstLine="17"/>
              <w:jc w:val="center"/>
              <w:rPr>
                <w:rFonts w:ascii="Times New Roman" w:eastAsia="Times New Roman" w:hAnsi="Times New Roman" w:cs="Times New Roman"/>
              </w:rPr>
            </w:pPr>
            <w:r w:rsidRPr="008D22DB">
              <w:rPr>
                <w:rFonts w:ascii="Times New Roman" w:eastAsia="Times New Roman" w:hAnsi="Times New Roman" w:cs="Times New Roman"/>
              </w:rPr>
              <w:t>67,2</w:t>
            </w:r>
          </w:p>
        </w:tc>
        <w:tc>
          <w:tcPr>
            <w:tcW w:w="1577" w:type="dxa"/>
          </w:tcPr>
          <w:p w14:paraId="69334080" w14:textId="77777777" w:rsidR="008D22DB" w:rsidRPr="008D22DB" w:rsidRDefault="008D22DB" w:rsidP="008D22DB">
            <w:pPr>
              <w:ind w:firstLine="17"/>
              <w:jc w:val="center"/>
              <w:rPr>
                <w:rFonts w:ascii="Times New Roman" w:eastAsia="Times New Roman" w:hAnsi="Times New Roman" w:cs="Times New Roman"/>
              </w:rPr>
            </w:pPr>
            <w:r w:rsidRPr="008D22DB">
              <w:rPr>
                <w:rFonts w:ascii="Times New Roman" w:eastAsia="Times New Roman" w:hAnsi="Times New Roman" w:cs="Times New Roman"/>
              </w:rPr>
              <w:t>32,8</w:t>
            </w:r>
          </w:p>
        </w:tc>
      </w:tr>
    </w:tbl>
    <w:p w14:paraId="69D3DBF6" w14:textId="77777777" w:rsidR="008D22DB" w:rsidRPr="008D22DB" w:rsidRDefault="008D22DB" w:rsidP="008D22D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FAA5317" w14:textId="77777777" w:rsidR="008D22DB" w:rsidRPr="008D22DB" w:rsidRDefault="008D22DB" w:rsidP="008D22D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D22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Эта структура представляет собой унифицированную систему отчетности по мониторингу и оценке, которая используется для оценки уровня развития всего континента в целом и отдельных стран Африки. Однако ее применение не соответствует целям инновационно-инклюзивного развития. </w:t>
      </w:r>
    </w:p>
    <w:p w14:paraId="44429AAF" w14:textId="77777777" w:rsidR="008D22DB" w:rsidRPr="008D22DB" w:rsidRDefault="008D22DB" w:rsidP="008D22D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D22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В этой связи логика анализа инновационно-инклюзивного развития Республики Кот-д’Ивуар соответствует авторскому многоуровневому подходу: от формирования информационно-эмпирической базы и индикаторной оценки инновационной активности  к типологизации регионов, </w:t>
      </w:r>
      <w:r w:rsidRPr="008D22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выявлению причинно-следственных механизмов инновационно-инклюзивного развития и анализу эффектов цифровой платформизации малого и среднего предпринимательства. Такая последовательность обеспечивает переход от описательной характеристики к аналитическому объяснению наблюдаемых различий и формирует основу для моделирования организационно-экономических решений в третьей главе диссертации.</w:t>
      </w:r>
    </w:p>
    <w:p w14:paraId="4A34F2D5" w14:textId="77777777" w:rsidR="008D22DB" w:rsidRPr="008D22DB" w:rsidRDefault="008D22DB" w:rsidP="008D22D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D22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В качестве исходного массива статистических данных была использована информация  Африканского банка развития (АфБР) </w:t>
      </w:r>
      <w:r w:rsidRPr="008D22DB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14:ligatures w14:val="none"/>
        </w:rPr>
        <w:t>[29</w:t>
      </w:r>
      <w:r w:rsidRPr="008D22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], Экономической комиссии для Африки (ЭКА) [</w:t>
      </w:r>
      <w:r w:rsidRPr="008D22DB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14:ligatures w14:val="none"/>
        </w:rPr>
        <w:t>176</w:t>
      </w:r>
      <w:r w:rsidRPr="008D22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], </w:t>
      </w:r>
      <w:bookmarkStart w:id="0" w:name="_Hlk138340682"/>
      <w:r w:rsidRPr="008D22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Регионального бюро Программы развития ООН для Африки</w:t>
      </w:r>
      <w:bookmarkEnd w:id="0"/>
      <w:r w:rsidRPr="008D22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(ПРООН-РБА) [</w:t>
      </w:r>
      <w:r w:rsidRPr="008D22DB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14:ligatures w14:val="none"/>
        </w:rPr>
        <w:t>171</w:t>
      </w:r>
      <w:r w:rsidRPr="008D22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], а также данные международных организаций (Конференция ООН по торговле и развитию (ЮНКТАД) [</w:t>
      </w:r>
      <w:r w:rsidRPr="008D22DB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14:ligatures w14:val="none"/>
        </w:rPr>
        <w:t>174</w:t>
      </w:r>
      <w:r w:rsidRPr="008D22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], Статистическая служба ООН (СОООН) [</w:t>
      </w:r>
      <w:r w:rsidRPr="008D22DB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14:ligatures w14:val="none"/>
        </w:rPr>
        <w:t>178</w:t>
      </w:r>
      <w:r w:rsidRPr="008D22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], Международный валютный фонд (МВФ) [</w:t>
      </w:r>
      <w:r w:rsidRPr="008D22DB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14:ligatures w14:val="none"/>
        </w:rPr>
        <w:t>112</w:t>
      </w:r>
      <w:r w:rsidRPr="008D22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] и Всемирный банк [</w:t>
      </w:r>
      <w:r w:rsidRPr="008D22DB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14:ligatures w14:val="none"/>
        </w:rPr>
        <w:t>188</w:t>
      </w:r>
      <w:r w:rsidRPr="008D22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], международные базы данных  (UNDP, WIPO, ITU и др.), содержащие индикаторы инновационного и социально-экономического развития; отчеты о цифровой трансформации, развитии предпринимательства и финансовой инклюзивности;   данные по внешнеэкономической деятельности и экспортной структуре; аналитические материалы по развитию цифровых сервисов и платформенных решений.</w:t>
      </w:r>
    </w:p>
    <w:p w14:paraId="6C54A540" w14:textId="77777777" w:rsidR="008D22DB" w:rsidRPr="008D22DB" w:rsidRDefault="008D22DB" w:rsidP="008D22D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D22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Особенностью анализа в условиях развивающейся экономики является ограниченная доступность регионализированных данных по инновационной активности и цифровизации. В этой связи в работе применяется комбинация прямых статистических показателей и прокси-индикаторов, позволяющих косвенно оценить уровень инновационного и инклюзивного развития.</w:t>
      </w:r>
    </w:p>
    <w:p w14:paraId="06547A38" w14:textId="77777777" w:rsidR="008D22DB" w:rsidRPr="008D22DB" w:rsidRDefault="008D22DB" w:rsidP="008D22D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D22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К ограничениям информационной базы относятся: </w:t>
      </w:r>
    </w:p>
    <w:p w14:paraId="71E17475" w14:textId="77777777" w:rsidR="008D22DB" w:rsidRPr="008D22DB" w:rsidRDefault="008D22DB" w:rsidP="008D22DB">
      <w:pPr>
        <w:widowControl w:val="0"/>
        <w:numPr>
          <w:ilvl w:val="0"/>
          <w:numId w:val="46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D22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фрагментарность региональной статистики; различная периодичность публикации данных;  </w:t>
      </w:r>
    </w:p>
    <w:p w14:paraId="713D9C98" w14:textId="77777777" w:rsidR="008D22DB" w:rsidRPr="008D22DB" w:rsidRDefault="008D22DB" w:rsidP="008D22DB">
      <w:pPr>
        <w:widowControl w:val="0"/>
        <w:numPr>
          <w:ilvl w:val="0"/>
          <w:numId w:val="46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D22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неполная сопоставимость международных и национальных индикаторов;  </w:t>
      </w:r>
    </w:p>
    <w:p w14:paraId="63AD693B" w14:textId="77777777" w:rsidR="008D22DB" w:rsidRPr="008D22DB" w:rsidRDefault="008D22DB" w:rsidP="008D22DB">
      <w:pPr>
        <w:widowControl w:val="0"/>
        <w:numPr>
          <w:ilvl w:val="0"/>
          <w:numId w:val="46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D22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отсутствие прямых показателей институционального доверия и </w:t>
      </w:r>
      <w:r w:rsidRPr="008D22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инклюзивности инноваций. </w:t>
      </w:r>
    </w:p>
    <w:p w14:paraId="0EAAD993" w14:textId="77777777" w:rsidR="008D22DB" w:rsidRPr="008D22DB" w:rsidRDefault="008D22DB" w:rsidP="008D22D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D22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Указанные ограничения учитывались нами при интерпретации результатов и компенсировались использованием многоуровневой методики анализа, включающей относительные показатели, динамические сравнения и латентное моделирование.</w:t>
      </w:r>
    </w:p>
    <w:p w14:paraId="4B698769" w14:textId="77777777" w:rsidR="008D22DB" w:rsidRPr="008D22DB" w:rsidRDefault="008D22DB" w:rsidP="008D22D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D22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 соответствии с общепринятым подходом было использовано субрегиональное разграничение стран Африки, представленное в таблице 15. [</w:t>
      </w:r>
      <w:r w:rsidRPr="008D22DB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14:ligatures w14:val="none"/>
        </w:rPr>
        <w:t>29, 112,171, 174</w:t>
      </w:r>
      <w:r w:rsidRPr="008D22DB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:lang w:val="en-US"/>
          <w14:ligatures w14:val="none"/>
        </w:rPr>
        <w:t> </w:t>
      </w:r>
      <w:r w:rsidRPr="008D22DB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14:ligatures w14:val="none"/>
        </w:rPr>
        <w:t>176, 188</w:t>
      </w:r>
      <w:r w:rsidRPr="008D22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]</w:t>
      </w:r>
    </w:p>
    <w:p w14:paraId="2A7CAB07" w14:textId="77777777" w:rsidR="008D22DB" w:rsidRPr="008D22DB" w:rsidRDefault="008D22DB" w:rsidP="008D22DB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kern w:val="0"/>
          <w:sz w:val="28"/>
          <w:szCs w:val="28"/>
          <w14:ligatures w14:val="none"/>
        </w:rPr>
      </w:pPr>
    </w:p>
    <w:p w14:paraId="0BB9E3E4" w14:textId="77777777" w:rsidR="008D22DB" w:rsidRPr="008D22DB" w:rsidRDefault="008D22DB" w:rsidP="008D22DB">
      <w:pPr>
        <w:spacing w:after="0" w:line="360" w:lineRule="auto"/>
        <w:jc w:val="both"/>
        <w:rPr>
          <w:i/>
          <w:kern w:val="0"/>
          <w:sz w:val="13"/>
          <w:szCs w:val="22"/>
          <w14:ligatures w14:val="none"/>
        </w:rPr>
      </w:pPr>
      <w:r w:rsidRPr="008D22DB">
        <w:rPr>
          <w:rFonts w:ascii="Times New Roman" w:hAnsi="Times New Roman" w:cs="Times New Roman"/>
          <w:iCs/>
          <w:kern w:val="0"/>
          <w:sz w:val="28"/>
          <w:szCs w:val="28"/>
          <w14:ligatures w14:val="none"/>
        </w:rPr>
        <w:t>Таблица 15 – Разграничение африканских субрегионов</w:t>
      </w:r>
      <w:r w:rsidRPr="008D22DB">
        <w:rPr>
          <w:rFonts w:ascii="Times New Roman" w:hAnsi="Times New Roman" w:cs="Times New Roman"/>
          <w:iCs/>
          <w:kern w:val="0"/>
          <w:sz w:val="28"/>
          <w:szCs w:val="28"/>
          <w:vertAlign w:val="superscript"/>
          <w14:ligatures w14:val="none"/>
        </w:rPr>
        <w:footnoteReference w:id="3"/>
      </w:r>
    </w:p>
    <w:tbl>
      <w:tblPr>
        <w:tblStyle w:val="TableNormal"/>
        <w:tblW w:w="9639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1E0" w:firstRow="1" w:lastRow="1" w:firstColumn="1" w:lastColumn="1" w:noHBand="0" w:noVBand="0"/>
      </w:tblPr>
      <w:tblGrid>
        <w:gridCol w:w="1842"/>
        <w:gridCol w:w="7797"/>
      </w:tblGrid>
      <w:tr w:rsidR="008D22DB" w:rsidRPr="008D22DB" w14:paraId="2A89DC07" w14:textId="77777777" w:rsidTr="00640DD7">
        <w:trPr>
          <w:trHeight w:val="642"/>
        </w:trPr>
        <w:tc>
          <w:tcPr>
            <w:tcW w:w="1842" w:type="dxa"/>
            <w:shd w:val="clear" w:color="auto" w:fill="FFFFFF" w:themeFill="background1"/>
          </w:tcPr>
          <w:p w14:paraId="75686C14" w14:textId="77777777" w:rsidR="008D22DB" w:rsidRPr="008D22DB" w:rsidRDefault="008D22DB" w:rsidP="008D22DB">
            <w:pPr>
              <w:ind w:left="113"/>
              <w:rPr>
                <w:rFonts w:ascii="Times New Roman" w:eastAsia="Times New Roman" w:hAnsi="Times New Roman" w:cs="Times New Roman"/>
              </w:rPr>
            </w:pPr>
            <w:r w:rsidRPr="008D22DB">
              <w:rPr>
                <w:rFonts w:ascii="Times New Roman" w:eastAsia="Times New Roman" w:hAnsi="Times New Roman" w:cs="Times New Roman"/>
              </w:rPr>
              <w:t>Северная Африка</w:t>
            </w:r>
          </w:p>
        </w:tc>
        <w:tc>
          <w:tcPr>
            <w:tcW w:w="7797" w:type="dxa"/>
            <w:shd w:val="clear" w:color="auto" w:fill="FFFFFF" w:themeFill="background1"/>
          </w:tcPr>
          <w:p w14:paraId="42073BB1" w14:textId="77777777" w:rsidR="008D22DB" w:rsidRPr="008D22DB" w:rsidRDefault="008D22DB" w:rsidP="008D22DB">
            <w:pPr>
              <w:ind w:left="90"/>
              <w:rPr>
                <w:rFonts w:ascii="Times New Roman" w:eastAsia="Times New Roman" w:hAnsi="Times New Roman" w:cs="Times New Roman"/>
              </w:rPr>
            </w:pPr>
            <w:r w:rsidRPr="008D22DB">
              <w:rPr>
                <w:rFonts w:ascii="Times New Roman" w:eastAsia="Times New Roman" w:hAnsi="Times New Roman" w:cs="Times New Roman"/>
              </w:rPr>
              <w:t>Алжир, Египет, Ливия, Мавритания, Марокко, Тунис.</w:t>
            </w:r>
          </w:p>
        </w:tc>
      </w:tr>
      <w:tr w:rsidR="008D22DB" w:rsidRPr="008D22DB" w14:paraId="76A44A2D" w14:textId="77777777" w:rsidTr="00640DD7">
        <w:trPr>
          <w:trHeight w:val="860"/>
        </w:trPr>
        <w:tc>
          <w:tcPr>
            <w:tcW w:w="1842" w:type="dxa"/>
            <w:shd w:val="clear" w:color="auto" w:fill="FFFFFF" w:themeFill="background1"/>
          </w:tcPr>
          <w:p w14:paraId="05CAD383" w14:textId="77777777" w:rsidR="008D22DB" w:rsidRPr="008D22DB" w:rsidRDefault="008D22DB" w:rsidP="008D22DB">
            <w:pPr>
              <w:ind w:left="113"/>
              <w:rPr>
                <w:rFonts w:ascii="Times New Roman" w:eastAsia="Times New Roman" w:hAnsi="Times New Roman" w:cs="Times New Roman"/>
              </w:rPr>
            </w:pPr>
            <w:r w:rsidRPr="008D22DB">
              <w:rPr>
                <w:rFonts w:ascii="Times New Roman" w:eastAsia="Times New Roman" w:hAnsi="Times New Roman" w:cs="Times New Roman"/>
              </w:rPr>
              <w:t>Западная Африка</w:t>
            </w:r>
          </w:p>
        </w:tc>
        <w:tc>
          <w:tcPr>
            <w:tcW w:w="7797" w:type="dxa"/>
            <w:shd w:val="clear" w:color="auto" w:fill="FFFFFF" w:themeFill="background1"/>
          </w:tcPr>
          <w:p w14:paraId="5120E955" w14:textId="77777777" w:rsidR="008D22DB" w:rsidRPr="008D22DB" w:rsidRDefault="008D22DB" w:rsidP="008D22DB">
            <w:pPr>
              <w:ind w:left="90" w:right="187"/>
              <w:rPr>
                <w:rFonts w:ascii="Times New Roman" w:eastAsia="Times New Roman" w:hAnsi="Times New Roman" w:cs="Times New Roman"/>
              </w:rPr>
            </w:pPr>
            <w:r w:rsidRPr="008D22DB">
              <w:rPr>
                <w:rFonts w:ascii="Times New Roman" w:eastAsia="Times New Roman" w:hAnsi="Times New Roman" w:cs="Times New Roman"/>
              </w:rPr>
              <w:t>Бенин, Буркина-Фасо, Кабо-Верде, Кот-д'Ивуар, Гамбия, Гана, Гвинея, Гвинея-Бисау, Либерия, Мали, Нигер, Нигерия, Сенегал, СьерраЛеоне, Того.</w:t>
            </w:r>
          </w:p>
        </w:tc>
      </w:tr>
      <w:tr w:rsidR="008D22DB" w:rsidRPr="008D22DB" w14:paraId="4B3D7D33" w14:textId="77777777" w:rsidTr="00640DD7">
        <w:trPr>
          <w:trHeight w:val="860"/>
        </w:trPr>
        <w:tc>
          <w:tcPr>
            <w:tcW w:w="1842" w:type="dxa"/>
            <w:shd w:val="clear" w:color="auto" w:fill="FFFFFF" w:themeFill="background1"/>
          </w:tcPr>
          <w:p w14:paraId="17BE9A8F" w14:textId="77777777" w:rsidR="008D22DB" w:rsidRPr="008D22DB" w:rsidRDefault="008D22DB" w:rsidP="008D22DB">
            <w:pPr>
              <w:ind w:left="113"/>
              <w:rPr>
                <w:rFonts w:ascii="Times New Roman" w:eastAsia="Times New Roman" w:hAnsi="Times New Roman" w:cs="Times New Roman"/>
              </w:rPr>
            </w:pPr>
            <w:r w:rsidRPr="008D22DB">
              <w:rPr>
                <w:rFonts w:ascii="Times New Roman" w:eastAsia="Times New Roman" w:hAnsi="Times New Roman" w:cs="Times New Roman"/>
              </w:rPr>
              <w:t>Центральная Африка</w:t>
            </w:r>
          </w:p>
        </w:tc>
        <w:tc>
          <w:tcPr>
            <w:tcW w:w="7797" w:type="dxa"/>
            <w:shd w:val="clear" w:color="auto" w:fill="FFFFFF" w:themeFill="background1"/>
          </w:tcPr>
          <w:p w14:paraId="063C1D52" w14:textId="77777777" w:rsidR="008D22DB" w:rsidRPr="008D22DB" w:rsidRDefault="008D22DB" w:rsidP="008D22DB">
            <w:pPr>
              <w:ind w:left="90" w:right="187"/>
              <w:rPr>
                <w:rFonts w:ascii="Times New Roman" w:eastAsia="Times New Roman" w:hAnsi="Times New Roman" w:cs="Times New Roman"/>
              </w:rPr>
            </w:pPr>
            <w:r w:rsidRPr="008D22DB">
              <w:rPr>
                <w:rFonts w:ascii="Times New Roman" w:eastAsia="Times New Roman" w:hAnsi="Times New Roman" w:cs="Times New Roman"/>
              </w:rPr>
              <w:t>Бурунди, Камерун, Центральноафриканская Республика, Чад, Республика Конго, Демократическая Республика Конго, Экваториальная Гвинея, Габон, Сан-Томе и Принсипи.</w:t>
            </w:r>
          </w:p>
        </w:tc>
      </w:tr>
      <w:tr w:rsidR="008D22DB" w:rsidRPr="008D22DB" w14:paraId="2A401265" w14:textId="77777777" w:rsidTr="00640DD7">
        <w:trPr>
          <w:trHeight w:val="620"/>
        </w:trPr>
        <w:tc>
          <w:tcPr>
            <w:tcW w:w="1842" w:type="dxa"/>
            <w:shd w:val="clear" w:color="auto" w:fill="FFFFFF" w:themeFill="background1"/>
          </w:tcPr>
          <w:p w14:paraId="10F8E007" w14:textId="77777777" w:rsidR="008D22DB" w:rsidRPr="008D22DB" w:rsidRDefault="008D22DB" w:rsidP="008D22DB">
            <w:pPr>
              <w:ind w:left="113"/>
              <w:rPr>
                <w:rFonts w:ascii="Times New Roman" w:eastAsia="Times New Roman" w:hAnsi="Times New Roman" w:cs="Times New Roman"/>
              </w:rPr>
            </w:pPr>
            <w:r w:rsidRPr="008D22DB">
              <w:rPr>
                <w:rFonts w:ascii="Times New Roman" w:eastAsia="Times New Roman" w:hAnsi="Times New Roman" w:cs="Times New Roman"/>
              </w:rPr>
              <w:t>Восточная Африка</w:t>
            </w:r>
          </w:p>
        </w:tc>
        <w:tc>
          <w:tcPr>
            <w:tcW w:w="7797" w:type="dxa"/>
            <w:shd w:val="clear" w:color="auto" w:fill="FFFFFF" w:themeFill="background1"/>
          </w:tcPr>
          <w:p w14:paraId="36B71F7F" w14:textId="77777777" w:rsidR="008D22DB" w:rsidRPr="008D22DB" w:rsidRDefault="008D22DB" w:rsidP="008D22DB">
            <w:pPr>
              <w:ind w:left="90"/>
              <w:rPr>
                <w:rFonts w:ascii="Times New Roman" w:eastAsia="Times New Roman" w:hAnsi="Times New Roman" w:cs="Times New Roman"/>
              </w:rPr>
            </w:pPr>
            <w:r w:rsidRPr="008D22DB">
              <w:rPr>
                <w:rFonts w:ascii="Times New Roman" w:eastAsia="Times New Roman" w:hAnsi="Times New Roman" w:cs="Times New Roman"/>
              </w:rPr>
              <w:t>Коморы, Джибути, Эритрея, Эфиопия, Кения, Мадагаскар, Маврикий, Руанда, Сейшельские острова, Сомали, Южный Судан, Судан, Танзания, Уганда.</w:t>
            </w:r>
          </w:p>
        </w:tc>
      </w:tr>
      <w:tr w:rsidR="008D22DB" w:rsidRPr="008D22DB" w14:paraId="46719246" w14:textId="77777777" w:rsidTr="00640DD7">
        <w:trPr>
          <w:trHeight w:val="642"/>
        </w:trPr>
        <w:tc>
          <w:tcPr>
            <w:tcW w:w="1842" w:type="dxa"/>
            <w:shd w:val="clear" w:color="auto" w:fill="FFFFFF" w:themeFill="background1"/>
          </w:tcPr>
          <w:p w14:paraId="770E7C90" w14:textId="77777777" w:rsidR="008D22DB" w:rsidRPr="008D22DB" w:rsidRDefault="008D22DB" w:rsidP="008D22DB">
            <w:pPr>
              <w:ind w:left="113"/>
              <w:rPr>
                <w:rFonts w:ascii="Times New Roman" w:eastAsia="Times New Roman" w:hAnsi="Times New Roman" w:cs="Times New Roman"/>
              </w:rPr>
            </w:pPr>
            <w:r w:rsidRPr="008D22DB">
              <w:rPr>
                <w:rFonts w:ascii="Times New Roman" w:eastAsia="Times New Roman" w:hAnsi="Times New Roman" w:cs="Times New Roman"/>
              </w:rPr>
              <w:t>Южная Африка</w:t>
            </w:r>
          </w:p>
        </w:tc>
        <w:tc>
          <w:tcPr>
            <w:tcW w:w="7797" w:type="dxa"/>
            <w:shd w:val="clear" w:color="auto" w:fill="FFFFFF" w:themeFill="background1"/>
          </w:tcPr>
          <w:p w14:paraId="01CD9248" w14:textId="77777777" w:rsidR="008D22DB" w:rsidRPr="008D22DB" w:rsidRDefault="008D22DB" w:rsidP="008D22DB">
            <w:pPr>
              <w:ind w:left="90"/>
              <w:rPr>
                <w:rFonts w:ascii="Times New Roman" w:eastAsia="Times New Roman" w:hAnsi="Times New Roman" w:cs="Times New Roman"/>
              </w:rPr>
            </w:pPr>
            <w:r w:rsidRPr="008D22DB">
              <w:rPr>
                <w:rFonts w:ascii="Times New Roman" w:eastAsia="Times New Roman" w:hAnsi="Times New Roman" w:cs="Times New Roman"/>
              </w:rPr>
              <w:t>Ангола, Ботсвана, Эсватини, Лесото, Мадагаскар, Малави, Мозамбик, Намибия, ЮАР, Замбия, Зимбабве.</w:t>
            </w:r>
          </w:p>
        </w:tc>
      </w:tr>
    </w:tbl>
    <w:p w14:paraId="0E05512A" w14:textId="77777777" w:rsidR="008D22DB" w:rsidRPr="008D22DB" w:rsidRDefault="008D22DB" w:rsidP="008D22DB">
      <w:pPr>
        <w:shd w:val="clear" w:color="auto" w:fill="FFFFFF"/>
        <w:spacing w:after="0" w:line="420" w:lineRule="atLeast"/>
        <w:rPr>
          <w:rFonts w:asciiTheme="majorHAnsi" w:eastAsiaTheme="majorEastAsia" w:hAnsiTheme="majorHAnsi" w:cstheme="majorBidi"/>
          <w:kern w:val="0"/>
          <w:sz w:val="22"/>
          <w:szCs w:val="22"/>
          <w14:ligatures w14:val="none"/>
        </w:rPr>
      </w:pPr>
      <w:bookmarkStart w:id="1" w:name="_bookmark8"/>
      <w:bookmarkEnd w:id="1"/>
    </w:p>
    <w:p w14:paraId="7D07788B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t>Инновационное измерение в рамках настоящего исследования включает показатели, отражающие уровень и динамику инновационной активности, технологической модернизации и цифровой трансформации экономики. К ключевым блокам инновационного измерения отнесены следующие.</w:t>
      </w:r>
    </w:p>
    <w:p w14:paraId="22A866DB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t>Инновационная активность предприятий:</w:t>
      </w:r>
    </w:p>
    <w:p w14:paraId="317EAADD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t xml:space="preserve">    – доля предприятий, внедряющих новые продукты и процессы;</w:t>
      </w:r>
    </w:p>
    <w:p w14:paraId="636DA8D0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t xml:space="preserve">    – расходы на НИОКР (при наличии данных);</w:t>
      </w:r>
    </w:p>
    <w:p w14:paraId="00F22D2D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t xml:space="preserve">    – развитие предпринимательства в технологически ориентированных секторах.</w:t>
      </w:r>
    </w:p>
    <w:p w14:paraId="65BBC341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t xml:space="preserve">    Цифровая трансформация экономики:</w:t>
      </w:r>
    </w:p>
    <w:p w14:paraId="6F3E7F62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lastRenderedPageBreak/>
        <w:t xml:space="preserve">    – уровень интернет-проникновения;</w:t>
      </w:r>
    </w:p>
    <w:p w14:paraId="4BA9D80C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t xml:space="preserve">    – распространенность мобильных финансовых сервисов;</w:t>
      </w:r>
    </w:p>
    <w:p w14:paraId="4DD23188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t xml:space="preserve">    – цифровизация платежей и электронная коммерция.</w:t>
      </w:r>
    </w:p>
    <w:p w14:paraId="13C2FAD6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t xml:space="preserve">    Доступ к финансированию инноваций:</w:t>
      </w:r>
    </w:p>
    <w:p w14:paraId="3A1DA1B5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t xml:space="preserve">    – объем кредитования МСП;</w:t>
      </w:r>
    </w:p>
    <w:p w14:paraId="1DD17EEA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t xml:space="preserve">    – развитие микрофинансовых инструментов;</w:t>
      </w:r>
    </w:p>
    <w:p w14:paraId="08FE888A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t xml:space="preserve">    – приток прямых иностранных инвестиций в инновационно ориентированные сектора.</w:t>
      </w:r>
    </w:p>
    <w:p w14:paraId="27C8CC15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t xml:space="preserve">    Внешнеэкономическая активность:</w:t>
      </w:r>
    </w:p>
    <w:p w14:paraId="5D4A1313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t xml:space="preserve">    – диверсификация экспорта;</w:t>
      </w:r>
    </w:p>
    <w:p w14:paraId="7DCAAABF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t xml:space="preserve">    – доля переработанной продукции;</w:t>
      </w:r>
    </w:p>
    <w:p w14:paraId="63056256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t xml:space="preserve">    – участие в региональных и глобальных цепочках создания стоимости.</w:t>
      </w:r>
    </w:p>
    <w:p w14:paraId="609A6E4F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t>Данные показатели используются как наблюдаемые переменные для индикаторного анализа и последующего причинно-структурного моделирования.</w:t>
      </w:r>
    </w:p>
    <w:p w14:paraId="1F86AA36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t>Инклюзивное измерение направлено на оценку степени вовлеченности экономических агентов и территорий в процессы экономического роста и инновационного развития. В рамках исследования инклюзивность рассматривается через следующие блоки.</w:t>
      </w:r>
    </w:p>
    <w:p w14:paraId="0C3CA779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t xml:space="preserve">    Экономическая включенность населения и МСП:</w:t>
      </w:r>
    </w:p>
    <w:p w14:paraId="0DF175DF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t xml:space="preserve">    – уровень занятости;</w:t>
      </w:r>
    </w:p>
    <w:p w14:paraId="0343A63C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t xml:space="preserve">    – доля самозанятых и микропредприятий;</w:t>
      </w:r>
    </w:p>
    <w:p w14:paraId="554D0471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t xml:space="preserve">    – доступ к финансовым услугам;</w:t>
      </w:r>
    </w:p>
    <w:p w14:paraId="06B0492F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t xml:space="preserve">    – формализация хозяйственной деятельности.</w:t>
      </w:r>
    </w:p>
    <w:p w14:paraId="33F44A4B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t xml:space="preserve">    Региональная вовлеченность:</w:t>
      </w:r>
    </w:p>
    <w:p w14:paraId="3DD2FE41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t xml:space="preserve">    – различия в уровне доходов между регионами;</w:t>
      </w:r>
    </w:p>
    <w:p w14:paraId="6270E9BD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t xml:space="preserve">    – территориальная концентрация экономической активности;</w:t>
      </w:r>
    </w:p>
    <w:p w14:paraId="20C3E79B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t xml:space="preserve">    – доступ к инфраструктуре.</w:t>
      </w:r>
    </w:p>
    <w:p w14:paraId="1698E706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t xml:space="preserve">    Социальная устойчивость развития:</w:t>
      </w:r>
    </w:p>
    <w:p w14:paraId="02E39020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t xml:space="preserve">    – уровень бедности;</w:t>
      </w:r>
    </w:p>
    <w:p w14:paraId="6F1CBEEA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lastRenderedPageBreak/>
        <w:t xml:space="preserve">    – доступ к образованию и цифровым услугам;</w:t>
      </w:r>
    </w:p>
    <w:p w14:paraId="3CD5060E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t xml:space="preserve">    – показатели гендерной и молодежной вовлеченности.</w:t>
      </w:r>
    </w:p>
    <w:p w14:paraId="535618FB" w14:textId="77777777" w:rsidR="008D22DB" w:rsidRPr="008D22DB" w:rsidRDefault="008D22DB" w:rsidP="008D22DB">
      <w:pPr>
        <w:widowControl w:val="0"/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t>Особое внимание уделяется показателям финансовой и цифровой инклюзии, которые в условиях развивающихся стран выступают связующим звеном между инновационной активностью и социально-экономическими результатами.</w:t>
      </w:r>
    </w:p>
    <w:p w14:paraId="2909437B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D22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Республика Кот-д'Ивуар (РКИ) – государство на южном побережье Западной Африки, Атлантического океана, в западной части Гвинейского залива. Площадь страны составляет 322 462 км</w:t>
      </w:r>
      <w:r w:rsidRPr="008D22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vertAlign w:val="superscript"/>
          <w:lang w:eastAsia="ru-RU"/>
          <w14:ligatures w14:val="none"/>
        </w:rPr>
        <w:t>2</w:t>
      </w:r>
      <w:r w:rsidRPr="008D22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 На северо-западе граничит с Гвинеей, на западе – с Либерией, на северо-западе – с Мали, на северо-востоке – с Буркина-Фасо, на востоке – с Ганой, а на юге омывается Атлантическим океаном и Гвинейским заливом. В 2024 г., согласно данным бюро по вопросам народонаселения, в Кот-д’Ивуаре проживало 31,5 млн чел., что делает его третьей по численности населения страной в Западной Африке</w:t>
      </w:r>
      <w:r w:rsidRPr="008D22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vertAlign w:val="superscript"/>
          <w:lang w:eastAsia="ru-RU"/>
          <w14:ligatures w14:val="none"/>
        </w:rPr>
        <w:footnoteReference w:id="4"/>
      </w:r>
      <w:r w:rsidRPr="008D22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Официальным языком является французский. Страна разделена на 31 регион и 2 автономных округа. Ее столица – город Ямусукро, расположенный в центре страны, а крупнейший город и экономический центр – портовый город Абиджан.</w:t>
      </w:r>
    </w:p>
    <w:p w14:paraId="636E878B" w14:textId="77777777" w:rsidR="008D22DB" w:rsidRPr="008D22DB" w:rsidRDefault="008D22DB" w:rsidP="008D22D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B0F0"/>
          <w:kern w:val="0"/>
          <w:sz w:val="28"/>
          <w:szCs w:val="28"/>
          <w14:ligatures w14:val="none"/>
        </w:rPr>
      </w:pPr>
      <w:r w:rsidRPr="008D22DB">
        <w:rPr>
          <w:rFonts w:ascii="Times New Roman" w:eastAsia="Times New Roman" w:hAnsi="Times New Roman" w:cs="Times New Roman"/>
          <w:color w:val="00B0F0"/>
          <w:kern w:val="0"/>
          <w:sz w:val="28"/>
          <w:szCs w:val="28"/>
          <w14:ligatures w14:val="none"/>
        </w:rPr>
        <w:t xml:space="preserve">Этот фрагмент надо освежить до данных 2024, я нашла разные данным по ВВП в зависимости от сайта – данные всемирного банка в долларах, есть два сайта, где информация по КДВ. </w:t>
      </w:r>
      <w:hyperlink r:id="rId7" w:history="1">
        <w:r w:rsidRPr="008D22DB">
          <w:rPr>
            <w:rFonts w:ascii="Times New Roman" w:eastAsia="Times New Roman" w:hAnsi="Times New Roman" w:cs="Times New Roman"/>
            <w:color w:val="0563C1" w:themeColor="hyperlink"/>
            <w:kern w:val="0"/>
            <w:sz w:val="28"/>
            <w:szCs w:val="28"/>
            <w:u w:val="single"/>
            <w14:ligatures w14:val="none"/>
          </w:rPr>
          <w:t>https://statbase.ru/data/civ-gdp/</w:t>
        </w:r>
      </w:hyperlink>
      <w:r w:rsidRPr="008D22DB">
        <w:rPr>
          <w:rFonts w:ascii="Times New Roman" w:eastAsia="Times New Roman" w:hAnsi="Times New Roman" w:cs="Times New Roman"/>
          <w:color w:val="00B0F0"/>
          <w:kern w:val="0"/>
          <w:sz w:val="28"/>
          <w:szCs w:val="28"/>
          <w14:ligatures w14:val="none"/>
        </w:rPr>
        <w:t xml:space="preserve"> и </w:t>
      </w:r>
      <w:hyperlink r:id="rId8" w:history="1">
        <w:r w:rsidRPr="008D22DB">
          <w:rPr>
            <w:rFonts w:ascii="Times New Roman" w:eastAsia="Times New Roman" w:hAnsi="Times New Roman" w:cs="Times New Roman"/>
            <w:color w:val="0563C1" w:themeColor="hyperlink"/>
            <w:kern w:val="0"/>
            <w:sz w:val="28"/>
            <w:szCs w:val="28"/>
            <w:u w:val="single"/>
            <w14:ligatures w14:val="none"/>
          </w:rPr>
          <w:t>https://ru.tradingeconomics.com/ivory-coast/gdp</w:t>
        </w:r>
      </w:hyperlink>
      <w:r w:rsidRPr="008D22DB">
        <w:rPr>
          <w:rFonts w:ascii="Times New Roman" w:eastAsia="Times New Roman" w:hAnsi="Times New Roman" w:cs="Times New Roman"/>
          <w:color w:val="00B0F0"/>
          <w:kern w:val="0"/>
          <w:sz w:val="28"/>
          <w:szCs w:val="28"/>
          <w14:ligatures w14:val="none"/>
        </w:rPr>
        <w:t xml:space="preserve"> </w:t>
      </w:r>
    </w:p>
    <w:p w14:paraId="2252D2BD" w14:textId="77777777" w:rsidR="008D22DB" w:rsidRPr="008D22DB" w:rsidRDefault="008D22DB" w:rsidP="008D22D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B0F0"/>
          <w:kern w:val="0"/>
          <w:sz w:val="28"/>
          <w:szCs w:val="28"/>
          <w14:ligatures w14:val="none"/>
        </w:rPr>
      </w:pPr>
      <w:r w:rsidRPr="008D22DB">
        <w:rPr>
          <w:rFonts w:ascii="Times New Roman" w:eastAsia="Times New Roman" w:hAnsi="Times New Roman" w:cs="Times New Roman"/>
          <w:color w:val="00B0F0"/>
          <w:kern w:val="0"/>
          <w:sz w:val="28"/>
          <w:szCs w:val="28"/>
          <w14:ligatures w14:val="none"/>
        </w:rPr>
        <w:t xml:space="preserve">Вы мне присылали по ВВП в их национальной валюте. </w:t>
      </w:r>
    </w:p>
    <w:p w14:paraId="5E6B5E12" w14:textId="77777777" w:rsidR="008D22DB" w:rsidRPr="008D22DB" w:rsidRDefault="008D22DB" w:rsidP="008D22D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B0F0"/>
          <w:kern w:val="0"/>
          <w:sz w:val="28"/>
          <w:szCs w:val="28"/>
          <w14:ligatures w14:val="none"/>
        </w:rPr>
      </w:pPr>
      <w:r w:rsidRPr="008D22DB">
        <w:rPr>
          <w:rFonts w:ascii="Times New Roman" w:eastAsia="Times New Roman" w:hAnsi="Times New Roman" w:cs="Times New Roman"/>
          <w:color w:val="00B0F0"/>
          <w:kern w:val="0"/>
          <w:sz w:val="28"/>
          <w:szCs w:val="28"/>
          <w14:ligatures w14:val="none"/>
        </w:rPr>
        <w:t xml:space="preserve">Вопрос, что здесь будем отжать? Можно и то и то, но тогда надо объяснить разный рост темпов ВВВ, в зависимости от валюты показателя. </w:t>
      </w:r>
    </w:p>
    <w:p w14:paraId="5804C855" w14:textId="77777777" w:rsidR="008D22DB" w:rsidRPr="008D22DB" w:rsidRDefault="008D22DB" w:rsidP="008D22D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B0F0"/>
          <w:kern w:val="0"/>
          <w:sz w:val="28"/>
          <w:szCs w:val="28"/>
          <w14:ligatures w14:val="none"/>
        </w:rPr>
      </w:pPr>
    </w:p>
    <w:p w14:paraId="4A863F04" w14:textId="77777777" w:rsidR="008D22DB" w:rsidRPr="008D22DB" w:rsidRDefault="008D22DB" w:rsidP="008D22D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B0F0"/>
          <w:kern w:val="0"/>
          <w:sz w:val="28"/>
          <w:szCs w:val="28"/>
          <w14:ligatures w14:val="none"/>
        </w:rPr>
      </w:pPr>
      <w:r w:rsidRPr="008D22DB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ru-RU"/>
          <w14:ligatures w14:val="none"/>
        </w:rPr>
        <w:lastRenderedPageBreak/>
        <w:drawing>
          <wp:inline distT="0" distB="0" distL="0" distR="0" wp14:anchorId="649EC7CA" wp14:editId="3A638F63">
            <wp:extent cx="5220000" cy="25830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8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C6A00" w14:textId="77777777" w:rsidR="008D22DB" w:rsidRPr="008D22DB" w:rsidRDefault="008D22DB" w:rsidP="008D22D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="Times New Roman" w:hAnsi="Times New Roman" w:cs="Times New Roman"/>
          <w:color w:val="00B0F0"/>
          <w:kern w:val="0"/>
          <w:sz w:val="28"/>
          <w:szCs w:val="28"/>
          <w14:ligatures w14:val="none"/>
        </w:rPr>
        <w:t xml:space="preserve"> </w:t>
      </w:r>
      <w:r w:rsidRPr="008D22DB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>Рисунок 1. Динамика ВВП Республики Кот-д'Ивуар (2011–2025 гг.)</w:t>
      </w:r>
    </w:p>
    <w:p w14:paraId="11EB4AE9" w14:textId="77777777" w:rsidR="008D22DB" w:rsidRPr="008D22DB" w:rsidRDefault="008D22DB" w:rsidP="008D22D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>Примечание. Составлено автором по данным Министерства экономики и финансов Кот-д'Ивуара [7] и Африканского банка развития [11].</w:t>
      </w:r>
    </w:p>
    <w:p w14:paraId="0AA57602" w14:textId="77777777" w:rsidR="008D22DB" w:rsidRPr="008D22DB" w:rsidRDefault="008D22DB" w:rsidP="008D22D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>Как свидетельствует рисунок 1, ВВП страны вырос с 22,2 трлн франков КФА в 2011 году до 57,6 трлн в 2025 году, преодолев последствия постэлекторального кризиса 2010–2011 гг. Среднегодовые темпы роста в 2012–2024 гг. составили 6,5% — один из наиболее высоких показателей в Западной Африке [7; 11]. Вместе с тем структурная зависимость экономики от сырьевого экспорта не устранена: на какао-бобы, нефть и каучук приходится 45% экспортной выручки [7], а доля несырьевого промышленного производства в ВВП все еще остается ниже оптимальных значений для страны на данном уровне дохода на душу населения.</w:t>
      </w:r>
    </w:p>
    <w:p w14:paraId="08ACE865" w14:textId="77777777" w:rsidR="008D22DB" w:rsidRPr="008D22DB" w:rsidRDefault="008D22DB" w:rsidP="008D22D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</w:pPr>
    </w:p>
    <w:p w14:paraId="6C5C30F9" w14:textId="77777777" w:rsidR="008D22DB" w:rsidRPr="008D22DB" w:rsidRDefault="008D22DB" w:rsidP="008D22D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B0F0"/>
          <w:kern w:val="0"/>
          <w:sz w:val="28"/>
          <w:szCs w:val="28"/>
          <w14:ligatures w14:val="none"/>
        </w:rPr>
      </w:pPr>
      <w:r w:rsidRPr="008D22DB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 xml:space="preserve">Экономика Кот-д'Ивуара демонстрирует устойчивую динамику роста после кризиса 2011 года. ВВП страны увеличился с 22,2 трлн франков КФА (около 34 млрд евро) в 2011 г. до 57,6 трлн франков КФА (около 88 млрд евро) в 2025 г. [3]. </w:t>
      </w:r>
    </w:p>
    <w:p w14:paraId="27CFA8D5" w14:textId="77777777" w:rsidR="008D22DB" w:rsidRPr="008D22DB" w:rsidRDefault="008D22DB" w:rsidP="008D22DB">
      <w:pPr>
        <w:spacing w:after="0" w:line="360" w:lineRule="auto"/>
        <w:jc w:val="both"/>
        <w:rPr>
          <w:rFonts w:ascii="Times New Roman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hAnsi="Times New Roman" w:cs="Times New Roman"/>
          <w:color w:val="FF0000"/>
          <w:kern w:val="0"/>
          <w:sz w:val="28"/>
          <w:szCs w:val="28"/>
          <w14:ligatures w14:val="none"/>
        </w:rPr>
        <w:t>Таблица 2. Основные макроэкономические показатели Кот-д'Ивуара (2011–2025)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390"/>
        <w:gridCol w:w="656"/>
        <w:gridCol w:w="711"/>
        <w:gridCol w:w="711"/>
        <w:gridCol w:w="766"/>
      </w:tblGrid>
      <w:tr w:rsidR="008D22DB" w:rsidRPr="008D22DB" w14:paraId="04187A49" w14:textId="77777777" w:rsidTr="00640DD7">
        <w:trPr>
          <w:jc w:val="center"/>
        </w:trPr>
        <w:tc>
          <w:tcPr>
            <w:tcW w:w="0" w:type="auto"/>
            <w:hideMark/>
          </w:tcPr>
          <w:p w14:paraId="648CCE44" w14:textId="77777777" w:rsidR="008D22DB" w:rsidRPr="008D22DB" w:rsidRDefault="008D22DB" w:rsidP="008D22DB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8D22DB">
              <w:rPr>
                <w:rFonts w:ascii="Times New Roman" w:hAnsi="Times New Roman" w:cs="Times New Roman"/>
                <w:b/>
                <w:bCs/>
                <w:color w:val="FF0000"/>
              </w:rPr>
              <w:t>Показатель</w:t>
            </w:r>
          </w:p>
        </w:tc>
        <w:tc>
          <w:tcPr>
            <w:tcW w:w="0" w:type="auto"/>
            <w:hideMark/>
          </w:tcPr>
          <w:p w14:paraId="08D1ED35" w14:textId="77777777" w:rsidR="008D22DB" w:rsidRPr="008D22DB" w:rsidRDefault="008D22DB" w:rsidP="008D22DB">
            <w:pPr>
              <w:jc w:val="both"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8D22DB">
              <w:rPr>
                <w:rFonts w:ascii="Times New Roman" w:hAnsi="Times New Roman" w:cs="Times New Roman"/>
                <w:b/>
                <w:bCs/>
                <w:color w:val="FF0000"/>
              </w:rPr>
              <w:t>2011</w:t>
            </w:r>
          </w:p>
        </w:tc>
        <w:tc>
          <w:tcPr>
            <w:tcW w:w="0" w:type="auto"/>
            <w:hideMark/>
          </w:tcPr>
          <w:p w14:paraId="7885D04F" w14:textId="77777777" w:rsidR="008D22DB" w:rsidRPr="008D22DB" w:rsidRDefault="008D22DB" w:rsidP="008D22DB">
            <w:pPr>
              <w:jc w:val="both"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8D22DB">
              <w:rPr>
                <w:rFonts w:ascii="Times New Roman" w:hAnsi="Times New Roman" w:cs="Times New Roman"/>
                <w:b/>
                <w:bCs/>
                <w:color w:val="FF0000"/>
              </w:rPr>
              <w:t>2021</w:t>
            </w:r>
          </w:p>
        </w:tc>
        <w:tc>
          <w:tcPr>
            <w:tcW w:w="0" w:type="auto"/>
            <w:hideMark/>
          </w:tcPr>
          <w:p w14:paraId="40956088" w14:textId="77777777" w:rsidR="008D22DB" w:rsidRPr="008D22DB" w:rsidRDefault="008D22DB" w:rsidP="008D22DB">
            <w:pPr>
              <w:jc w:val="both"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8D22DB">
              <w:rPr>
                <w:rFonts w:ascii="Times New Roman" w:hAnsi="Times New Roman" w:cs="Times New Roman"/>
                <w:b/>
                <w:bCs/>
                <w:color w:val="FF0000"/>
              </w:rPr>
              <w:t>2024</w:t>
            </w:r>
          </w:p>
        </w:tc>
        <w:tc>
          <w:tcPr>
            <w:tcW w:w="0" w:type="auto"/>
            <w:hideMark/>
          </w:tcPr>
          <w:p w14:paraId="3DA528BC" w14:textId="77777777" w:rsidR="008D22DB" w:rsidRPr="008D22DB" w:rsidRDefault="008D22DB" w:rsidP="008D22DB">
            <w:pPr>
              <w:jc w:val="both"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8D22DB">
              <w:rPr>
                <w:rFonts w:ascii="Times New Roman" w:hAnsi="Times New Roman" w:cs="Times New Roman"/>
                <w:b/>
                <w:bCs/>
                <w:color w:val="FF0000"/>
              </w:rPr>
              <w:t>2025*</w:t>
            </w:r>
          </w:p>
        </w:tc>
      </w:tr>
      <w:tr w:rsidR="008D22DB" w:rsidRPr="008D22DB" w14:paraId="596F3079" w14:textId="77777777" w:rsidTr="00640DD7">
        <w:trPr>
          <w:jc w:val="center"/>
        </w:trPr>
        <w:tc>
          <w:tcPr>
            <w:tcW w:w="0" w:type="auto"/>
            <w:hideMark/>
          </w:tcPr>
          <w:p w14:paraId="3A17E8A9" w14:textId="77777777" w:rsidR="008D22DB" w:rsidRPr="008D22DB" w:rsidRDefault="008D22DB" w:rsidP="008D22DB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8D22DB">
              <w:rPr>
                <w:rFonts w:ascii="Times New Roman" w:hAnsi="Times New Roman" w:cs="Times New Roman"/>
                <w:color w:val="FF0000"/>
              </w:rPr>
              <w:t>ВВП, трлн. франков КФА</w:t>
            </w:r>
          </w:p>
        </w:tc>
        <w:tc>
          <w:tcPr>
            <w:tcW w:w="0" w:type="auto"/>
            <w:hideMark/>
          </w:tcPr>
          <w:p w14:paraId="42456054" w14:textId="77777777" w:rsidR="008D22DB" w:rsidRPr="008D22DB" w:rsidRDefault="008D22DB" w:rsidP="008D22DB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8D22DB">
              <w:rPr>
                <w:rFonts w:ascii="Times New Roman" w:hAnsi="Times New Roman" w:cs="Times New Roman"/>
                <w:color w:val="FF0000"/>
              </w:rPr>
              <w:t>22,2</w:t>
            </w:r>
          </w:p>
        </w:tc>
        <w:tc>
          <w:tcPr>
            <w:tcW w:w="0" w:type="auto"/>
            <w:hideMark/>
          </w:tcPr>
          <w:p w14:paraId="7A8D548C" w14:textId="77777777" w:rsidR="008D22DB" w:rsidRPr="008D22DB" w:rsidRDefault="008D22DB" w:rsidP="008D22DB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8D22DB">
              <w:rPr>
                <w:rFonts w:ascii="Times New Roman" w:hAnsi="Times New Roman" w:cs="Times New Roman"/>
                <w:color w:val="FF0000"/>
              </w:rPr>
              <w:t>42,4</w:t>
            </w:r>
          </w:p>
        </w:tc>
        <w:tc>
          <w:tcPr>
            <w:tcW w:w="0" w:type="auto"/>
            <w:hideMark/>
          </w:tcPr>
          <w:p w14:paraId="1AF17D7E" w14:textId="77777777" w:rsidR="008D22DB" w:rsidRPr="008D22DB" w:rsidRDefault="008D22DB" w:rsidP="008D22DB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8D22DB">
              <w:rPr>
                <w:rFonts w:ascii="Times New Roman" w:hAnsi="Times New Roman" w:cs="Times New Roman"/>
                <w:color w:val="FF0000"/>
              </w:rPr>
              <w:t>55,4</w:t>
            </w:r>
          </w:p>
        </w:tc>
        <w:tc>
          <w:tcPr>
            <w:tcW w:w="0" w:type="auto"/>
            <w:hideMark/>
          </w:tcPr>
          <w:p w14:paraId="3D67FD5A" w14:textId="77777777" w:rsidR="008D22DB" w:rsidRPr="008D22DB" w:rsidRDefault="008D22DB" w:rsidP="008D22DB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8D22DB">
              <w:rPr>
                <w:rFonts w:ascii="Times New Roman" w:hAnsi="Times New Roman" w:cs="Times New Roman"/>
                <w:color w:val="FF0000"/>
              </w:rPr>
              <w:t>57,6</w:t>
            </w:r>
          </w:p>
        </w:tc>
      </w:tr>
      <w:tr w:rsidR="008D22DB" w:rsidRPr="008D22DB" w14:paraId="5631AD94" w14:textId="77777777" w:rsidTr="00640DD7">
        <w:trPr>
          <w:jc w:val="center"/>
        </w:trPr>
        <w:tc>
          <w:tcPr>
            <w:tcW w:w="0" w:type="auto"/>
            <w:hideMark/>
          </w:tcPr>
          <w:p w14:paraId="19A37670" w14:textId="77777777" w:rsidR="008D22DB" w:rsidRPr="008D22DB" w:rsidRDefault="008D22DB" w:rsidP="008D22DB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8D22DB">
              <w:rPr>
                <w:rFonts w:ascii="Times New Roman" w:hAnsi="Times New Roman" w:cs="Times New Roman"/>
                <w:color w:val="FF0000"/>
              </w:rPr>
              <w:t>Темпы роста ВВП, %</w:t>
            </w:r>
          </w:p>
        </w:tc>
        <w:tc>
          <w:tcPr>
            <w:tcW w:w="0" w:type="auto"/>
            <w:hideMark/>
          </w:tcPr>
          <w:p w14:paraId="2F03706B" w14:textId="77777777" w:rsidR="008D22DB" w:rsidRPr="008D22DB" w:rsidRDefault="008D22DB" w:rsidP="008D22DB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8D22DB">
              <w:rPr>
                <w:rFonts w:ascii="Times New Roman" w:hAnsi="Times New Roman" w:cs="Times New Roman"/>
                <w:color w:val="FF0000"/>
              </w:rPr>
              <w:t>-6,6</w:t>
            </w:r>
          </w:p>
        </w:tc>
        <w:tc>
          <w:tcPr>
            <w:tcW w:w="0" w:type="auto"/>
            <w:hideMark/>
          </w:tcPr>
          <w:p w14:paraId="31FC8885" w14:textId="77777777" w:rsidR="008D22DB" w:rsidRPr="008D22DB" w:rsidRDefault="008D22DB" w:rsidP="008D22DB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8D22DB">
              <w:rPr>
                <w:rFonts w:ascii="Times New Roman" w:hAnsi="Times New Roman" w:cs="Times New Roman"/>
                <w:color w:val="FF0000"/>
              </w:rPr>
              <w:t>7,1</w:t>
            </w:r>
          </w:p>
        </w:tc>
        <w:tc>
          <w:tcPr>
            <w:tcW w:w="0" w:type="auto"/>
            <w:hideMark/>
          </w:tcPr>
          <w:p w14:paraId="400E3361" w14:textId="77777777" w:rsidR="008D22DB" w:rsidRPr="008D22DB" w:rsidRDefault="008D22DB" w:rsidP="008D22DB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8D22DB">
              <w:rPr>
                <w:rFonts w:ascii="Times New Roman" w:hAnsi="Times New Roman" w:cs="Times New Roman"/>
                <w:color w:val="FF0000"/>
              </w:rPr>
              <w:t>6,0</w:t>
            </w:r>
          </w:p>
        </w:tc>
        <w:tc>
          <w:tcPr>
            <w:tcW w:w="0" w:type="auto"/>
            <w:hideMark/>
          </w:tcPr>
          <w:p w14:paraId="7BD5DAA4" w14:textId="77777777" w:rsidR="008D22DB" w:rsidRPr="008D22DB" w:rsidRDefault="008D22DB" w:rsidP="008D22DB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8D22DB">
              <w:rPr>
                <w:rFonts w:ascii="Times New Roman" w:hAnsi="Times New Roman" w:cs="Times New Roman"/>
                <w:color w:val="FF0000"/>
              </w:rPr>
              <w:t>6,5</w:t>
            </w:r>
          </w:p>
        </w:tc>
      </w:tr>
      <w:tr w:rsidR="008D22DB" w:rsidRPr="008D22DB" w14:paraId="5D1B66E3" w14:textId="77777777" w:rsidTr="00640DD7">
        <w:trPr>
          <w:jc w:val="center"/>
        </w:trPr>
        <w:tc>
          <w:tcPr>
            <w:tcW w:w="0" w:type="auto"/>
            <w:hideMark/>
          </w:tcPr>
          <w:p w14:paraId="4ADCE51A" w14:textId="77777777" w:rsidR="008D22DB" w:rsidRPr="008D22DB" w:rsidRDefault="008D22DB" w:rsidP="008D22DB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8D22DB">
              <w:rPr>
                <w:rFonts w:ascii="Times New Roman" w:hAnsi="Times New Roman" w:cs="Times New Roman"/>
                <w:color w:val="FF0000"/>
              </w:rPr>
              <w:t>ВВП на душу населения, тыс. франков КФА</w:t>
            </w:r>
          </w:p>
        </w:tc>
        <w:tc>
          <w:tcPr>
            <w:tcW w:w="0" w:type="auto"/>
            <w:hideMark/>
          </w:tcPr>
          <w:p w14:paraId="174DE439" w14:textId="77777777" w:rsidR="008D22DB" w:rsidRPr="008D22DB" w:rsidRDefault="008D22DB" w:rsidP="008D22DB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8D22DB">
              <w:rPr>
                <w:rFonts w:ascii="Times New Roman" w:hAnsi="Times New Roman" w:cs="Times New Roman"/>
                <w:color w:val="FF0000"/>
              </w:rPr>
              <w:t>817</w:t>
            </w:r>
          </w:p>
        </w:tc>
        <w:tc>
          <w:tcPr>
            <w:tcW w:w="0" w:type="auto"/>
            <w:hideMark/>
          </w:tcPr>
          <w:p w14:paraId="22392704" w14:textId="77777777" w:rsidR="008D22DB" w:rsidRPr="008D22DB" w:rsidRDefault="008D22DB" w:rsidP="008D22DB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8D22DB">
              <w:rPr>
                <w:rFonts w:ascii="Times New Roman" w:hAnsi="Times New Roman" w:cs="Times New Roman"/>
                <w:color w:val="FF0000"/>
              </w:rPr>
              <w:t>1 556</w:t>
            </w:r>
          </w:p>
        </w:tc>
        <w:tc>
          <w:tcPr>
            <w:tcW w:w="0" w:type="auto"/>
            <w:hideMark/>
          </w:tcPr>
          <w:p w14:paraId="059A82CC" w14:textId="77777777" w:rsidR="008D22DB" w:rsidRPr="008D22DB" w:rsidRDefault="008D22DB" w:rsidP="008D22DB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8D22DB">
              <w:rPr>
                <w:rFonts w:ascii="Times New Roman" w:hAnsi="Times New Roman" w:cs="Times New Roman"/>
                <w:color w:val="FF0000"/>
              </w:rPr>
              <w:t>1 663</w:t>
            </w:r>
          </w:p>
        </w:tc>
        <w:tc>
          <w:tcPr>
            <w:tcW w:w="0" w:type="auto"/>
            <w:hideMark/>
          </w:tcPr>
          <w:p w14:paraId="13988462" w14:textId="77777777" w:rsidR="008D22DB" w:rsidRPr="008D22DB" w:rsidRDefault="008D22DB" w:rsidP="008D22DB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8D22DB">
              <w:rPr>
                <w:rFonts w:ascii="Times New Roman" w:hAnsi="Times New Roman" w:cs="Times New Roman"/>
                <w:color w:val="FF0000"/>
              </w:rPr>
              <w:t>1 772</w:t>
            </w:r>
          </w:p>
        </w:tc>
      </w:tr>
      <w:tr w:rsidR="008D22DB" w:rsidRPr="008D22DB" w14:paraId="19C2E988" w14:textId="77777777" w:rsidTr="00640DD7">
        <w:trPr>
          <w:jc w:val="center"/>
        </w:trPr>
        <w:tc>
          <w:tcPr>
            <w:tcW w:w="0" w:type="auto"/>
            <w:hideMark/>
          </w:tcPr>
          <w:p w14:paraId="7F46F0A5" w14:textId="77777777" w:rsidR="008D22DB" w:rsidRPr="008D22DB" w:rsidRDefault="008D22DB" w:rsidP="008D22DB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8D22DB">
              <w:rPr>
                <w:rFonts w:ascii="Times New Roman" w:hAnsi="Times New Roman" w:cs="Times New Roman"/>
                <w:color w:val="FF0000"/>
              </w:rPr>
              <w:lastRenderedPageBreak/>
              <w:t>Инфляция, %</w:t>
            </w:r>
          </w:p>
        </w:tc>
        <w:tc>
          <w:tcPr>
            <w:tcW w:w="0" w:type="auto"/>
            <w:hideMark/>
          </w:tcPr>
          <w:p w14:paraId="5F8AF681" w14:textId="77777777" w:rsidR="008D22DB" w:rsidRPr="008D22DB" w:rsidRDefault="008D22DB" w:rsidP="008D22DB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8D22DB">
              <w:rPr>
                <w:rFonts w:ascii="Times New Roman" w:hAnsi="Times New Roman" w:cs="Times New Roman"/>
                <w:color w:val="FF0000"/>
              </w:rPr>
              <w:t>4,9</w:t>
            </w:r>
          </w:p>
        </w:tc>
        <w:tc>
          <w:tcPr>
            <w:tcW w:w="0" w:type="auto"/>
            <w:hideMark/>
          </w:tcPr>
          <w:p w14:paraId="711FA9C6" w14:textId="77777777" w:rsidR="008D22DB" w:rsidRPr="008D22DB" w:rsidRDefault="008D22DB" w:rsidP="008D22DB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8D22DB">
              <w:rPr>
                <w:rFonts w:ascii="Times New Roman" w:hAnsi="Times New Roman" w:cs="Times New Roman"/>
                <w:color w:val="FF0000"/>
              </w:rPr>
              <w:t>3,0</w:t>
            </w:r>
          </w:p>
        </w:tc>
        <w:tc>
          <w:tcPr>
            <w:tcW w:w="0" w:type="auto"/>
            <w:hideMark/>
          </w:tcPr>
          <w:p w14:paraId="66C0F4E2" w14:textId="77777777" w:rsidR="008D22DB" w:rsidRPr="008D22DB" w:rsidRDefault="008D22DB" w:rsidP="008D22DB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8D22DB">
              <w:rPr>
                <w:rFonts w:ascii="Times New Roman" w:hAnsi="Times New Roman" w:cs="Times New Roman"/>
                <w:color w:val="FF0000"/>
              </w:rPr>
              <w:t>3,5</w:t>
            </w:r>
          </w:p>
        </w:tc>
        <w:tc>
          <w:tcPr>
            <w:tcW w:w="0" w:type="auto"/>
            <w:hideMark/>
          </w:tcPr>
          <w:p w14:paraId="137F67EF" w14:textId="77777777" w:rsidR="008D22DB" w:rsidRPr="008D22DB" w:rsidRDefault="008D22DB" w:rsidP="008D22DB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8D22DB">
              <w:rPr>
                <w:rFonts w:ascii="Times New Roman" w:hAnsi="Times New Roman" w:cs="Times New Roman"/>
                <w:color w:val="FF0000"/>
              </w:rPr>
              <w:t>3,0</w:t>
            </w:r>
          </w:p>
        </w:tc>
      </w:tr>
      <w:tr w:rsidR="008D22DB" w:rsidRPr="008D22DB" w14:paraId="3C13EA9D" w14:textId="77777777" w:rsidTr="00640DD7">
        <w:trPr>
          <w:jc w:val="center"/>
        </w:trPr>
        <w:tc>
          <w:tcPr>
            <w:tcW w:w="0" w:type="auto"/>
            <w:hideMark/>
          </w:tcPr>
          <w:p w14:paraId="6585D89A" w14:textId="77777777" w:rsidR="008D22DB" w:rsidRPr="008D22DB" w:rsidRDefault="008D22DB" w:rsidP="008D22DB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8D22DB">
              <w:rPr>
                <w:rFonts w:ascii="Times New Roman" w:hAnsi="Times New Roman" w:cs="Times New Roman"/>
                <w:color w:val="FF0000"/>
              </w:rPr>
              <w:t>Инвестиции (% ВВП)</w:t>
            </w:r>
          </w:p>
        </w:tc>
        <w:tc>
          <w:tcPr>
            <w:tcW w:w="0" w:type="auto"/>
            <w:hideMark/>
          </w:tcPr>
          <w:p w14:paraId="5AD36FC0" w14:textId="77777777" w:rsidR="008D22DB" w:rsidRPr="008D22DB" w:rsidRDefault="008D22DB" w:rsidP="008D22DB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8D22DB">
              <w:rPr>
                <w:rFonts w:ascii="Times New Roman" w:hAnsi="Times New Roman" w:cs="Times New Roman"/>
                <w:color w:val="FF0000"/>
              </w:rPr>
              <w:t>14,1</w:t>
            </w:r>
          </w:p>
        </w:tc>
        <w:tc>
          <w:tcPr>
            <w:tcW w:w="0" w:type="auto"/>
            <w:hideMark/>
          </w:tcPr>
          <w:p w14:paraId="7C72F07D" w14:textId="77777777" w:rsidR="008D22DB" w:rsidRPr="008D22DB" w:rsidRDefault="008D22DB" w:rsidP="008D22DB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8D22DB">
              <w:rPr>
                <w:rFonts w:ascii="Times New Roman" w:hAnsi="Times New Roman" w:cs="Times New Roman"/>
                <w:color w:val="FF0000"/>
              </w:rPr>
              <w:t>21,1</w:t>
            </w:r>
          </w:p>
        </w:tc>
        <w:tc>
          <w:tcPr>
            <w:tcW w:w="0" w:type="auto"/>
            <w:hideMark/>
          </w:tcPr>
          <w:p w14:paraId="6080E026" w14:textId="77777777" w:rsidR="008D22DB" w:rsidRPr="008D22DB" w:rsidRDefault="008D22DB" w:rsidP="008D22DB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8D22DB">
              <w:rPr>
                <w:rFonts w:ascii="Times New Roman" w:hAnsi="Times New Roman" w:cs="Times New Roman"/>
                <w:color w:val="FF0000"/>
              </w:rPr>
              <w:t>23,1</w:t>
            </w:r>
          </w:p>
        </w:tc>
        <w:tc>
          <w:tcPr>
            <w:tcW w:w="0" w:type="auto"/>
            <w:hideMark/>
          </w:tcPr>
          <w:p w14:paraId="4B23EBA5" w14:textId="77777777" w:rsidR="008D22DB" w:rsidRPr="008D22DB" w:rsidRDefault="008D22DB" w:rsidP="008D22DB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8D22DB">
              <w:rPr>
                <w:rFonts w:ascii="Times New Roman" w:hAnsi="Times New Roman" w:cs="Times New Roman"/>
                <w:color w:val="FF0000"/>
              </w:rPr>
              <w:t>23,7</w:t>
            </w:r>
          </w:p>
        </w:tc>
      </w:tr>
      <w:tr w:rsidR="008D22DB" w:rsidRPr="008D22DB" w14:paraId="591A6CF1" w14:textId="77777777" w:rsidTr="00640DD7">
        <w:trPr>
          <w:jc w:val="center"/>
        </w:trPr>
        <w:tc>
          <w:tcPr>
            <w:tcW w:w="0" w:type="auto"/>
            <w:hideMark/>
          </w:tcPr>
          <w:p w14:paraId="631C626C" w14:textId="77777777" w:rsidR="008D22DB" w:rsidRPr="008D22DB" w:rsidRDefault="008D22DB" w:rsidP="008D22DB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8D22DB">
              <w:rPr>
                <w:rFonts w:ascii="Times New Roman" w:hAnsi="Times New Roman" w:cs="Times New Roman"/>
                <w:color w:val="FF0000"/>
              </w:rPr>
              <w:t>Государственный долг (% ВВП)</w:t>
            </w:r>
          </w:p>
        </w:tc>
        <w:tc>
          <w:tcPr>
            <w:tcW w:w="0" w:type="auto"/>
            <w:hideMark/>
          </w:tcPr>
          <w:p w14:paraId="52F8BDD2" w14:textId="77777777" w:rsidR="008D22DB" w:rsidRPr="008D22DB" w:rsidRDefault="008D22DB" w:rsidP="008D22DB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8D22DB">
              <w:rPr>
                <w:rFonts w:ascii="Times New Roman" w:hAnsi="Times New Roman" w:cs="Times New Roman"/>
                <w:color w:val="FF0000"/>
              </w:rPr>
              <w:t>69,0</w:t>
            </w:r>
          </w:p>
        </w:tc>
        <w:tc>
          <w:tcPr>
            <w:tcW w:w="0" w:type="auto"/>
            <w:hideMark/>
          </w:tcPr>
          <w:p w14:paraId="2B971368" w14:textId="77777777" w:rsidR="008D22DB" w:rsidRPr="008D22DB" w:rsidRDefault="008D22DB" w:rsidP="008D22DB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8D22DB">
              <w:rPr>
                <w:rFonts w:ascii="Times New Roman" w:hAnsi="Times New Roman" w:cs="Times New Roman"/>
                <w:color w:val="FF0000"/>
              </w:rPr>
              <w:t>61,0</w:t>
            </w:r>
          </w:p>
        </w:tc>
        <w:tc>
          <w:tcPr>
            <w:tcW w:w="0" w:type="auto"/>
            <w:hideMark/>
          </w:tcPr>
          <w:p w14:paraId="5DD048C2" w14:textId="77777777" w:rsidR="008D22DB" w:rsidRPr="008D22DB" w:rsidRDefault="008D22DB" w:rsidP="008D22DB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8D22DB">
              <w:rPr>
                <w:rFonts w:ascii="Times New Roman" w:hAnsi="Times New Roman" w:cs="Times New Roman"/>
                <w:color w:val="FF0000"/>
              </w:rPr>
              <w:t>59,5</w:t>
            </w:r>
          </w:p>
        </w:tc>
        <w:tc>
          <w:tcPr>
            <w:tcW w:w="0" w:type="auto"/>
            <w:hideMark/>
          </w:tcPr>
          <w:p w14:paraId="1A841B5D" w14:textId="77777777" w:rsidR="008D22DB" w:rsidRPr="008D22DB" w:rsidRDefault="008D22DB" w:rsidP="008D22DB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8D22DB">
              <w:rPr>
                <w:rFonts w:ascii="Times New Roman" w:hAnsi="Times New Roman" w:cs="Times New Roman"/>
                <w:color w:val="FF0000"/>
              </w:rPr>
              <w:t>57,0</w:t>
            </w:r>
          </w:p>
        </w:tc>
      </w:tr>
      <w:tr w:rsidR="008D22DB" w:rsidRPr="008D22DB" w14:paraId="7A4C55D2" w14:textId="77777777" w:rsidTr="00640DD7">
        <w:trPr>
          <w:jc w:val="center"/>
        </w:trPr>
        <w:tc>
          <w:tcPr>
            <w:tcW w:w="0" w:type="auto"/>
            <w:hideMark/>
          </w:tcPr>
          <w:p w14:paraId="65D22F31" w14:textId="77777777" w:rsidR="008D22DB" w:rsidRPr="008D22DB" w:rsidRDefault="008D22DB" w:rsidP="008D22DB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8D22DB">
              <w:rPr>
                <w:rFonts w:ascii="Times New Roman" w:hAnsi="Times New Roman" w:cs="Times New Roman"/>
                <w:color w:val="FF0000"/>
              </w:rPr>
              <w:t>Налоговое бремя (% ВВП)</w:t>
            </w:r>
          </w:p>
        </w:tc>
        <w:tc>
          <w:tcPr>
            <w:tcW w:w="0" w:type="auto"/>
            <w:hideMark/>
          </w:tcPr>
          <w:p w14:paraId="4B695C3E" w14:textId="77777777" w:rsidR="008D22DB" w:rsidRPr="008D22DB" w:rsidRDefault="008D22DB" w:rsidP="008D22DB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8D22DB">
              <w:rPr>
                <w:rFonts w:ascii="Times New Roman" w:hAnsi="Times New Roman" w:cs="Times New Roman"/>
                <w:color w:val="FF0000"/>
              </w:rPr>
              <w:t>8,2</w:t>
            </w:r>
          </w:p>
        </w:tc>
        <w:tc>
          <w:tcPr>
            <w:tcW w:w="0" w:type="auto"/>
            <w:hideMark/>
          </w:tcPr>
          <w:p w14:paraId="24049084" w14:textId="77777777" w:rsidR="008D22DB" w:rsidRPr="008D22DB" w:rsidRDefault="008D22DB" w:rsidP="008D22DB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8D22DB">
              <w:rPr>
                <w:rFonts w:ascii="Times New Roman" w:hAnsi="Times New Roman" w:cs="Times New Roman"/>
                <w:color w:val="FF0000"/>
              </w:rPr>
              <w:t>13,4</w:t>
            </w:r>
          </w:p>
        </w:tc>
        <w:tc>
          <w:tcPr>
            <w:tcW w:w="0" w:type="auto"/>
            <w:hideMark/>
          </w:tcPr>
          <w:p w14:paraId="5E28D132" w14:textId="77777777" w:rsidR="008D22DB" w:rsidRPr="008D22DB" w:rsidRDefault="008D22DB" w:rsidP="008D22DB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8D22DB">
              <w:rPr>
                <w:rFonts w:ascii="Times New Roman" w:hAnsi="Times New Roman" w:cs="Times New Roman"/>
                <w:color w:val="FF0000"/>
              </w:rPr>
              <w:t>13,8</w:t>
            </w:r>
          </w:p>
        </w:tc>
        <w:tc>
          <w:tcPr>
            <w:tcW w:w="0" w:type="auto"/>
            <w:hideMark/>
          </w:tcPr>
          <w:p w14:paraId="5EEE62AC" w14:textId="77777777" w:rsidR="008D22DB" w:rsidRPr="008D22DB" w:rsidRDefault="008D22DB" w:rsidP="008D22DB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8D22DB">
              <w:rPr>
                <w:rFonts w:ascii="Times New Roman" w:hAnsi="Times New Roman" w:cs="Times New Roman"/>
                <w:color w:val="FF0000"/>
              </w:rPr>
              <w:t>15,0</w:t>
            </w:r>
          </w:p>
        </w:tc>
      </w:tr>
    </w:tbl>
    <w:p w14:paraId="5D85445C" w14:textId="77777777" w:rsidR="008D22DB" w:rsidRPr="008D22DB" w:rsidRDefault="008D22DB" w:rsidP="008D22D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hAnsi="Times New Roman" w:cs="Times New Roman"/>
          <w:color w:val="FF0000"/>
          <w:kern w:val="0"/>
          <w:sz w:val="28"/>
          <w:szCs w:val="28"/>
          <w14:ligatures w14:val="none"/>
        </w:rPr>
        <w:t>Прогнозные данные, Источник: Министерство экономики и финансов (2025), Дирекция экономики и планирования [3]</w:t>
      </w:r>
    </w:p>
    <w:p w14:paraId="5C9C6CFD" w14:textId="77777777" w:rsidR="008D22DB" w:rsidRPr="008D22DB" w:rsidRDefault="008D22DB" w:rsidP="008D22D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B0F0"/>
          <w:kern w:val="0"/>
          <w:sz w:val="28"/>
          <w:szCs w:val="28"/>
          <w14:ligatures w14:val="none"/>
        </w:rPr>
      </w:pPr>
    </w:p>
    <w:p w14:paraId="780E1181" w14:textId="77777777" w:rsidR="008D22DB" w:rsidRPr="008D22DB" w:rsidRDefault="008D22DB" w:rsidP="008D22D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14:ligatures w14:val="none"/>
        </w:rPr>
      </w:pPr>
      <w:r w:rsidRPr="008D22DB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14:ligatures w14:val="none"/>
        </w:rPr>
        <w:t>В период с 2012 года по 2021 год среднедушевой ВРП в Республике Кот-Д’Ивуар вырос на 44, 5 % с 11,8 тыс. долл. до 17,1 тыс. долл. (рисунок 2.4). Следовательно, можно говорить о том, что в стране наблюдается рост благосостояния населения и это может стать основой для обеспечения устойчивого развития и инклюзивного роста. В то время как Африка добилась обнадеживающего прогресса в достижении ЦРТ, предшественнице ЦУР, отправная точка континента в принятии ЦУР была ниже, чем на других континентах. Появляющиеся за последние четыре года (2015–2020 гг.) данные отслеживания прогресса в достижении ЦУР указывают на то, что в Африке по-прежнему преобладают проблемы устойчивости, при этом несколько африканских стран не находятся на пути к достижению ЦУР.</w:t>
      </w:r>
    </w:p>
    <w:p w14:paraId="4EC27BC5" w14:textId="77777777" w:rsidR="008D22DB" w:rsidRPr="008D22DB" w:rsidRDefault="008D22DB" w:rsidP="008D22DB">
      <w:pPr>
        <w:spacing w:line="259" w:lineRule="auto"/>
        <w:jc w:val="center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  <w:r w:rsidRPr="008D22DB">
        <w:rPr>
          <w:noProof/>
          <w:kern w:val="0"/>
          <w:sz w:val="22"/>
          <w:szCs w:val="22"/>
          <w:highlight w:val="yellow"/>
          <w:lang w:eastAsia="ru-RU"/>
          <w14:ligatures w14:val="none"/>
        </w:rPr>
        <w:drawing>
          <wp:inline distT="0" distB="0" distL="0" distR="0" wp14:anchorId="18809E3C" wp14:editId="19433266">
            <wp:extent cx="6000560" cy="1883391"/>
            <wp:effectExtent l="0" t="0" r="635" b="3175"/>
            <wp:docPr id="19" name="Диаграмма 19">
              <a:extLst xmlns:a="http://schemas.openxmlformats.org/drawingml/2006/main">
                <a:ext uri="{FF2B5EF4-FFF2-40B4-BE49-F238E27FC236}">
                  <a16:creationId xmlns:a16="http://schemas.microsoft.com/office/drawing/2014/main" id="{AC682F20-F350-40E2-B158-5DBD6FD0F0A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161322CA" w14:textId="77777777" w:rsidR="008D22DB" w:rsidRPr="008D22DB" w:rsidRDefault="008D22DB" w:rsidP="008D22DB">
      <w:pPr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t xml:space="preserve">Рисунок 2.4 – Динамика среднедушевого ВВП в </w:t>
      </w:r>
      <w:bookmarkStart w:id="2" w:name="_Hlk137628370"/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t>Республике Кот-Д’Ивуар</w:t>
      </w:r>
      <w:bookmarkEnd w:id="2"/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t>, долл. Источник: составлено автором по: [178, 188]</w:t>
      </w:r>
    </w:p>
    <w:p w14:paraId="772A5A46" w14:textId="77777777" w:rsidR="008D22DB" w:rsidRPr="008D22DB" w:rsidRDefault="008D22DB" w:rsidP="008D22D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14:ligatures w14:val="none"/>
        </w:rPr>
      </w:pPr>
    </w:p>
    <w:p w14:paraId="2ED626CB" w14:textId="77777777" w:rsidR="008D22DB" w:rsidRPr="008D22DB" w:rsidRDefault="008D22DB" w:rsidP="008D22D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14:ligatures w14:val="none"/>
        </w:rPr>
      </w:pPr>
      <w:r w:rsidRPr="008D22DB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14:ligatures w14:val="none"/>
        </w:rPr>
        <w:t xml:space="preserve">Индекс ЦУР Африки 2020 года показал, что страны с самым высоким рейтингом в Африке представляют собой комбинацию стран Северной Африки и малых островных государств – Тунис, Маврикий, Марокко, Алжир и Кабо-Верде, но эти страны с лучшими показателями по-прежнему </w:t>
      </w:r>
      <w:r w:rsidRPr="008D22DB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14:ligatures w14:val="none"/>
        </w:rPr>
        <w:lastRenderedPageBreak/>
        <w:t>составляют лишь около двух третей от путь, в среднем, к достижению ЦУР. Низкие показатели имеют Южный Судан, Центральноафриканская Республика, Чад, Сомали и Эритрея в основном нестабильные государства с высоким уровнем бедности и конфликтами на их территориях.</w:t>
      </w:r>
    </w:p>
    <w:p w14:paraId="689AFADB" w14:textId="77777777" w:rsidR="008D22DB" w:rsidRPr="008D22DB" w:rsidRDefault="008D22DB" w:rsidP="008D22D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14:ligatures w14:val="none"/>
        </w:rPr>
      </w:pPr>
      <w:bookmarkStart w:id="3" w:name="_Hlk138263022"/>
      <w:r w:rsidRPr="008D22DB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14:ligatures w14:val="none"/>
        </w:rPr>
        <w:t xml:space="preserve">В Республике Кот-Д’Ивуар средине темпы роста ВВП начиная с 2013 года превышают 7 %. Несмотря на такие высокие темпы роста, следует отметить, что такая положительная динамика связана, прежде всего, с агропромышленным комплексом, так как его доля в ВВП выросла с 15,3 % в 2013 году до 19,9 % в 2021 году, а доля промышленности остается на стабильном уровне около 20 %. Снизился уровень внешнеэкономической активности, так как доля экспорта и импорта в ВВП сократилась на 6 % за анализируемый период с 29 % до 23 % </w:t>
      </w:r>
      <w:bookmarkEnd w:id="3"/>
      <w:r w:rsidRPr="008D22DB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14:ligatures w14:val="none"/>
        </w:rPr>
        <w:t>(таблица 2.13).</w:t>
      </w:r>
    </w:p>
    <w:p w14:paraId="1C969DD8" w14:textId="77777777" w:rsidR="008D22DB" w:rsidRPr="008D22DB" w:rsidRDefault="008D22DB" w:rsidP="008D22DB">
      <w:pPr>
        <w:spacing w:after="0" w:line="360" w:lineRule="auto"/>
        <w:ind w:firstLine="708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</w:p>
    <w:p w14:paraId="59322BBA" w14:textId="77777777" w:rsidR="008D22DB" w:rsidRPr="008D22DB" w:rsidRDefault="008D22DB" w:rsidP="008D22DB">
      <w:pPr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t>Таблица 2.13 – Динамика основных показателей экономического развития Республики Кот-д’Ивуар Источник: составлено автором по: [178, 188]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3"/>
        <w:gridCol w:w="1107"/>
        <w:gridCol w:w="1107"/>
        <w:gridCol w:w="1107"/>
        <w:gridCol w:w="1107"/>
        <w:gridCol w:w="923"/>
        <w:gridCol w:w="816"/>
        <w:gridCol w:w="920"/>
      </w:tblGrid>
      <w:tr w:rsidR="008D22DB" w:rsidRPr="008D22DB" w14:paraId="1A2F27B1" w14:textId="77777777" w:rsidTr="00640DD7">
        <w:trPr>
          <w:trHeight w:val="300"/>
        </w:trPr>
        <w:tc>
          <w:tcPr>
            <w:tcW w:w="2972" w:type="dxa"/>
            <w:noWrap/>
            <w:vAlign w:val="bottom"/>
            <w:hideMark/>
          </w:tcPr>
          <w:p w14:paraId="74C46A9D" w14:textId="77777777" w:rsidR="008D22DB" w:rsidRPr="008D22DB" w:rsidRDefault="008D22DB" w:rsidP="008D22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Показатель</w:t>
            </w:r>
          </w:p>
        </w:tc>
        <w:tc>
          <w:tcPr>
            <w:tcW w:w="1116" w:type="dxa"/>
            <w:vAlign w:val="center"/>
          </w:tcPr>
          <w:p w14:paraId="2E3B0664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2015 г.</w:t>
            </w:r>
          </w:p>
        </w:tc>
        <w:tc>
          <w:tcPr>
            <w:tcW w:w="1116" w:type="dxa"/>
            <w:vAlign w:val="center"/>
          </w:tcPr>
          <w:p w14:paraId="2970FFD3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2017 г.</w:t>
            </w:r>
          </w:p>
        </w:tc>
        <w:tc>
          <w:tcPr>
            <w:tcW w:w="1116" w:type="dxa"/>
            <w:vAlign w:val="center"/>
          </w:tcPr>
          <w:p w14:paraId="6F12FECB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2019 г.</w:t>
            </w:r>
          </w:p>
        </w:tc>
        <w:tc>
          <w:tcPr>
            <w:tcW w:w="1116" w:type="dxa"/>
            <w:vAlign w:val="center"/>
          </w:tcPr>
          <w:p w14:paraId="46C593FA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2021 г.</w:t>
            </w:r>
          </w:p>
        </w:tc>
        <w:tc>
          <w:tcPr>
            <w:tcW w:w="923" w:type="dxa"/>
            <w:noWrap/>
            <w:vAlign w:val="center"/>
            <w:hideMark/>
          </w:tcPr>
          <w:p w14:paraId="24CABCC2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2022 г.</w:t>
            </w:r>
          </w:p>
        </w:tc>
        <w:tc>
          <w:tcPr>
            <w:tcW w:w="778" w:type="dxa"/>
          </w:tcPr>
          <w:p w14:paraId="10B81747" w14:textId="77777777" w:rsidR="008D22DB" w:rsidRPr="008D22DB" w:rsidRDefault="008D22DB" w:rsidP="008D22DB">
            <w:pPr>
              <w:spacing w:after="0" w:line="240" w:lineRule="auto"/>
              <w:ind w:right="-177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2023 г.</w:t>
            </w:r>
          </w:p>
        </w:tc>
        <w:tc>
          <w:tcPr>
            <w:tcW w:w="923" w:type="dxa"/>
          </w:tcPr>
          <w:p w14:paraId="0161A622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2024 г.</w:t>
            </w:r>
          </w:p>
        </w:tc>
      </w:tr>
      <w:tr w:rsidR="008D22DB" w:rsidRPr="008D22DB" w14:paraId="6D82C629" w14:textId="77777777" w:rsidTr="00640DD7">
        <w:trPr>
          <w:trHeight w:val="315"/>
        </w:trPr>
        <w:tc>
          <w:tcPr>
            <w:tcW w:w="2972" w:type="dxa"/>
            <w:vAlign w:val="center"/>
            <w:hideMark/>
          </w:tcPr>
          <w:p w14:paraId="1E1273C4" w14:textId="77777777" w:rsidR="008D22DB" w:rsidRPr="008D22DB" w:rsidRDefault="008D22DB" w:rsidP="008D22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ВВП, млн. долл. США</w:t>
            </w:r>
          </w:p>
        </w:tc>
        <w:tc>
          <w:tcPr>
            <w:tcW w:w="1116" w:type="dxa"/>
            <w:vAlign w:val="center"/>
          </w:tcPr>
          <w:p w14:paraId="44EFE99A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45815</w:t>
            </w:r>
          </w:p>
        </w:tc>
        <w:tc>
          <w:tcPr>
            <w:tcW w:w="1116" w:type="dxa"/>
            <w:vAlign w:val="center"/>
          </w:tcPr>
          <w:p w14:paraId="42E18E67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52512</w:t>
            </w:r>
          </w:p>
        </w:tc>
        <w:tc>
          <w:tcPr>
            <w:tcW w:w="1116" w:type="dxa"/>
            <w:vAlign w:val="center"/>
          </w:tcPr>
          <w:p w14:paraId="6220D24B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60383</w:t>
            </w:r>
          </w:p>
        </w:tc>
        <w:tc>
          <w:tcPr>
            <w:tcW w:w="1116" w:type="dxa"/>
            <w:vAlign w:val="center"/>
          </w:tcPr>
          <w:p w14:paraId="20306F06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72795</w:t>
            </w:r>
          </w:p>
        </w:tc>
        <w:tc>
          <w:tcPr>
            <w:tcW w:w="923" w:type="dxa"/>
            <w:noWrap/>
            <w:vAlign w:val="center"/>
          </w:tcPr>
          <w:p w14:paraId="7D20029B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70923</w:t>
            </w:r>
          </w:p>
        </w:tc>
        <w:tc>
          <w:tcPr>
            <w:tcW w:w="778" w:type="dxa"/>
          </w:tcPr>
          <w:p w14:paraId="5010F4CF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79168</w:t>
            </w:r>
          </w:p>
        </w:tc>
        <w:tc>
          <w:tcPr>
            <w:tcW w:w="923" w:type="dxa"/>
          </w:tcPr>
          <w:p w14:paraId="358C96D2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86538</w:t>
            </w:r>
          </w:p>
        </w:tc>
      </w:tr>
      <w:tr w:rsidR="008D22DB" w:rsidRPr="008D22DB" w14:paraId="5F9AFE7B" w14:textId="77777777" w:rsidTr="00640DD7">
        <w:trPr>
          <w:trHeight w:val="315"/>
        </w:trPr>
        <w:tc>
          <w:tcPr>
            <w:tcW w:w="2972" w:type="dxa"/>
            <w:vAlign w:val="center"/>
            <w:hideMark/>
          </w:tcPr>
          <w:p w14:paraId="4CF904DC" w14:textId="77777777" w:rsidR="008D22DB" w:rsidRPr="008D22DB" w:rsidRDefault="008D22DB" w:rsidP="008D22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Рост ВВП, %</w:t>
            </w:r>
          </w:p>
        </w:tc>
        <w:tc>
          <w:tcPr>
            <w:tcW w:w="1116" w:type="dxa"/>
            <w:vAlign w:val="center"/>
          </w:tcPr>
          <w:p w14:paraId="083C5068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7,19</w:t>
            </w:r>
          </w:p>
        </w:tc>
        <w:tc>
          <w:tcPr>
            <w:tcW w:w="1116" w:type="dxa"/>
            <w:vAlign w:val="center"/>
          </w:tcPr>
          <w:p w14:paraId="0CE54927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7,36</w:t>
            </w:r>
          </w:p>
        </w:tc>
        <w:tc>
          <w:tcPr>
            <w:tcW w:w="1116" w:type="dxa"/>
            <w:vAlign w:val="center"/>
          </w:tcPr>
          <w:p w14:paraId="53340674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6,23</w:t>
            </w:r>
          </w:p>
        </w:tc>
        <w:tc>
          <w:tcPr>
            <w:tcW w:w="1116" w:type="dxa"/>
            <w:vAlign w:val="center"/>
          </w:tcPr>
          <w:p w14:paraId="0DE86D34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7,04</w:t>
            </w:r>
          </w:p>
        </w:tc>
        <w:tc>
          <w:tcPr>
            <w:tcW w:w="923" w:type="dxa"/>
            <w:noWrap/>
            <w:vAlign w:val="center"/>
          </w:tcPr>
          <w:p w14:paraId="28B22E4C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</w:p>
        </w:tc>
        <w:tc>
          <w:tcPr>
            <w:tcW w:w="778" w:type="dxa"/>
          </w:tcPr>
          <w:p w14:paraId="56A6DB3F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</w:p>
        </w:tc>
        <w:tc>
          <w:tcPr>
            <w:tcW w:w="923" w:type="dxa"/>
          </w:tcPr>
          <w:p w14:paraId="5A35DE38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8,69</w:t>
            </w:r>
          </w:p>
        </w:tc>
      </w:tr>
      <w:tr w:rsidR="008D22DB" w:rsidRPr="008D22DB" w14:paraId="5B6230BE" w14:textId="77777777" w:rsidTr="00640DD7">
        <w:trPr>
          <w:trHeight w:val="615"/>
        </w:trPr>
        <w:tc>
          <w:tcPr>
            <w:tcW w:w="2972" w:type="dxa"/>
            <w:vAlign w:val="center"/>
            <w:hideMark/>
          </w:tcPr>
          <w:p w14:paraId="5821A35A" w14:textId="77777777" w:rsidR="008D22DB" w:rsidRPr="008D22DB" w:rsidRDefault="008D22DB" w:rsidP="008D22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 xml:space="preserve">Доля сельского хозяйства в ВВП, % </w:t>
            </w:r>
          </w:p>
        </w:tc>
        <w:tc>
          <w:tcPr>
            <w:tcW w:w="1116" w:type="dxa"/>
            <w:vAlign w:val="center"/>
          </w:tcPr>
          <w:p w14:paraId="1D849867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18,36</w:t>
            </w:r>
          </w:p>
        </w:tc>
        <w:tc>
          <w:tcPr>
            <w:tcW w:w="1116" w:type="dxa"/>
            <w:vAlign w:val="center"/>
          </w:tcPr>
          <w:p w14:paraId="02D75FB1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18,74</w:t>
            </w:r>
          </w:p>
        </w:tc>
        <w:tc>
          <w:tcPr>
            <w:tcW w:w="1116" w:type="dxa"/>
            <w:vAlign w:val="center"/>
          </w:tcPr>
          <w:p w14:paraId="1B7ECC97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20,67</w:t>
            </w:r>
          </w:p>
        </w:tc>
        <w:tc>
          <w:tcPr>
            <w:tcW w:w="1116" w:type="dxa"/>
            <w:vAlign w:val="center"/>
          </w:tcPr>
          <w:p w14:paraId="6A7B74AD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19,85</w:t>
            </w:r>
          </w:p>
        </w:tc>
        <w:tc>
          <w:tcPr>
            <w:tcW w:w="923" w:type="dxa"/>
            <w:noWrap/>
            <w:vAlign w:val="center"/>
          </w:tcPr>
          <w:p w14:paraId="1D380E0E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</w:p>
        </w:tc>
        <w:tc>
          <w:tcPr>
            <w:tcW w:w="778" w:type="dxa"/>
          </w:tcPr>
          <w:p w14:paraId="0A7FF692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</w:p>
        </w:tc>
        <w:tc>
          <w:tcPr>
            <w:tcW w:w="923" w:type="dxa"/>
          </w:tcPr>
          <w:p w14:paraId="6A22FD74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</w:p>
        </w:tc>
      </w:tr>
      <w:tr w:rsidR="008D22DB" w:rsidRPr="008D22DB" w14:paraId="4A212214" w14:textId="77777777" w:rsidTr="00640DD7">
        <w:trPr>
          <w:trHeight w:val="615"/>
        </w:trPr>
        <w:tc>
          <w:tcPr>
            <w:tcW w:w="2972" w:type="dxa"/>
            <w:vAlign w:val="center"/>
            <w:hideMark/>
          </w:tcPr>
          <w:p w14:paraId="60F4CE8D" w14:textId="77777777" w:rsidR="008D22DB" w:rsidRPr="008D22DB" w:rsidRDefault="008D22DB" w:rsidP="008D22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Доля промышленности и строительства в ВВП, %</w:t>
            </w:r>
          </w:p>
        </w:tc>
        <w:tc>
          <w:tcPr>
            <w:tcW w:w="1116" w:type="dxa"/>
            <w:vAlign w:val="center"/>
          </w:tcPr>
          <w:p w14:paraId="2AA4D5C9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19,53</w:t>
            </w:r>
          </w:p>
        </w:tc>
        <w:tc>
          <w:tcPr>
            <w:tcW w:w="1116" w:type="dxa"/>
            <w:vAlign w:val="center"/>
          </w:tcPr>
          <w:p w14:paraId="10AA3C57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20,46</w:t>
            </w:r>
          </w:p>
        </w:tc>
        <w:tc>
          <w:tcPr>
            <w:tcW w:w="1116" w:type="dxa"/>
            <w:vAlign w:val="center"/>
          </w:tcPr>
          <w:p w14:paraId="6DD9918C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21,19</w:t>
            </w:r>
          </w:p>
        </w:tc>
        <w:tc>
          <w:tcPr>
            <w:tcW w:w="1116" w:type="dxa"/>
            <w:vAlign w:val="center"/>
          </w:tcPr>
          <w:p w14:paraId="4EB18DB0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21,41</w:t>
            </w:r>
          </w:p>
        </w:tc>
        <w:tc>
          <w:tcPr>
            <w:tcW w:w="923" w:type="dxa"/>
            <w:noWrap/>
            <w:vAlign w:val="center"/>
          </w:tcPr>
          <w:p w14:paraId="0C956D16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</w:p>
        </w:tc>
        <w:tc>
          <w:tcPr>
            <w:tcW w:w="778" w:type="dxa"/>
          </w:tcPr>
          <w:p w14:paraId="5B8697CB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</w:p>
        </w:tc>
        <w:tc>
          <w:tcPr>
            <w:tcW w:w="923" w:type="dxa"/>
          </w:tcPr>
          <w:p w14:paraId="557A266E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</w:p>
        </w:tc>
      </w:tr>
      <w:tr w:rsidR="008D22DB" w:rsidRPr="008D22DB" w14:paraId="6415A816" w14:textId="77777777" w:rsidTr="00640DD7">
        <w:trPr>
          <w:trHeight w:val="315"/>
        </w:trPr>
        <w:tc>
          <w:tcPr>
            <w:tcW w:w="2972" w:type="dxa"/>
            <w:vAlign w:val="center"/>
            <w:hideMark/>
          </w:tcPr>
          <w:p w14:paraId="7425241E" w14:textId="77777777" w:rsidR="008D22DB" w:rsidRPr="008D22DB" w:rsidRDefault="008D22DB" w:rsidP="008D22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Экспорт товаров и услуг, % от ВВП</w:t>
            </w:r>
          </w:p>
        </w:tc>
        <w:tc>
          <w:tcPr>
            <w:tcW w:w="1116" w:type="dxa"/>
            <w:vAlign w:val="center"/>
          </w:tcPr>
          <w:p w14:paraId="4FE77E58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27,36</w:t>
            </w:r>
          </w:p>
        </w:tc>
        <w:tc>
          <w:tcPr>
            <w:tcW w:w="1116" w:type="dxa"/>
            <w:vAlign w:val="center"/>
          </w:tcPr>
          <w:p w14:paraId="7EE6E216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24,92</w:t>
            </w:r>
          </w:p>
        </w:tc>
        <w:tc>
          <w:tcPr>
            <w:tcW w:w="1116" w:type="dxa"/>
            <w:vAlign w:val="center"/>
          </w:tcPr>
          <w:p w14:paraId="7A7C6A50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23,78</w:t>
            </w:r>
          </w:p>
        </w:tc>
        <w:tc>
          <w:tcPr>
            <w:tcW w:w="1116" w:type="dxa"/>
            <w:vAlign w:val="center"/>
          </w:tcPr>
          <w:p w14:paraId="120776E0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22,96</w:t>
            </w:r>
          </w:p>
        </w:tc>
        <w:tc>
          <w:tcPr>
            <w:tcW w:w="923" w:type="dxa"/>
            <w:noWrap/>
            <w:vAlign w:val="center"/>
          </w:tcPr>
          <w:p w14:paraId="436833EF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</w:p>
        </w:tc>
        <w:tc>
          <w:tcPr>
            <w:tcW w:w="778" w:type="dxa"/>
          </w:tcPr>
          <w:p w14:paraId="0F9D3962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</w:p>
        </w:tc>
        <w:tc>
          <w:tcPr>
            <w:tcW w:w="923" w:type="dxa"/>
          </w:tcPr>
          <w:p w14:paraId="1DAF2B1D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</w:p>
        </w:tc>
      </w:tr>
      <w:tr w:rsidR="008D22DB" w:rsidRPr="008D22DB" w14:paraId="3A21769A" w14:textId="77777777" w:rsidTr="00640DD7">
        <w:trPr>
          <w:trHeight w:val="315"/>
        </w:trPr>
        <w:tc>
          <w:tcPr>
            <w:tcW w:w="2972" w:type="dxa"/>
            <w:vAlign w:val="center"/>
            <w:hideMark/>
          </w:tcPr>
          <w:p w14:paraId="2DDE48CF" w14:textId="77777777" w:rsidR="008D22DB" w:rsidRPr="008D22DB" w:rsidRDefault="008D22DB" w:rsidP="008D22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Импорт товаров и услуг, % от ВВП</w:t>
            </w:r>
          </w:p>
        </w:tc>
        <w:tc>
          <w:tcPr>
            <w:tcW w:w="1116" w:type="dxa"/>
            <w:vAlign w:val="center"/>
          </w:tcPr>
          <w:p w14:paraId="439BE77E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25,36</w:t>
            </w:r>
          </w:p>
        </w:tc>
        <w:tc>
          <w:tcPr>
            <w:tcW w:w="1116" w:type="dxa"/>
            <w:vAlign w:val="center"/>
          </w:tcPr>
          <w:p w14:paraId="4F0CB2C0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23,62</w:t>
            </w:r>
          </w:p>
        </w:tc>
        <w:tc>
          <w:tcPr>
            <w:tcW w:w="1116" w:type="dxa"/>
            <w:vAlign w:val="center"/>
          </w:tcPr>
          <w:p w14:paraId="353251C2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22,62</w:t>
            </w:r>
          </w:p>
        </w:tc>
        <w:tc>
          <w:tcPr>
            <w:tcW w:w="1116" w:type="dxa"/>
            <w:vAlign w:val="center"/>
          </w:tcPr>
          <w:p w14:paraId="6677496E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22,76</w:t>
            </w:r>
          </w:p>
        </w:tc>
        <w:tc>
          <w:tcPr>
            <w:tcW w:w="923" w:type="dxa"/>
            <w:noWrap/>
            <w:vAlign w:val="center"/>
          </w:tcPr>
          <w:p w14:paraId="0948E585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</w:p>
        </w:tc>
        <w:tc>
          <w:tcPr>
            <w:tcW w:w="778" w:type="dxa"/>
          </w:tcPr>
          <w:p w14:paraId="4C99C9A7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</w:p>
        </w:tc>
        <w:tc>
          <w:tcPr>
            <w:tcW w:w="923" w:type="dxa"/>
          </w:tcPr>
          <w:p w14:paraId="42D9D732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</w:p>
        </w:tc>
      </w:tr>
      <w:tr w:rsidR="008D22DB" w:rsidRPr="008D22DB" w14:paraId="10BD6AFD" w14:textId="77777777" w:rsidTr="00640DD7">
        <w:trPr>
          <w:trHeight w:val="315"/>
        </w:trPr>
        <w:tc>
          <w:tcPr>
            <w:tcW w:w="2972" w:type="dxa"/>
            <w:vAlign w:val="center"/>
            <w:hideMark/>
          </w:tcPr>
          <w:p w14:paraId="30CFB8D4" w14:textId="77777777" w:rsidR="008D22DB" w:rsidRPr="008D22DB" w:rsidRDefault="008D22DB" w:rsidP="008D22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Доходы, за исключением грантов, % от ВВП</w:t>
            </w:r>
          </w:p>
        </w:tc>
        <w:tc>
          <w:tcPr>
            <w:tcW w:w="1116" w:type="dxa"/>
            <w:vAlign w:val="center"/>
          </w:tcPr>
          <w:p w14:paraId="2BF2706A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12,16</w:t>
            </w:r>
          </w:p>
        </w:tc>
        <w:tc>
          <w:tcPr>
            <w:tcW w:w="1116" w:type="dxa"/>
            <w:vAlign w:val="center"/>
          </w:tcPr>
          <w:p w14:paraId="0ECF4C5B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12,17</w:t>
            </w:r>
          </w:p>
        </w:tc>
        <w:tc>
          <w:tcPr>
            <w:tcW w:w="1116" w:type="dxa"/>
            <w:vAlign w:val="center"/>
          </w:tcPr>
          <w:p w14:paraId="41B0FB3A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12,34</w:t>
            </w:r>
          </w:p>
        </w:tc>
        <w:tc>
          <w:tcPr>
            <w:tcW w:w="1116" w:type="dxa"/>
            <w:vAlign w:val="center"/>
          </w:tcPr>
          <w:p w14:paraId="3DA2B471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..</w:t>
            </w:r>
          </w:p>
        </w:tc>
        <w:tc>
          <w:tcPr>
            <w:tcW w:w="923" w:type="dxa"/>
            <w:noWrap/>
            <w:vAlign w:val="center"/>
          </w:tcPr>
          <w:p w14:paraId="25F11AC2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</w:p>
        </w:tc>
        <w:tc>
          <w:tcPr>
            <w:tcW w:w="778" w:type="dxa"/>
          </w:tcPr>
          <w:p w14:paraId="2D9C57CC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</w:p>
        </w:tc>
        <w:tc>
          <w:tcPr>
            <w:tcW w:w="923" w:type="dxa"/>
          </w:tcPr>
          <w:p w14:paraId="61E10659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</w:p>
        </w:tc>
      </w:tr>
      <w:tr w:rsidR="008D22DB" w:rsidRPr="008D22DB" w14:paraId="210387FA" w14:textId="77777777" w:rsidTr="00640DD7">
        <w:trPr>
          <w:trHeight w:val="315"/>
        </w:trPr>
        <w:tc>
          <w:tcPr>
            <w:tcW w:w="2972" w:type="dxa"/>
            <w:vAlign w:val="center"/>
            <w:hideMark/>
          </w:tcPr>
          <w:p w14:paraId="4DBE198A" w14:textId="77777777" w:rsidR="008D22DB" w:rsidRPr="008D22DB" w:rsidRDefault="008D22DB" w:rsidP="008D22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Налоговые поступления, % от ВВП</w:t>
            </w:r>
          </w:p>
        </w:tc>
        <w:tc>
          <w:tcPr>
            <w:tcW w:w="1116" w:type="dxa"/>
            <w:vAlign w:val="center"/>
          </w:tcPr>
          <w:p w14:paraId="10E6B4BA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11,18</w:t>
            </w:r>
          </w:p>
        </w:tc>
        <w:tc>
          <w:tcPr>
            <w:tcW w:w="1116" w:type="dxa"/>
            <w:vAlign w:val="center"/>
          </w:tcPr>
          <w:p w14:paraId="7DB00521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11,97</w:t>
            </w:r>
          </w:p>
        </w:tc>
        <w:tc>
          <w:tcPr>
            <w:tcW w:w="1116" w:type="dxa"/>
            <w:vAlign w:val="center"/>
          </w:tcPr>
          <w:p w14:paraId="64C1C0B7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12,03</w:t>
            </w:r>
          </w:p>
        </w:tc>
        <w:tc>
          <w:tcPr>
            <w:tcW w:w="1116" w:type="dxa"/>
            <w:vAlign w:val="center"/>
          </w:tcPr>
          <w:p w14:paraId="780B24E3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..</w:t>
            </w:r>
          </w:p>
        </w:tc>
        <w:tc>
          <w:tcPr>
            <w:tcW w:w="923" w:type="dxa"/>
            <w:noWrap/>
            <w:vAlign w:val="center"/>
          </w:tcPr>
          <w:p w14:paraId="5E9314B2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</w:p>
        </w:tc>
        <w:tc>
          <w:tcPr>
            <w:tcW w:w="778" w:type="dxa"/>
          </w:tcPr>
          <w:p w14:paraId="4B8DD0CC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</w:p>
        </w:tc>
        <w:tc>
          <w:tcPr>
            <w:tcW w:w="923" w:type="dxa"/>
          </w:tcPr>
          <w:p w14:paraId="1A8FFDAD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</w:p>
        </w:tc>
      </w:tr>
      <w:tr w:rsidR="008D22DB" w:rsidRPr="008D22DB" w14:paraId="40BE49A5" w14:textId="77777777" w:rsidTr="00640DD7">
        <w:trPr>
          <w:trHeight w:val="315"/>
        </w:trPr>
        <w:tc>
          <w:tcPr>
            <w:tcW w:w="2972" w:type="dxa"/>
            <w:vAlign w:val="center"/>
            <w:hideMark/>
          </w:tcPr>
          <w:p w14:paraId="1F844928" w14:textId="77777777" w:rsidR="008D22DB" w:rsidRPr="008D22DB" w:rsidRDefault="008D22DB" w:rsidP="008D22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Военные расходы, % ВВП</w:t>
            </w:r>
          </w:p>
        </w:tc>
        <w:tc>
          <w:tcPr>
            <w:tcW w:w="1116" w:type="dxa"/>
            <w:vAlign w:val="center"/>
          </w:tcPr>
          <w:p w14:paraId="30F73403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1,72</w:t>
            </w:r>
          </w:p>
        </w:tc>
        <w:tc>
          <w:tcPr>
            <w:tcW w:w="1116" w:type="dxa"/>
            <w:vAlign w:val="center"/>
          </w:tcPr>
          <w:p w14:paraId="16931E93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1,33</w:t>
            </w:r>
          </w:p>
        </w:tc>
        <w:tc>
          <w:tcPr>
            <w:tcW w:w="1116" w:type="dxa"/>
            <w:vAlign w:val="center"/>
          </w:tcPr>
          <w:p w14:paraId="2508ABD2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1,23</w:t>
            </w:r>
          </w:p>
        </w:tc>
        <w:tc>
          <w:tcPr>
            <w:tcW w:w="1116" w:type="dxa"/>
            <w:vAlign w:val="center"/>
          </w:tcPr>
          <w:p w14:paraId="58B45687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1,25</w:t>
            </w:r>
          </w:p>
        </w:tc>
        <w:tc>
          <w:tcPr>
            <w:tcW w:w="923" w:type="dxa"/>
            <w:noWrap/>
            <w:vAlign w:val="center"/>
          </w:tcPr>
          <w:p w14:paraId="19685E93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</w:p>
        </w:tc>
        <w:tc>
          <w:tcPr>
            <w:tcW w:w="778" w:type="dxa"/>
          </w:tcPr>
          <w:p w14:paraId="5400E599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</w:p>
        </w:tc>
        <w:tc>
          <w:tcPr>
            <w:tcW w:w="923" w:type="dxa"/>
          </w:tcPr>
          <w:p w14:paraId="41750143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</w:p>
        </w:tc>
      </w:tr>
    </w:tbl>
    <w:p w14:paraId="5F1C24C4" w14:textId="77777777" w:rsidR="008D22DB" w:rsidRPr="008D22DB" w:rsidRDefault="008D22DB" w:rsidP="008D22D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14:ligatures w14:val="none"/>
        </w:rPr>
      </w:pPr>
    </w:p>
    <w:p w14:paraId="55BB6DA3" w14:textId="77777777" w:rsidR="008D22DB" w:rsidRPr="008D22DB" w:rsidRDefault="008D22DB" w:rsidP="008D22D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14:ligatures w14:val="none"/>
        </w:rPr>
      </w:pPr>
      <w:r w:rsidRPr="008D22DB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14:ligatures w14:val="none"/>
        </w:rPr>
        <w:t xml:space="preserve">Реализация Повестки дня на период до 2030 года и Повестки дня на период до 2063 года представляет собой огромную проблему с точки зрения ресурсов, масштабов и срочности. Существует призыв к продвижению адекватных политических решений и запуску эффективных практических </w:t>
      </w:r>
      <w:r w:rsidRPr="008D22DB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14:ligatures w14:val="none"/>
        </w:rPr>
        <w:lastRenderedPageBreak/>
        <w:t>действий на всех уровнях. Транснациональное управление также важно для продвижения адекватных политических решений и запуска эффективных практических действий на всех уровнях. Правительства сталкиваются с серьезными проблемами, в том числе с фискальными ограничениями, политическими разногласиями, неустойчивостью государства, коррупцией и институциональными неудачами. Эти ограничения указывают на необходимость активного участия гражданского общества, а также выступать за политические реформы и государственные ресурсы в поддержку повестки дня в области развития, что позволит высвобождать дополнительные ресурсы и расширять возможности для достижения реализации.</w:t>
      </w:r>
    </w:p>
    <w:p w14:paraId="1269D86A" w14:textId="77777777" w:rsidR="008D22DB" w:rsidRPr="008D22DB" w:rsidRDefault="008D22DB" w:rsidP="008D22D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14:ligatures w14:val="none"/>
        </w:rPr>
      </w:pPr>
      <w:bookmarkStart w:id="4" w:name="_Hlk138263037"/>
      <w:r w:rsidRPr="008D22DB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14:ligatures w14:val="none"/>
        </w:rPr>
        <w:t>Следует отметить, что в Республике Кот-Д’Ивуар среднедушевой доход, рассчитанный по паритету покупательской способности, имеет устойчивые темпы роста, его показатель все еще не достигает 10 тыс. долл. на душу населения (рисунок 2.5). В этой связи проблема поиска финансовых средств для достижения ЦУР остается актуальной и ее решение невозможно без участия помощи международных организаций.</w:t>
      </w:r>
    </w:p>
    <w:bookmarkEnd w:id="4"/>
    <w:p w14:paraId="01A017F4" w14:textId="77777777" w:rsidR="008D22DB" w:rsidRPr="008D22DB" w:rsidRDefault="008D22DB" w:rsidP="008D22DB">
      <w:pPr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  <w:r w:rsidRPr="008D22DB">
        <w:rPr>
          <w:noProof/>
          <w:kern w:val="0"/>
          <w:sz w:val="22"/>
          <w:szCs w:val="22"/>
          <w:highlight w:val="yellow"/>
          <w:lang w:eastAsia="ru-RU"/>
          <w14:ligatures w14:val="none"/>
        </w:rPr>
        <w:drawing>
          <wp:inline distT="0" distB="0" distL="0" distR="0" wp14:anchorId="41F13B49" wp14:editId="5E7C3D41">
            <wp:extent cx="5794540" cy="2520563"/>
            <wp:effectExtent l="0" t="0" r="15875" b="13335"/>
            <wp:docPr id="2" name="Диаграмма 2">
              <a:extLst xmlns:a="http://schemas.openxmlformats.org/drawingml/2006/main">
                <a:ext uri="{FF2B5EF4-FFF2-40B4-BE49-F238E27FC236}">
                  <a16:creationId xmlns:a16="http://schemas.microsoft.com/office/drawing/2014/main" id="{9DCF47E4-F498-4EDD-AB98-8900CC4CED2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75C39D04" w14:textId="77777777" w:rsidR="008D22DB" w:rsidRPr="008D22DB" w:rsidRDefault="008D22DB" w:rsidP="008D22DB">
      <w:pPr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t>Рисунок 2.5 – Динамика валового национального дохода (ВНД) в расчете на душу населения по ППС в Республике Кот-д’Ивуар, долл. Источник: составлено автором по: [178, 188]</w:t>
      </w:r>
    </w:p>
    <w:p w14:paraId="6C6B9731" w14:textId="77777777" w:rsidR="008D22DB" w:rsidRPr="008D22DB" w:rsidRDefault="008D22DB" w:rsidP="008D22D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B0F0"/>
          <w:kern w:val="0"/>
          <w:sz w:val="28"/>
          <w:szCs w:val="28"/>
          <w14:ligatures w14:val="none"/>
        </w:rPr>
      </w:pPr>
    </w:p>
    <w:p w14:paraId="76941807" w14:textId="77777777" w:rsidR="008D22DB" w:rsidRPr="008D22DB" w:rsidRDefault="008D22DB" w:rsidP="008D22D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B0F0"/>
          <w:kern w:val="0"/>
          <w:sz w:val="28"/>
          <w:szCs w:val="28"/>
          <w14:ligatures w14:val="none"/>
        </w:rPr>
      </w:pPr>
      <w:r w:rsidRPr="008D22DB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ru-RU"/>
          <w14:ligatures w14:val="none"/>
        </w:rPr>
        <w:lastRenderedPageBreak/>
        <w:drawing>
          <wp:inline distT="0" distB="0" distL="0" distR="0" wp14:anchorId="5F46C95E" wp14:editId="39A8046C">
            <wp:extent cx="5111468" cy="2667279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6980" cy="267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AADAB" w14:textId="77777777" w:rsidR="008D22DB" w:rsidRPr="008D22DB" w:rsidRDefault="008D22DB" w:rsidP="008D22DB">
      <w:pPr>
        <w:spacing w:after="0" w:line="240" w:lineRule="auto"/>
        <w:jc w:val="center"/>
        <w:rPr>
          <w:kern w:val="0"/>
          <w:sz w:val="22"/>
          <w:szCs w:val="22"/>
          <w14:ligatures w14:val="none"/>
        </w:rPr>
      </w:pPr>
      <w:r w:rsidRPr="008D22DB">
        <w:rPr>
          <w:rFonts w:ascii="Times New Roman" w:hAnsi="Times New Roman"/>
          <w:i/>
          <w:color w:val="555555"/>
          <w:kern w:val="0"/>
          <w:sz w:val="22"/>
          <w:szCs w:val="22"/>
          <w14:ligatures w14:val="none"/>
        </w:rPr>
        <w:t>Рисунок 2. Секторальная структура ВВП Кот-д'Ивуара: сравнение 2011 и 2025 гг.</w:t>
      </w:r>
      <w:r w:rsidRPr="008D22DB">
        <w:rPr>
          <w:rFonts w:ascii="Times New Roman" w:hAnsi="Times New Roman"/>
          <w:i/>
          <w:color w:val="555555"/>
          <w:kern w:val="0"/>
          <w:sz w:val="22"/>
          <w:szCs w:val="22"/>
          <w14:ligatures w14:val="none"/>
        </w:rPr>
        <w:br/>
        <w:t>Примечание. Составлено автором по данным [7; 11].</w:t>
      </w:r>
    </w:p>
    <w:p w14:paraId="59954CF7" w14:textId="77777777" w:rsidR="008D22DB" w:rsidRPr="008D22DB" w:rsidRDefault="008D22DB" w:rsidP="008D22DB">
      <w:pPr>
        <w:spacing w:after="0" w:line="440" w:lineRule="exact"/>
        <w:ind w:firstLine="709"/>
        <w:jc w:val="both"/>
        <w:rPr>
          <w:rFonts w:ascii="Times New Roman" w:hAnsi="Times New Roman"/>
          <w:color w:val="FF0000"/>
          <w:kern w:val="0"/>
          <w:sz w:val="28"/>
          <w:szCs w:val="22"/>
          <w14:ligatures w14:val="none"/>
        </w:rPr>
      </w:pPr>
      <w:r w:rsidRPr="008D22DB">
        <w:rPr>
          <w:rFonts w:ascii="Times New Roman" w:hAnsi="Times New Roman"/>
          <w:color w:val="FF0000"/>
          <w:kern w:val="0"/>
          <w:sz w:val="28"/>
          <w:szCs w:val="22"/>
          <w14:ligatures w14:val="none"/>
        </w:rPr>
        <w:t xml:space="preserve">Рисунок 2 демонстрирует, что структурная трансформация экономики Кот-д'Ивуара в 2011–2025 гг. происходит, однако носит умеренный характер. Доля агропромышленного комплекса в ВВП сократилась с 26,8% до 21,3%, обрабатывающая промышленность выросла с 15,1% до 18,4%, финансовый сектор — с 10,7% до 12,4%. </w:t>
      </w:r>
    </w:p>
    <w:p w14:paraId="4FB68362" w14:textId="77777777" w:rsidR="008D22DB" w:rsidRPr="008D22DB" w:rsidRDefault="008D22DB" w:rsidP="008D22DB">
      <w:pPr>
        <w:spacing w:after="0" w:line="440" w:lineRule="exact"/>
        <w:ind w:firstLine="709"/>
        <w:jc w:val="both"/>
        <w:rPr>
          <w:color w:val="FF0000"/>
          <w:kern w:val="0"/>
          <w:sz w:val="22"/>
          <w:szCs w:val="22"/>
          <w14:ligatures w14:val="none"/>
        </w:rPr>
      </w:pPr>
      <w:r w:rsidRPr="008D22DB">
        <w:rPr>
          <w:rFonts w:ascii="Times New Roman" w:hAnsi="Times New Roman"/>
          <w:color w:val="FF0000"/>
          <w:kern w:val="0"/>
          <w:sz w:val="28"/>
          <w:szCs w:val="22"/>
          <w14:ligatures w14:val="none"/>
        </w:rPr>
        <w:t>Вместе с тем для перехода к статусу страны со средним доходом выше среднего и реализации национальной стратегии «Эмержанс» этих темпов структурной трансформации явно недостаточно: необходим качественный скачок, а не постепенная эволюция.</w:t>
      </w:r>
    </w:p>
    <w:p w14:paraId="27DB36C5" w14:textId="77777777" w:rsidR="008D22DB" w:rsidRPr="008D22DB" w:rsidRDefault="008D22DB" w:rsidP="008D22DB">
      <w:pPr>
        <w:spacing w:after="0" w:line="440" w:lineRule="exact"/>
        <w:jc w:val="both"/>
        <w:rPr>
          <w:color w:val="FF0000"/>
          <w:kern w:val="0"/>
          <w:sz w:val="22"/>
          <w:szCs w:val="22"/>
          <w14:ligatures w14:val="none"/>
        </w:rPr>
      </w:pPr>
      <w:r w:rsidRPr="008D22DB">
        <w:rPr>
          <w:rFonts w:ascii="Times New Roman" w:hAnsi="Times New Roman"/>
          <w:color w:val="FF0000"/>
          <w:kern w:val="0"/>
          <w:sz w:val="28"/>
          <w:szCs w:val="22"/>
          <w14:ligatures w14:val="none"/>
        </w:rPr>
        <w:t>Таблица 1. Ключевые макроэкономические показатели Республики Кот-д'Ивуар (2011–2025 гг.)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685"/>
        <w:gridCol w:w="1077"/>
        <w:gridCol w:w="1077"/>
        <w:gridCol w:w="1077"/>
        <w:gridCol w:w="1077"/>
        <w:gridCol w:w="1077"/>
      </w:tblGrid>
      <w:tr w:rsidR="008D22DB" w:rsidRPr="008D22DB" w14:paraId="6FAC00C2" w14:textId="77777777" w:rsidTr="00640DD7">
        <w:trPr>
          <w:jc w:val="center"/>
        </w:trPr>
        <w:tc>
          <w:tcPr>
            <w:tcW w:w="3685" w:type="dxa"/>
            <w:shd w:val="clear" w:color="auto" w:fill="1A5276"/>
          </w:tcPr>
          <w:p w14:paraId="1FD0FA30" w14:textId="77777777" w:rsidR="008D22DB" w:rsidRPr="008D22DB" w:rsidRDefault="008D22DB" w:rsidP="008D22DB">
            <w:pPr>
              <w:jc w:val="center"/>
              <w:rPr>
                <w:color w:val="FF0000"/>
              </w:rPr>
            </w:pPr>
            <w:r w:rsidRPr="008D22DB">
              <w:rPr>
                <w:rFonts w:ascii="Times New Roman" w:hAnsi="Times New Roman"/>
                <w:b/>
                <w:color w:val="FF0000"/>
                <w:sz w:val="20"/>
              </w:rPr>
              <w:t>Показатель</w:t>
            </w:r>
          </w:p>
        </w:tc>
        <w:tc>
          <w:tcPr>
            <w:tcW w:w="1077" w:type="dxa"/>
            <w:shd w:val="clear" w:color="auto" w:fill="1A5276"/>
          </w:tcPr>
          <w:p w14:paraId="2F1AB604" w14:textId="77777777" w:rsidR="008D22DB" w:rsidRPr="008D22DB" w:rsidRDefault="008D22DB" w:rsidP="008D22DB">
            <w:pPr>
              <w:jc w:val="center"/>
              <w:rPr>
                <w:color w:val="FF0000"/>
              </w:rPr>
            </w:pPr>
            <w:r w:rsidRPr="008D22DB">
              <w:rPr>
                <w:rFonts w:ascii="Times New Roman" w:hAnsi="Times New Roman"/>
                <w:b/>
                <w:color w:val="FF0000"/>
                <w:sz w:val="20"/>
              </w:rPr>
              <w:t>2011</w:t>
            </w:r>
          </w:p>
        </w:tc>
        <w:tc>
          <w:tcPr>
            <w:tcW w:w="1077" w:type="dxa"/>
            <w:shd w:val="clear" w:color="auto" w:fill="1A5276"/>
          </w:tcPr>
          <w:p w14:paraId="2EC5823C" w14:textId="77777777" w:rsidR="008D22DB" w:rsidRPr="008D22DB" w:rsidRDefault="008D22DB" w:rsidP="008D22DB">
            <w:pPr>
              <w:jc w:val="center"/>
              <w:rPr>
                <w:color w:val="FF0000"/>
              </w:rPr>
            </w:pPr>
            <w:r w:rsidRPr="008D22DB">
              <w:rPr>
                <w:rFonts w:ascii="Times New Roman" w:hAnsi="Times New Roman"/>
                <w:b/>
                <w:color w:val="FF0000"/>
                <w:sz w:val="20"/>
              </w:rPr>
              <w:t>2016</w:t>
            </w:r>
          </w:p>
        </w:tc>
        <w:tc>
          <w:tcPr>
            <w:tcW w:w="1077" w:type="dxa"/>
            <w:shd w:val="clear" w:color="auto" w:fill="1A5276"/>
          </w:tcPr>
          <w:p w14:paraId="6A21F5E9" w14:textId="77777777" w:rsidR="008D22DB" w:rsidRPr="008D22DB" w:rsidRDefault="008D22DB" w:rsidP="008D22DB">
            <w:pPr>
              <w:jc w:val="center"/>
              <w:rPr>
                <w:color w:val="FF0000"/>
              </w:rPr>
            </w:pPr>
            <w:r w:rsidRPr="008D22DB">
              <w:rPr>
                <w:rFonts w:ascii="Times New Roman" w:hAnsi="Times New Roman"/>
                <w:b/>
                <w:color w:val="FF0000"/>
                <w:sz w:val="20"/>
              </w:rPr>
              <w:t>2020</w:t>
            </w:r>
          </w:p>
        </w:tc>
        <w:tc>
          <w:tcPr>
            <w:tcW w:w="1077" w:type="dxa"/>
            <w:shd w:val="clear" w:color="auto" w:fill="1A5276"/>
          </w:tcPr>
          <w:p w14:paraId="33E3DBBD" w14:textId="77777777" w:rsidR="008D22DB" w:rsidRPr="008D22DB" w:rsidRDefault="008D22DB" w:rsidP="008D22DB">
            <w:pPr>
              <w:jc w:val="center"/>
              <w:rPr>
                <w:color w:val="FF0000"/>
              </w:rPr>
            </w:pPr>
            <w:r w:rsidRPr="008D22DB">
              <w:rPr>
                <w:rFonts w:ascii="Times New Roman" w:hAnsi="Times New Roman"/>
                <w:b/>
                <w:color w:val="FF0000"/>
                <w:sz w:val="20"/>
              </w:rPr>
              <w:t>2024</w:t>
            </w:r>
          </w:p>
        </w:tc>
        <w:tc>
          <w:tcPr>
            <w:tcW w:w="1077" w:type="dxa"/>
            <w:shd w:val="clear" w:color="auto" w:fill="1A5276"/>
          </w:tcPr>
          <w:p w14:paraId="4771B14F" w14:textId="77777777" w:rsidR="008D22DB" w:rsidRPr="008D22DB" w:rsidRDefault="008D22DB" w:rsidP="008D22DB">
            <w:pPr>
              <w:jc w:val="center"/>
              <w:rPr>
                <w:color w:val="FF0000"/>
              </w:rPr>
            </w:pPr>
            <w:r w:rsidRPr="008D22DB">
              <w:rPr>
                <w:rFonts w:ascii="Times New Roman" w:hAnsi="Times New Roman"/>
                <w:b/>
                <w:color w:val="FF0000"/>
                <w:sz w:val="20"/>
              </w:rPr>
              <w:t>2025*</w:t>
            </w:r>
          </w:p>
        </w:tc>
      </w:tr>
      <w:tr w:rsidR="008D22DB" w:rsidRPr="008D22DB" w14:paraId="59579E11" w14:textId="77777777" w:rsidTr="00640DD7">
        <w:trPr>
          <w:jc w:val="center"/>
        </w:trPr>
        <w:tc>
          <w:tcPr>
            <w:tcW w:w="3685" w:type="dxa"/>
            <w:shd w:val="clear" w:color="auto" w:fill="FFFFFF"/>
          </w:tcPr>
          <w:p w14:paraId="34A6033F" w14:textId="77777777" w:rsidR="008D22DB" w:rsidRPr="008D22DB" w:rsidRDefault="008D22DB" w:rsidP="008D22DB">
            <w:pPr>
              <w:rPr>
                <w:color w:val="FF0000"/>
              </w:rPr>
            </w:pPr>
            <w:r w:rsidRPr="008D22DB">
              <w:rPr>
                <w:rFonts w:ascii="Times New Roman" w:hAnsi="Times New Roman"/>
                <w:color w:val="FF0000"/>
                <w:sz w:val="20"/>
              </w:rPr>
              <w:t>ВВП, трлн франков КФА</w:t>
            </w:r>
          </w:p>
        </w:tc>
        <w:tc>
          <w:tcPr>
            <w:tcW w:w="1077" w:type="dxa"/>
            <w:shd w:val="clear" w:color="auto" w:fill="FFFFFF"/>
          </w:tcPr>
          <w:p w14:paraId="5FD74999" w14:textId="77777777" w:rsidR="008D22DB" w:rsidRPr="008D22DB" w:rsidRDefault="008D22DB" w:rsidP="008D22DB">
            <w:pPr>
              <w:jc w:val="center"/>
              <w:rPr>
                <w:color w:val="FF0000"/>
              </w:rPr>
            </w:pPr>
            <w:r w:rsidRPr="008D22DB">
              <w:rPr>
                <w:rFonts w:ascii="Times New Roman" w:hAnsi="Times New Roman"/>
                <w:color w:val="FF0000"/>
                <w:sz w:val="20"/>
              </w:rPr>
              <w:t>22,2</w:t>
            </w:r>
          </w:p>
        </w:tc>
        <w:tc>
          <w:tcPr>
            <w:tcW w:w="1077" w:type="dxa"/>
            <w:shd w:val="clear" w:color="auto" w:fill="FFFFFF"/>
          </w:tcPr>
          <w:p w14:paraId="612F57E2" w14:textId="77777777" w:rsidR="008D22DB" w:rsidRPr="008D22DB" w:rsidRDefault="008D22DB" w:rsidP="008D22DB">
            <w:pPr>
              <w:jc w:val="center"/>
              <w:rPr>
                <w:color w:val="FF0000"/>
              </w:rPr>
            </w:pPr>
            <w:r w:rsidRPr="008D22DB">
              <w:rPr>
                <w:rFonts w:ascii="Times New Roman" w:hAnsi="Times New Roman"/>
                <w:color w:val="FF0000"/>
                <w:sz w:val="20"/>
              </w:rPr>
              <w:t>33,6</w:t>
            </w:r>
          </w:p>
        </w:tc>
        <w:tc>
          <w:tcPr>
            <w:tcW w:w="1077" w:type="dxa"/>
            <w:shd w:val="clear" w:color="auto" w:fill="FFFFFF"/>
          </w:tcPr>
          <w:p w14:paraId="704B691E" w14:textId="77777777" w:rsidR="008D22DB" w:rsidRPr="008D22DB" w:rsidRDefault="008D22DB" w:rsidP="008D22DB">
            <w:pPr>
              <w:jc w:val="center"/>
              <w:rPr>
                <w:color w:val="FF0000"/>
              </w:rPr>
            </w:pPr>
            <w:r w:rsidRPr="008D22DB">
              <w:rPr>
                <w:rFonts w:ascii="Times New Roman" w:hAnsi="Times New Roman"/>
                <w:color w:val="FF0000"/>
                <w:sz w:val="20"/>
              </w:rPr>
              <w:t>39,8</w:t>
            </w:r>
          </w:p>
        </w:tc>
        <w:tc>
          <w:tcPr>
            <w:tcW w:w="1077" w:type="dxa"/>
            <w:shd w:val="clear" w:color="auto" w:fill="FFFFFF"/>
          </w:tcPr>
          <w:p w14:paraId="180C92F2" w14:textId="77777777" w:rsidR="008D22DB" w:rsidRPr="008D22DB" w:rsidRDefault="008D22DB" w:rsidP="008D22DB">
            <w:pPr>
              <w:jc w:val="center"/>
              <w:rPr>
                <w:color w:val="FF0000"/>
              </w:rPr>
            </w:pPr>
            <w:r w:rsidRPr="008D22DB">
              <w:rPr>
                <w:rFonts w:ascii="Times New Roman" w:hAnsi="Times New Roman"/>
                <w:color w:val="FF0000"/>
                <w:sz w:val="20"/>
              </w:rPr>
              <w:t>55,4</w:t>
            </w:r>
          </w:p>
        </w:tc>
        <w:tc>
          <w:tcPr>
            <w:tcW w:w="1077" w:type="dxa"/>
            <w:shd w:val="clear" w:color="auto" w:fill="FFFFFF"/>
          </w:tcPr>
          <w:p w14:paraId="356E08E2" w14:textId="77777777" w:rsidR="008D22DB" w:rsidRPr="008D22DB" w:rsidRDefault="008D22DB" w:rsidP="008D22DB">
            <w:pPr>
              <w:jc w:val="center"/>
              <w:rPr>
                <w:color w:val="FF0000"/>
              </w:rPr>
            </w:pPr>
            <w:r w:rsidRPr="008D22DB">
              <w:rPr>
                <w:rFonts w:ascii="Times New Roman" w:hAnsi="Times New Roman"/>
                <w:color w:val="FF0000"/>
                <w:sz w:val="20"/>
              </w:rPr>
              <w:t>57,6</w:t>
            </w:r>
          </w:p>
        </w:tc>
      </w:tr>
      <w:tr w:rsidR="008D22DB" w:rsidRPr="008D22DB" w14:paraId="78C0184C" w14:textId="77777777" w:rsidTr="00640DD7">
        <w:trPr>
          <w:jc w:val="center"/>
        </w:trPr>
        <w:tc>
          <w:tcPr>
            <w:tcW w:w="3685" w:type="dxa"/>
            <w:shd w:val="clear" w:color="auto" w:fill="EBF5FB"/>
          </w:tcPr>
          <w:p w14:paraId="1157D575" w14:textId="77777777" w:rsidR="008D22DB" w:rsidRPr="008D22DB" w:rsidRDefault="008D22DB" w:rsidP="008D22DB">
            <w:pPr>
              <w:rPr>
                <w:color w:val="FF0000"/>
              </w:rPr>
            </w:pPr>
            <w:r w:rsidRPr="008D22DB">
              <w:rPr>
                <w:rFonts w:ascii="Times New Roman" w:hAnsi="Times New Roman"/>
                <w:color w:val="FF0000"/>
                <w:sz w:val="20"/>
              </w:rPr>
              <w:t>Темп роста ВВП, %</w:t>
            </w:r>
          </w:p>
        </w:tc>
        <w:tc>
          <w:tcPr>
            <w:tcW w:w="1077" w:type="dxa"/>
            <w:shd w:val="clear" w:color="auto" w:fill="EBF5FB"/>
          </w:tcPr>
          <w:p w14:paraId="71A4B6D4" w14:textId="77777777" w:rsidR="008D22DB" w:rsidRPr="008D22DB" w:rsidRDefault="008D22DB" w:rsidP="008D22DB">
            <w:pPr>
              <w:jc w:val="center"/>
              <w:rPr>
                <w:color w:val="FF0000"/>
              </w:rPr>
            </w:pPr>
            <w:r w:rsidRPr="008D22DB">
              <w:rPr>
                <w:rFonts w:ascii="Times New Roman" w:hAnsi="Times New Roman"/>
                <w:color w:val="FF0000"/>
                <w:sz w:val="20"/>
              </w:rPr>
              <w:t>–6,6</w:t>
            </w:r>
          </w:p>
        </w:tc>
        <w:tc>
          <w:tcPr>
            <w:tcW w:w="1077" w:type="dxa"/>
            <w:shd w:val="clear" w:color="auto" w:fill="EBF5FB"/>
          </w:tcPr>
          <w:p w14:paraId="5706CE3D" w14:textId="77777777" w:rsidR="008D22DB" w:rsidRPr="008D22DB" w:rsidRDefault="008D22DB" w:rsidP="008D22DB">
            <w:pPr>
              <w:jc w:val="center"/>
              <w:rPr>
                <w:color w:val="FF0000"/>
              </w:rPr>
            </w:pPr>
            <w:r w:rsidRPr="008D22DB">
              <w:rPr>
                <w:rFonts w:ascii="Times New Roman" w:hAnsi="Times New Roman"/>
                <w:color w:val="FF0000"/>
                <w:sz w:val="20"/>
              </w:rPr>
              <w:t>6,0</w:t>
            </w:r>
          </w:p>
        </w:tc>
        <w:tc>
          <w:tcPr>
            <w:tcW w:w="1077" w:type="dxa"/>
            <w:shd w:val="clear" w:color="auto" w:fill="EBF5FB"/>
          </w:tcPr>
          <w:p w14:paraId="3B22D14D" w14:textId="77777777" w:rsidR="008D22DB" w:rsidRPr="008D22DB" w:rsidRDefault="008D22DB" w:rsidP="008D22DB">
            <w:pPr>
              <w:jc w:val="center"/>
              <w:rPr>
                <w:color w:val="FF0000"/>
              </w:rPr>
            </w:pPr>
            <w:r w:rsidRPr="008D22DB">
              <w:rPr>
                <w:rFonts w:ascii="Times New Roman" w:hAnsi="Times New Roman"/>
                <w:color w:val="FF0000"/>
                <w:sz w:val="20"/>
              </w:rPr>
              <w:t>–2,2</w:t>
            </w:r>
          </w:p>
        </w:tc>
        <w:tc>
          <w:tcPr>
            <w:tcW w:w="1077" w:type="dxa"/>
            <w:shd w:val="clear" w:color="auto" w:fill="EBF5FB"/>
          </w:tcPr>
          <w:p w14:paraId="41C45A54" w14:textId="77777777" w:rsidR="008D22DB" w:rsidRPr="008D22DB" w:rsidRDefault="008D22DB" w:rsidP="008D22DB">
            <w:pPr>
              <w:jc w:val="center"/>
              <w:rPr>
                <w:color w:val="FF0000"/>
              </w:rPr>
            </w:pPr>
            <w:r w:rsidRPr="008D22DB">
              <w:rPr>
                <w:rFonts w:ascii="Times New Roman" w:hAnsi="Times New Roman"/>
                <w:color w:val="FF0000"/>
                <w:sz w:val="20"/>
              </w:rPr>
              <w:t>8,2</w:t>
            </w:r>
          </w:p>
        </w:tc>
        <w:tc>
          <w:tcPr>
            <w:tcW w:w="1077" w:type="dxa"/>
            <w:shd w:val="clear" w:color="auto" w:fill="EBF5FB"/>
          </w:tcPr>
          <w:p w14:paraId="24CA1CD0" w14:textId="77777777" w:rsidR="008D22DB" w:rsidRPr="008D22DB" w:rsidRDefault="008D22DB" w:rsidP="008D22DB">
            <w:pPr>
              <w:jc w:val="center"/>
              <w:rPr>
                <w:color w:val="FF0000"/>
              </w:rPr>
            </w:pPr>
            <w:r w:rsidRPr="008D22DB">
              <w:rPr>
                <w:rFonts w:ascii="Times New Roman" w:hAnsi="Times New Roman"/>
                <w:color w:val="FF0000"/>
                <w:sz w:val="20"/>
              </w:rPr>
              <w:t>6,5</w:t>
            </w:r>
          </w:p>
        </w:tc>
      </w:tr>
      <w:tr w:rsidR="008D22DB" w:rsidRPr="008D22DB" w14:paraId="58F6D4E4" w14:textId="77777777" w:rsidTr="00640DD7">
        <w:trPr>
          <w:jc w:val="center"/>
        </w:trPr>
        <w:tc>
          <w:tcPr>
            <w:tcW w:w="3685" w:type="dxa"/>
            <w:shd w:val="clear" w:color="auto" w:fill="FFFFFF"/>
          </w:tcPr>
          <w:p w14:paraId="7C711969" w14:textId="77777777" w:rsidR="008D22DB" w:rsidRPr="008D22DB" w:rsidRDefault="008D22DB" w:rsidP="008D22DB">
            <w:pPr>
              <w:rPr>
                <w:color w:val="FF0000"/>
              </w:rPr>
            </w:pPr>
            <w:r w:rsidRPr="008D22DB">
              <w:rPr>
                <w:rFonts w:ascii="Times New Roman" w:hAnsi="Times New Roman"/>
                <w:color w:val="FF0000"/>
                <w:sz w:val="20"/>
              </w:rPr>
              <w:t>ВВП на душу населения, тыс. CFA</w:t>
            </w:r>
          </w:p>
        </w:tc>
        <w:tc>
          <w:tcPr>
            <w:tcW w:w="1077" w:type="dxa"/>
            <w:shd w:val="clear" w:color="auto" w:fill="FFFFFF"/>
          </w:tcPr>
          <w:p w14:paraId="19E8D073" w14:textId="77777777" w:rsidR="008D22DB" w:rsidRPr="008D22DB" w:rsidRDefault="008D22DB" w:rsidP="008D22DB">
            <w:pPr>
              <w:jc w:val="center"/>
              <w:rPr>
                <w:color w:val="FF0000"/>
              </w:rPr>
            </w:pPr>
            <w:r w:rsidRPr="008D22DB">
              <w:rPr>
                <w:rFonts w:ascii="Times New Roman" w:hAnsi="Times New Roman"/>
                <w:color w:val="FF0000"/>
                <w:sz w:val="20"/>
              </w:rPr>
              <w:t>817</w:t>
            </w:r>
          </w:p>
        </w:tc>
        <w:tc>
          <w:tcPr>
            <w:tcW w:w="1077" w:type="dxa"/>
            <w:shd w:val="clear" w:color="auto" w:fill="FFFFFF"/>
          </w:tcPr>
          <w:p w14:paraId="139196A2" w14:textId="77777777" w:rsidR="008D22DB" w:rsidRPr="008D22DB" w:rsidRDefault="008D22DB" w:rsidP="008D22DB">
            <w:pPr>
              <w:jc w:val="center"/>
              <w:rPr>
                <w:color w:val="FF0000"/>
              </w:rPr>
            </w:pPr>
            <w:r w:rsidRPr="008D22DB">
              <w:rPr>
                <w:rFonts w:ascii="Times New Roman" w:hAnsi="Times New Roman"/>
                <w:color w:val="FF0000"/>
                <w:sz w:val="20"/>
              </w:rPr>
              <w:t>1 219</w:t>
            </w:r>
          </w:p>
        </w:tc>
        <w:tc>
          <w:tcPr>
            <w:tcW w:w="1077" w:type="dxa"/>
            <w:shd w:val="clear" w:color="auto" w:fill="FFFFFF"/>
          </w:tcPr>
          <w:p w14:paraId="534C89EF" w14:textId="77777777" w:rsidR="008D22DB" w:rsidRPr="008D22DB" w:rsidRDefault="008D22DB" w:rsidP="008D22DB">
            <w:pPr>
              <w:jc w:val="center"/>
              <w:rPr>
                <w:color w:val="FF0000"/>
              </w:rPr>
            </w:pPr>
            <w:r w:rsidRPr="008D22DB">
              <w:rPr>
                <w:rFonts w:ascii="Times New Roman" w:hAnsi="Times New Roman"/>
                <w:color w:val="FF0000"/>
                <w:sz w:val="20"/>
              </w:rPr>
              <w:t>1 464</w:t>
            </w:r>
          </w:p>
        </w:tc>
        <w:tc>
          <w:tcPr>
            <w:tcW w:w="1077" w:type="dxa"/>
            <w:shd w:val="clear" w:color="auto" w:fill="FFFFFF"/>
          </w:tcPr>
          <w:p w14:paraId="3A5481CC" w14:textId="77777777" w:rsidR="008D22DB" w:rsidRPr="008D22DB" w:rsidRDefault="008D22DB" w:rsidP="008D22DB">
            <w:pPr>
              <w:jc w:val="center"/>
              <w:rPr>
                <w:color w:val="FF0000"/>
              </w:rPr>
            </w:pPr>
            <w:r w:rsidRPr="008D22DB">
              <w:rPr>
                <w:rFonts w:ascii="Times New Roman" w:hAnsi="Times New Roman"/>
                <w:color w:val="FF0000"/>
                <w:sz w:val="20"/>
              </w:rPr>
              <w:t>1 663</w:t>
            </w:r>
          </w:p>
        </w:tc>
        <w:tc>
          <w:tcPr>
            <w:tcW w:w="1077" w:type="dxa"/>
            <w:shd w:val="clear" w:color="auto" w:fill="FFFFFF"/>
          </w:tcPr>
          <w:p w14:paraId="57043F22" w14:textId="77777777" w:rsidR="008D22DB" w:rsidRPr="008D22DB" w:rsidRDefault="008D22DB" w:rsidP="008D22DB">
            <w:pPr>
              <w:jc w:val="center"/>
              <w:rPr>
                <w:color w:val="FF0000"/>
              </w:rPr>
            </w:pPr>
            <w:r w:rsidRPr="008D22DB">
              <w:rPr>
                <w:rFonts w:ascii="Times New Roman" w:hAnsi="Times New Roman"/>
                <w:color w:val="FF0000"/>
                <w:sz w:val="20"/>
              </w:rPr>
              <w:t>1 772</w:t>
            </w:r>
          </w:p>
        </w:tc>
      </w:tr>
      <w:tr w:rsidR="008D22DB" w:rsidRPr="008D22DB" w14:paraId="173B15BC" w14:textId="77777777" w:rsidTr="00640DD7">
        <w:trPr>
          <w:jc w:val="center"/>
        </w:trPr>
        <w:tc>
          <w:tcPr>
            <w:tcW w:w="3685" w:type="dxa"/>
            <w:shd w:val="clear" w:color="auto" w:fill="EBF5FB"/>
          </w:tcPr>
          <w:p w14:paraId="10520AFE" w14:textId="77777777" w:rsidR="008D22DB" w:rsidRPr="008D22DB" w:rsidRDefault="008D22DB" w:rsidP="008D22DB">
            <w:pPr>
              <w:rPr>
                <w:color w:val="FF0000"/>
              </w:rPr>
            </w:pPr>
            <w:r w:rsidRPr="008D22DB">
              <w:rPr>
                <w:rFonts w:ascii="Times New Roman" w:hAnsi="Times New Roman"/>
                <w:color w:val="FF0000"/>
                <w:sz w:val="20"/>
              </w:rPr>
              <w:t>Инфляция, %</w:t>
            </w:r>
          </w:p>
        </w:tc>
        <w:tc>
          <w:tcPr>
            <w:tcW w:w="1077" w:type="dxa"/>
            <w:shd w:val="clear" w:color="auto" w:fill="EBF5FB"/>
          </w:tcPr>
          <w:p w14:paraId="367C75C9" w14:textId="77777777" w:rsidR="008D22DB" w:rsidRPr="008D22DB" w:rsidRDefault="008D22DB" w:rsidP="008D22DB">
            <w:pPr>
              <w:jc w:val="center"/>
              <w:rPr>
                <w:color w:val="FF0000"/>
              </w:rPr>
            </w:pPr>
            <w:r w:rsidRPr="008D22DB">
              <w:rPr>
                <w:rFonts w:ascii="Times New Roman" w:hAnsi="Times New Roman"/>
                <w:color w:val="FF0000"/>
                <w:sz w:val="20"/>
              </w:rPr>
              <w:t>4,9</w:t>
            </w:r>
          </w:p>
        </w:tc>
        <w:tc>
          <w:tcPr>
            <w:tcW w:w="1077" w:type="dxa"/>
            <w:shd w:val="clear" w:color="auto" w:fill="EBF5FB"/>
          </w:tcPr>
          <w:p w14:paraId="5FBF6CBF" w14:textId="77777777" w:rsidR="008D22DB" w:rsidRPr="008D22DB" w:rsidRDefault="008D22DB" w:rsidP="008D22DB">
            <w:pPr>
              <w:jc w:val="center"/>
              <w:rPr>
                <w:color w:val="FF0000"/>
              </w:rPr>
            </w:pPr>
            <w:r w:rsidRPr="008D22DB">
              <w:rPr>
                <w:rFonts w:ascii="Times New Roman" w:hAnsi="Times New Roman"/>
                <w:color w:val="FF0000"/>
                <w:sz w:val="20"/>
              </w:rPr>
              <w:t>1,0</w:t>
            </w:r>
          </w:p>
        </w:tc>
        <w:tc>
          <w:tcPr>
            <w:tcW w:w="1077" w:type="dxa"/>
            <w:shd w:val="clear" w:color="auto" w:fill="EBF5FB"/>
          </w:tcPr>
          <w:p w14:paraId="4DBBB53A" w14:textId="77777777" w:rsidR="008D22DB" w:rsidRPr="008D22DB" w:rsidRDefault="008D22DB" w:rsidP="008D22DB">
            <w:pPr>
              <w:jc w:val="center"/>
              <w:rPr>
                <w:color w:val="FF0000"/>
              </w:rPr>
            </w:pPr>
            <w:r w:rsidRPr="008D22DB">
              <w:rPr>
                <w:rFonts w:ascii="Times New Roman" w:hAnsi="Times New Roman"/>
                <w:color w:val="FF0000"/>
                <w:sz w:val="20"/>
              </w:rPr>
              <w:t>2,4</w:t>
            </w:r>
          </w:p>
        </w:tc>
        <w:tc>
          <w:tcPr>
            <w:tcW w:w="1077" w:type="dxa"/>
            <w:shd w:val="clear" w:color="auto" w:fill="EBF5FB"/>
          </w:tcPr>
          <w:p w14:paraId="352443BE" w14:textId="77777777" w:rsidR="008D22DB" w:rsidRPr="008D22DB" w:rsidRDefault="008D22DB" w:rsidP="008D22DB">
            <w:pPr>
              <w:jc w:val="center"/>
              <w:rPr>
                <w:color w:val="FF0000"/>
              </w:rPr>
            </w:pPr>
            <w:r w:rsidRPr="008D22DB">
              <w:rPr>
                <w:rFonts w:ascii="Times New Roman" w:hAnsi="Times New Roman"/>
                <w:color w:val="FF0000"/>
                <w:sz w:val="20"/>
              </w:rPr>
              <w:t>3,5</w:t>
            </w:r>
          </w:p>
        </w:tc>
        <w:tc>
          <w:tcPr>
            <w:tcW w:w="1077" w:type="dxa"/>
            <w:shd w:val="clear" w:color="auto" w:fill="EBF5FB"/>
          </w:tcPr>
          <w:p w14:paraId="4B47A96A" w14:textId="77777777" w:rsidR="008D22DB" w:rsidRPr="008D22DB" w:rsidRDefault="008D22DB" w:rsidP="008D22DB">
            <w:pPr>
              <w:jc w:val="center"/>
              <w:rPr>
                <w:color w:val="FF0000"/>
              </w:rPr>
            </w:pPr>
            <w:r w:rsidRPr="008D22DB">
              <w:rPr>
                <w:rFonts w:ascii="Times New Roman" w:hAnsi="Times New Roman"/>
                <w:color w:val="FF0000"/>
                <w:sz w:val="20"/>
              </w:rPr>
              <w:t>3,0</w:t>
            </w:r>
          </w:p>
        </w:tc>
      </w:tr>
      <w:tr w:rsidR="008D22DB" w:rsidRPr="008D22DB" w14:paraId="7C16AD9F" w14:textId="77777777" w:rsidTr="00640DD7">
        <w:trPr>
          <w:jc w:val="center"/>
        </w:trPr>
        <w:tc>
          <w:tcPr>
            <w:tcW w:w="3685" w:type="dxa"/>
            <w:shd w:val="clear" w:color="auto" w:fill="FFFFFF"/>
          </w:tcPr>
          <w:p w14:paraId="50BD990C" w14:textId="77777777" w:rsidR="008D22DB" w:rsidRPr="008D22DB" w:rsidRDefault="008D22DB" w:rsidP="008D22DB">
            <w:pPr>
              <w:rPr>
                <w:color w:val="FF0000"/>
              </w:rPr>
            </w:pPr>
            <w:r w:rsidRPr="008D22DB">
              <w:rPr>
                <w:rFonts w:ascii="Times New Roman" w:hAnsi="Times New Roman"/>
                <w:color w:val="FF0000"/>
                <w:sz w:val="20"/>
              </w:rPr>
              <w:t>Инвестиции, % ВВП</w:t>
            </w:r>
          </w:p>
        </w:tc>
        <w:tc>
          <w:tcPr>
            <w:tcW w:w="1077" w:type="dxa"/>
            <w:shd w:val="clear" w:color="auto" w:fill="FFFFFF"/>
          </w:tcPr>
          <w:p w14:paraId="14A553B4" w14:textId="77777777" w:rsidR="008D22DB" w:rsidRPr="008D22DB" w:rsidRDefault="008D22DB" w:rsidP="008D22DB">
            <w:pPr>
              <w:jc w:val="center"/>
              <w:rPr>
                <w:color w:val="FF0000"/>
              </w:rPr>
            </w:pPr>
            <w:r w:rsidRPr="008D22DB">
              <w:rPr>
                <w:rFonts w:ascii="Times New Roman" w:hAnsi="Times New Roman"/>
                <w:color w:val="FF0000"/>
                <w:sz w:val="20"/>
              </w:rPr>
              <w:t>14,1</w:t>
            </w:r>
          </w:p>
        </w:tc>
        <w:tc>
          <w:tcPr>
            <w:tcW w:w="1077" w:type="dxa"/>
            <w:shd w:val="clear" w:color="auto" w:fill="FFFFFF"/>
          </w:tcPr>
          <w:p w14:paraId="2588DAE9" w14:textId="77777777" w:rsidR="008D22DB" w:rsidRPr="008D22DB" w:rsidRDefault="008D22DB" w:rsidP="008D22DB">
            <w:pPr>
              <w:jc w:val="center"/>
              <w:rPr>
                <w:color w:val="FF0000"/>
              </w:rPr>
            </w:pPr>
            <w:r w:rsidRPr="008D22DB">
              <w:rPr>
                <w:rFonts w:ascii="Times New Roman" w:hAnsi="Times New Roman"/>
                <w:color w:val="FF0000"/>
                <w:sz w:val="20"/>
              </w:rPr>
              <w:t>18,9</w:t>
            </w:r>
          </w:p>
        </w:tc>
        <w:tc>
          <w:tcPr>
            <w:tcW w:w="1077" w:type="dxa"/>
            <w:shd w:val="clear" w:color="auto" w:fill="FFFFFF"/>
          </w:tcPr>
          <w:p w14:paraId="0E42F12B" w14:textId="77777777" w:rsidR="008D22DB" w:rsidRPr="008D22DB" w:rsidRDefault="008D22DB" w:rsidP="008D22DB">
            <w:pPr>
              <w:jc w:val="center"/>
              <w:rPr>
                <w:color w:val="FF0000"/>
              </w:rPr>
            </w:pPr>
            <w:r w:rsidRPr="008D22DB">
              <w:rPr>
                <w:rFonts w:ascii="Times New Roman" w:hAnsi="Times New Roman"/>
                <w:color w:val="FF0000"/>
                <w:sz w:val="20"/>
              </w:rPr>
              <w:t>19,8</w:t>
            </w:r>
          </w:p>
        </w:tc>
        <w:tc>
          <w:tcPr>
            <w:tcW w:w="1077" w:type="dxa"/>
            <w:shd w:val="clear" w:color="auto" w:fill="FFFFFF"/>
          </w:tcPr>
          <w:p w14:paraId="392AADE7" w14:textId="77777777" w:rsidR="008D22DB" w:rsidRPr="008D22DB" w:rsidRDefault="008D22DB" w:rsidP="008D22DB">
            <w:pPr>
              <w:jc w:val="center"/>
              <w:rPr>
                <w:color w:val="FF0000"/>
              </w:rPr>
            </w:pPr>
            <w:r w:rsidRPr="008D22DB">
              <w:rPr>
                <w:rFonts w:ascii="Times New Roman" w:hAnsi="Times New Roman"/>
                <w:color w:val="FF0000"/>
                <w:sz w:val="20"/>
              </w:rPr>
              <w:t>23,1</w:t>
            </w:r>
          </w:p>
        </w:tc>
        <w:tc>
          <w:tcPr>
            <w:tcW w:w="1077" w:type="dxa"/>
            <w:shd w:val="clear" w:color="auto" w:fill="FFFFFF"/>
          </w:tcPr>
          <w:p w14:paraId="355E41FF" w14:textId="77777777" w:rsidR="008D22DB" w:rsidRPr="008D22DB" w:rsidRDefault="008D22DB" w:rsidP="008D22DB">
            <w:pPr>
              <w:jc w:val="center"/>
              <w:rPr>
                <w:color w:val="FF0000"/>
              </w:rPr>
            </w:pPr>
            <w:r w:rsidRPr="008D22DB">
              <w:rPr>
                <w:rFonts w:ascii="Times New Roman" w:hAnsi="Times New Roman"/>
                <w:color w:val="FF0000"/>
                <w:sz w:val="20"/>
              </w:rPr>
              <w:t>23,7</w:t>
            </w:r>
          </w:p>
        </w:tc>
      </w:tr>
      <w:tr w:rsidR="008D22DB" w:rsidRPr="008D22DB" w14:paraId="64746842" w14:textId="77777777" w:rsidTr="00640DD7">
        <w:trPr>
          <w:jc w:val="center"/>
        </w:trPr>
        <w:tc>
          <w:tcPr>
            <w:tcW w:w="3685" w:type="dxa"/>
            <w:shd w:val="clear" w:color="auto" w:fill="EBF5FB"/>
          </w:tcPr>
          <w:p w14:paraId="0D0FB2BD" w14:textId="77777777" w:rsidR="008D22DB" w:rsidRPr="008D22DB" w:rsidRDefault="008D22DB" w:rsidP="008D22DB">
            <w:pPr>
              <w:rPr>
                <w:color w:val="FF0000"/>
              </w:rPr>
            </w:pPr>
            <w:r w:rsidRPr="008D22DB">
              <w:rPr>
                <w:rFonts w:ascii="Times New Roman" w:hAnsi="Times New Roman"/>
                <w:color w:val="FF0000"/>
                <w:sz w:val="20"/>
              </w:rPr>
              <w:t>Гос. долг, % ВВП</w:t>
            </w:r>
          </w:p>
        </w:tc>
        <w:tc>
          <w:tcPr>
            <w:tcW w:w="1077" w:type="dxa"/>
            <w:shd w:val="clear" w:color="auto" w:fill="EBF5FB"/>
          </w:tcPr>
          <w:p w14:paraId="2E48A772" w14:textId="77777777" w:rsidR="008D22DB" w:rsidRPr="008D22DB" w:rsidRDefault="008D22DB" w:rsidP="008D22DB">
            <w:pPr>
              <w:jc w:val="center"/>
              <w:rPr>
                <w:color w:val="FF0000"/>
              </w:rPr>
            </w:pPr>
            <w:r w:rsidRPr="008D22DB">
              <w:rPr>
                <w:rFonts w:ascii="Times New Roman" w:hAnsi="Times New Roman"/>
                <w:color w:val="FF0000"/>
                <w:sz w:val="20"/>
              </w:rPr>
              <w:t>69,0</w:t>
            </w:r>
          </w:p>
        </w:tc>
        <w:tc>
          <w:tcPr>
            <w:tcW w:w="1077" w:type="dxa"/>
            <w:shd w:val="clear" w:color="auto" w:fill="EBF5FB"/>
          </w:tcPr>
          <w:p w14:paraId="344C8F64" w14:textId="77777777" w:rsidR="008D22DB" w:rsidRPr="008D22DB" w:rsidRDefault="008D22DB" w:rsidP="008D22DB">
            <w:pPr>
              <w:jc w:val="center"/>
              <w:rPr>
                <w:color w:val="FF0000"/>
              </w:rPr>
            </w:pPr>
            <w:r w:rsidRPr="008D22DB">
              <w:rPr>
                <w:rFonts w:ascii="Times New Roman" w:hAnsi="Times New Roman"/>
                <w:color w:val="FF0000"/>
                <w:sz w:val="20"/>
              </w:rPr>
              <w:t>45,0</w:t>
            </w:r>
          </w:p>
        </w:tc>
        <w:tc>
          <w:tcPr>
            <w:tcW w:w="1077" w:type="dxa"/>
            <w:shd w:val="clear" w:color="auto" w:fill="EBF5FB"/>
          </w:tcPr>
          <w:p w14:paraId="7825B409" w14:textId="77777777" w:rsidR="008D22DB" w:rsidRPr="008D22DB" w:rsidRDefault="008D22DB" w:rsidP="008D22DB">
            <w:pPr>
              <w:jc w:val="center"/>
              <w:rPr>
                <w:color w:val="FF0000"/>
              </w:rPr>
            </w:pPr>
            <w:r w:rsidRPr="008D22DB">
              <w:rPr>
                <w:rFonts w:ascii="Times New Roman" w:hAnsi="Times New Roman"/>
                <w:color w:val="FF0000"/>
                <w:sz w:val="20"/>
              </w:rPr>
              <w:t>52,0</w:t>
            </w:r>
          </w:p>
        </w:tc>
        <w:tc>
          <w:tcPr>
            <w:tcW w:w="1077" w:type="dxa"/>
            <w:shd w:val="clear" w:color="auto" w:fill="EBF5FB"/>
          </w:tcPr>
          <w:p w14:paraId="5978ACC3" w14:textId="77777777" w:rsidR="008D22DB" w:rsidRPr="008D22DB" w:rsidRDefault="008D22DB" w:rsidP="008D22DB">
            <w:pPr>
              <w:jc w:val="center"/>
              <w:rPr>
                <w:color w:val="FF0000"/>
              </w:rPr>
            </w:pPr>
            <w:r w:rsidRPr="008D22DB">
              <w:rPr>
                <w:rFonts w:ascii="Times New Roman" w:hAnsi="Times New Roman"/>
                <w:color w:val="FF0000"/>
                <w:sz w:val="20"/>
              </w:rPr>
              <w:t>59,5</w:t>
            </w:r>
          </w:p>
        </w:tc>
        <w:tc>
          <w:tcPr>
            <w:tcW w:w="1077" w:type="dxa"/>
            <w:shd w:val="clear" w:color="auto" w:fill="EBF5FB"/>
          </w:tcPr>
          <w:p w14:paraId="05889979" w14:textId="77777777" w:rsidR="008D22DB" w:rsidRPr="008D22DB" w:rsidRDefault="008D22DB" w:rsidP="008D22DB">
            <w:pPr>
              <w:jc w:val="center"/>
              <w:rPr>
                <w:color w:val="FF0000"/>
              </w:rPr>
            </w:pPr>
            <w:r w:rsidRPr="008D22DB">
              <w:rPr>
                <w:rFonts w:ascii="Times New Roman" w:hAnsi="Times New Roman"/>
                <w:color w:val="FF0000"/>
                <w:sz w:val="20"/>
              </w:rPr>
              <w:t>57,0</w:t>
            </w:r>
          </w:p>
        </w:tc>
      </w:tr>
      <w:tr w:rsidR="008D22DB" w:rsidRPr="008D22DB" w14:paraId="020E92BF" w14:textId="77777777" w:rsidTr="00640DD7">
        <w:trPr>
          <w:jc w:val="center"/>
        </w:trPr>
        <w:tc>
          <w:tcPr>
            <w:tcW w:w="3685" w:type="dxa"/>
            <w:shd w:val="clear" w:color="auto" w:fill="FFFFFF"/>
          </w:tcPr>
          <w:p w14:paraId="60D099BF" w14:textId="77777777" w:rsidR="008D22DB" w:rsidRPr="008D22DB" w:rsidRDefault="008D22DB" w:rsidP="008D22DB">
            <w:pPr>
              <w:rPr>
                <w:color w:val="FF0000"/>
              </w:rPr>
            </w:pPr>
            <w:r w:rsidRPr="008D22DB">
              <w:rPr>
                <w:rFonts w:ascii="Times New Roman" w:hAnsi="Times New Roman"/>
                <w:color w:val="FF0000"/>
                <w:sz w:val="20"/>
              </w:rPr>
              <w:t>Доля сырьевого экспорта, % от всего экспорта</w:t>
            </w:r>
          </w:p>
        </w:tc>
        <w:tc>
          <w:tcPr>
            <w:tcW w:w="1077" w:type="dxa"/>
            <w:shd w:val="clear" w:color="auto" w:fill="FFFFFF"/>
          </w:tcPr>
          <w:p w14:paraId="3DA71233" w14:textId="77777777" w:rsidR="008D22DB" w:rsidRPr="008D22DB" w:rsidRDefault="008D22DB" w:rsidP="008D22DB">
            <w:pPr>
              <w:jc w:val="center"/>
              <w:rPr>
                <w:color w:val="FF0000"/>
              </w:rPr>
            </w:pPr>
            <w:r w:rsidRPr="008D22DB">
              <w:rPr>
                <w:rFonts w:ascii="Times New Roman" w:hAnsi="Times New Roman"/>
                <w:color w:val="FF0000"/>
                <w:sz w:val="20"/>
              </w:rPr>
              <w:t>52</w:t>
            </w:r>
          </w:p>
        </w:tc>
        <w:tc>
          <w:tcPr>
            <w:tcW w:w="1077" w:type="dxa"/>
            <w:shd w:val="clear" w:color="auto" w:fill="FFFFFF"/>
          </w:tcPr>
          <w:p w14:paraId="4D71F1E3" w14:textId="77777777" w:rsidR="008D22DB" w:rsidRPr="008D22DB" w:rsidRDefault="008D22DB" w:rsidP="008D22DB">
            <w:pPr>
              <w:jc w:val="center"/>
              <w:rPr>
                <w:color w:val="FF0000"/>
              </w:rPr>
            </w:pPr>
            <w:r w:rsidRPr="008D22DB">
              <w:rPr>
                <w:rFonts w:ascii="Times New Roman" w:hAnsi="Times New Roman"/>
                <w:color w:val="FF0000"/>
                <w:sz w:val="20"/>
              </w:rPr>
              <w:t>48</w:t>
            </w:r>
          </w:p>
        </w:tc>
        <w:tc>
          <w:tcPr>
            <w:tcW w:w="1077" w:type="dxa"/>
            <w:shd w:val="clear" w:color="auto" w:fill="FFFFFF"/>
          </w:tcPr>
          <w:p w14:paraId="2759769F" w14:textId="77777777" w:rsidR="008D22DB" w:rsidRPr="008D22DB" w:rsidRDefault="008D22DB" w:rsidP="008D22DB">
            <w:pPr>
              <w:jc w:val="center"/>
              <w:rPr>
                <w:color w:val="FF0000"/>
              </w:rPr>
            </w:pPr>
            <w:r w:rsidRPr="008D22DB">
              <w:rPr>
                <w:rFonts w:ascii="Times New Roman" w:hAnsi="Times New Roman"/>
                <w:color w:val="FF0000"/>
                <w:sz w:val="20"/>
              </w:rPr>
              <w:t>46</w:t>
            </w:r>
          </w:p>
        </w:tc>
        <w:tc>
          <w:tcPr>
            <w:tcW w:w="1077" w:type="dxa"/>
            <w:shd w:val="clear" w:color="auto" w:fill="FFFFFF"/>
          </w:tcPr>
          <w:p w14:paraId="2E286D7B" w14:textId="77777777" w:rsidR="008D22DB" w:rsidRPr="008D22DB" w:rsidRDefault="008D22DB" w:rsidP="008D22DB">
            <w:pPr>
              <w:jc w:val="center"/>
              <w:rPr>
                <w:color w:val="FF0000"/>
              </w:rPr>
            </w:pPr>
            <w:r w:rsidRPr="008D22DB">
              <w:rPr>
                <w:rFonts w:ascii="Times New Roman" w:hAnsi="Times New Roman"/>
                <w:color w:val="FF0000"/>
                <w:sz w:val="20"/>
              </w:rPr>
              <w:t>45</w:t>
            </w:r>
          </w:p>
        </w:tc>
        <w:tc>
          <w:tcPr>
            <w:tcW w:w="1077" w:type="dxa"/>
            <w:shd w:val="clear" w:color="auto" w:fill="FFFFFF"/>
          </w:tcPr>
          <w:p w14:paraId="5FFCD89B" w14:textId="77777777" w:rsidR="008D22DB" w:rsidRPr="008D22DB" w:rsidRDefault="008D22DB" w:rsidP="008D22DB">
            <w:pPr>
              <w:jc w:val="center"/>
              <w:rPr>
                <w:color w:val="FF0000"/>
              </w:rPr>
            </w:pPr>
            <w:r w:rsidRPr="008D22DB">
              <w:rPr>
                <w:rFonts w:ascii="Times New Roman" w:hAnsi="Times New Roman"/>
                <w:color w:val="FF0000"/>
                <w:sz w:val="20"/>
              </w:rPr>
              <w:t>44</w:t>
            </w:r>
          </w:p>
        </w:tc>
      </w:tr>
    </w:tbl>
    <w:p w14:paraId="0420541A" w14:textId="77777777" w:rsidR="008D22DB" w:rsidRPr="008D22DB" w:rsidRDefault="008D22DB" w:rsidP="008D22DB">
      <w:pPr>
        <w:spacing w:line="259" w:lineRule="auto"/>
        <w:rPr>
          <w:color w:val="FF0000"/>
          <w:kern w:val="0"/>
          <w:sz w:val="22"/>
          <w:szCs w:val="22"/>
          <w14:ligatures w14:val="none"/>
        </w:rPr>
      </w:pPr>
    </w:p>
    <w:p w14:paraId="67470B17" w14:textId="77777777" w:rsidR="008D22DB" w:rsidRPr="008D22DB" w:rsidRDefault="008D22DB" w:rsidP="008D22DB">
      <w:pPr>
        <w:spacing w:after="0" w:line="440" w:lineRule="exact"/>
        <w:jc w:val="both"/>
        <w:rPr>
          <w:color w:val="FF0000"/>
          <w:kern w:val="0"/>
          <w:sz w:val="22"/>
          <w:szCs w:val="22"/>
          <w14:ligatures w14:val="none"/>
        </w:rPr>
      </w:pPr>
      <w:r w:rsidRPr="008D22DB">
        <w:rPr>
          <w:rFonts w:ascii="Times New Roman" w:hAnsi="Times New Roman"/>
          <w:color w:val="FF0000"/>
          <w:kern w:val="0"/>
          <w:sz w:val="28"/>
          <w:szCs w:val="22"/>
          <w14:ligatures w14:val="none"/>
        </w:rPr>
        <w:t>*прогнозные данные.</w:t>
      </w:r>
      <w:r w:rsidRPr="008D22DB">
        <w:rPr>
          <w:rFonts w:ascii="Times New Roman" w:hAnsi="Times New Roman"/>
          <w:color w:val="FF0000"/>
          <w:kern w:val="0"/>
          <w:sz w:val="28"/>
          <w:szCs w:val="22"/>
          <w14:ligatures w14:val="none"/>
        </w:rPr>
        <w:br/>
        <w:t>Источник: Министерство экономики и финансов Кот-д'Ивуара [7]; Африканский банк развития [11].</w:t>
      </w:r>
    </w:p>
    <w:p w14:paraId="2B81512E" w14:textId="77777777" w:rsidR="008D22DB" w:rsidRPr="008D22DB" w:rsidRDefault="008D22DB" w:rsidP="008D22D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B0F0"/>
          <w:kern w:val="0"/>
          <w:sz w:val="28"/>
          <w:szCs w:val="28"/>
          <w14:ligatures w14:val="none"/>
        </w:rPr>
      </w:pPr>
    </w:p>
    <w:p w14:paraId="1B14287B" w14:textId="77777777" w:rsidR="008D22DB" w:rsidRPr="008D22DB" w:rsidRDefault="008D22DB" w:rsidP="008D22D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B0F0"/>
          <w:kern w:val="0"/>
          <w:sz w:val="28"/>
          <w:szCs w:val="28"/>
          <w14:ligatures w14:val="none"/>
        </w:rPr>
      </w:pPr>
      <w:r w:rsidRPr="008D22DB">
        <w:rPr>
          <w:rFonts w:ascii="Times New Roman" w:eastAsia="Times New Roman" w:hAnsi="Times New Roman" w:cs="Times New Roman"/>
          <w:color w:val="00B0F0"/>
          <w:kern w:val="0"/>
          <w:sz w:val="28"/>
          <w:szCs w:val="28"/>
          <w14:ligatures w14:val="none"/>
        </w:rPr>
        <w:t xml:space="preserve">Все что ниже относится устойчивому развитию, старая информация </w:t>
      </w:r>
      <w:r w:rsidRPr="008D22DB">
        <w:rPr>
          <w:rFonts w:ascii="Times New Roman" w:eastAsia="Times New Roman" w:hAnsi="Times New Roman" w:cs="Times New Roman"/>
          <w:color w:val="00B0F0"/>
          <w:kern w:val="0"/>
          <w:sz w:val="28"/>
          <w:szCs w:val="28"/>
          <w14:ligatures w14:val="none"/>
        </w:rPr>
        <w:lastRenderedPageBreak/>
        <w:t>(желтым иже). Ее хотела заменить на  эти (красным ниже), что соответствует предложениям п. 1.4, но эти данные в динамике хотя бы 2020-2024 вряд ли найдутся:</w:t>
      </w:r>
    </w:p>
    <w:p w14:paraId="6F61B732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t xml:space="preserve">    Инновационная активность предприятий:</w:t>
      </w:r>
    </w:p>
    <w:p w14:paraId="12BDE211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t xml:space="preserve">    – доля предприятий, внедряющих новые продукты и процессы;</w:t>
      </w:r>
    </w:p>
    <w:p w14:paraId="1996650B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t xml:space="preserve">    – расходы на НИОКР (при наличии данных);</w:t>
      </w:r>
    </w:p>
    <w:p w14:paraId="39AF19AF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t xml:space="preserve">    – развитие предпринимательства в технологически ориентированных секторах.</w:t>
      </w:r>
    </w:p>
    <w:p w14:paraId="0D791B61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t xml:space="preserve">    Цифровая трансформация экономики:</w:t>
      </w:r>
    </w:p>
    <w:p w14:paraId="7A1C12AE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t xml:space="preserve">    – уровень интернет-проникновения;</w:t>
      </w:r>
    </w:p>
    <w:p w14:paraId="22059121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t xml:space="preserve">    – распространенность мобильных финансовых сервисов;</w:t>
      </w:r>
    </w:p>
    <w:p w14:paraId="4A9D5277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t xml:space="preserve">    – цифровизация платежей и электронная коммерция.</w:t>
      </w:r>
    </w:p>
    <w:p w14:paraId="107170E8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t xml:space="preserve">    Доступ к финансированию инноваций:</w:t>
      </w:r>
    </w:p>
    <w:p w14:paraId="6B05274E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t xml:space="preserve">    – объем кредитования МСП;</w:t>
      </w:r>
    </w:p>
    <w:p w14:paraId="3FC1CFED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t xml:space="preserve">    – развитие микрофинансовых инструментов;</w:t>
      </w:r>
    </w:p>
    <w:p w14:paraId="095282DB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t xml:space="preserve">    – приток прямых иностранных инвестиций в инновационно ориентированные сектора.</w:t>
      </w:r>
    </w:p>
    <w:p w14:paraId="3D72B12C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t xml:space="preserve">    Внешнеэкономическая активность:</w:t>
      </w:r>
    </w:p>
    <w:p w14:paraId="7403C5DD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t xml:space="preserve">    – диверсификация экспорта;</w:t>
      </w:r>
    </w:p>
    <w:p w14:paraId="4FCAAA2B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t xml:space="preserve">    – доля переработанной продукции;</w:t>
      </w:r>
    </w:p>
    <w:p w14:paraId="2CEF0944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t xml:space="preserve">    – участие в региональных и глобальных цепочках создания стоимости.</w:t>
      </w:r>
    </w:p>
    <w:p w14:paraId="694340C7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t>Данные показатели используются как наблюдаемые переменные для индикаторного анализа и последующего причинно-структурного моделирования.</w:t>
      </w:r>
    </w:p>
    <w:p w14:paraId="541912A5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t>Инклюзивное измерение направлено на оценку степени вовлеченности экономических агентов и территорий в процессы экономического роста и инновационного развития. В рамках исследования инклюзивность рассматривается через следующие блоки.</w:t>
      </w:r>
    </w:p>
    <w:p w14:paraId="60ED238C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t xml:space="preserve">    Экономическая включенность населения и МСП:</w:t>
      </w:r>
    </w:p>
    <w:p w14:paraId="0479A960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t xml:space="preserve">    – уровень занятости;</w:t>
      </w:r>
    </w:p>
    <w:p w14:paraId="4A63707C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lastRenderedPageBreak/>
        <w:t xml:space="preserve">    – доля самозанятых и микропредприятий;</w:t>
      </w:r>
    </w:p>
    <w:p w14:paraId="63DF301E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t xml:space="preserve">    – доступ к финансовым услугам;</w:t>
      </w:r>
    </w:p>
    <w:p w14:paraId="0445DE65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t xml:space="preserve">    – формализация хозяйственной деятельности.</w:t>
      </w:r>
    </w:p>
    <w:p w14:paraId="077186F6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t xml:space="preserve">    Региональная вовлеченность:</w:t>
      </w:r>
    </w:p>
    <w:p w14:paraId="29533CAC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t xml:space="preserve">    – различия в уровне доходов между регионами;</w:t>
      </w:r>
    </w:p>
    <w:p w14:paraId="794B59E3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t xml:space="preserve">    – территориальная концентрация экономической активности;</w:t>
      </w:r>
    </w:p>
    <w:p w14:paraId="5AC45DA3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t xml:space="preserve">    – доступ к инфраструктуре.</w:t>
      </w:r>
    </w:p>
    <w:p w14:paraId="3A491FF0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t xml:space="preserve">    Социальная устойчивость развития:</w:t>
      </w:r>
    </w:p>
    <w:p w14:paraId="225B1F58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t xml:space="preserve">    – уровень бедности;</w:t>
      </w:r>
    </w:p>
    <w:p w14:paraId="1CCE2EB0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t xml:space="preserve">    – доступ к образованию и цифровым услугам;</w:t>
      </w:r>
    </w:p>
    <w:p w14:paraId="2CE1E6DD" w14:textId="77777777" w:rsidR="008D22DB" w:rsidRPr="008D22DB" w:rsidRDefault="008D22DB" w:rsidP="008D22D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t xml:space="preserve">    – показатели гендерной и молодежной вовлеченности.</w:t>
      </w:r>
    </w:p>
    <w:p w14:paraId="7162665A" w14:textId="77777777" w:rsidR="008D22DB" w:rsidRPr="008D22DB" w:rsidRDefault="008D22DB" w:rsidP="008D22DB">
      <w:pPr>
        <w:widowControl w:val="0"/>
        <w:shd w:val="clear" w:color="auto" w:fill="FFFFFF"/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</w:pPr>
      <w:r w:rsidRPr="008D22DB">
        <w:rPr>
          <w:rFonts w:ascii="Times New Roman" w:eastAsiaTheme="majorEastAsia" w:hAnsi="Times New Roman" w:cs="Times New Roman"/>
          <w:color w:val="FF0000"/>
          <w:kern w:val="0"/>
          <w:sz w:val="28"/>
          <w:szCs w:val="28"/>
          <w14:ligatures w14:val="none"/>
        </w:rPr>
        <w:t>Особое внимание уделяется показателям финансовой и цифровой инклюзии, которые в условиях развивающихся стран выступают связующим звеном между инновационной активностью и социально-экономическими результатами.</w:t>
      </w:r>
    </w:p>
    <w:p w14:paraId="66FD8221" w14:textId="77777777" w:rsidR="008D22DB" w:rsidRPr="008D22DB" w:rsidRDefault="008D22DB" w:rsidP="008D22D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B0F0"/>
          <w:kern w:val="0"/>
          <w:sz w:val="28"/>
          <w:szCs w:val="28"/>
          <w14:ligatures w14:val="none"/>
        </w:rPr>
      </w:pPr>
    </w:p>
    <w:p w14:paraId="26761A82" w14:textId="77777777" w:rsidR="008D22DB" w:rsidRPr="008D22DB" w:rsidRDefault="008D22DB" w:rsidP="008D22D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14:ligatures w14:val="none"/>
        </w:rPr>
      </w:pPr>
      <w:r w:rsidRPr="008D22DB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14:ligatures w14:val="none"/>
        </w:rPr>
        <w:t>Точно так же сторонники транснационального управления утверждают, что коалиция и сотрудничество между государственными органами, бизнес-актерами и гражданским обществом повысят вероятность того, что они останутся в «безопасном рабочем пространстве для человечества», поскольку ожидаются новые механизмы сотрудничества. Требуется разработать более эффективные, действенные и инклюзивные меры реагирования на глобальные политические проблемы в соответствии с целями Повестки дня на период до 2030 года и Повестки дня на период до 2063 года.</w:t>
      </w:r>
    </w:p>
    <w:p w14:paraId="1BE3C3FF" w14:textId="77777777" w:rsidR="008D22DB" w:rsidRPr="008D22DB" w:rsidRDefault="008D22DB" w:rsidP="008D22DB">
      <w:pPr>
        <w:spacing w:after="0" w:line="360" w:lineRule="auto"/>
        <w:ind w:firstLine="708"/>
        <w:jc w:val="both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t xml:space="preserve">Актуальность данных выводов подтверждается данными, характеризующими доступ населения к чистым видам топлива и электроэнергии в Республике Кот-д’Ивуар. За последние 10 лет сельское население не получило доступ к качественной инфраструктуре водоснабжения и канализации, данный показатель остался на минимальном уровне 1,4 %, доступ к электричеству вырос с 34,3 % в 2013 году до 43,1 % в 2021 году. Если </w:t>
      </w:r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lastRenderedPageBreak/>
        <w:t>учесть, что почти 95 % городского населения имеет доступ к электричеству, а к коммунальным услугам 62,2 %, то можно сделать вывод о том, что разрыв в достижении ЦУР между урбанизированными и сельскими районами в Республике Кот-д’Ивуар растет (таблица 2.14).</w:t>
      </w:r>
    </w:p>
    <w:p w14:paraId="0BE2CE27" w14:textId="77777777" w:rsidR="008D22DB" w:rsidRPr="008D22DB" w:rsidRDefault="008D22DB" w:rsidP="008D22DB">
      <w:pPr>
        <w:spacing w:after="0" w:line="360" w:lineRule="auto"/>
        <w:ind w:firstLine="708"/>
        <w:jc w:val="both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</w:p>
    <w:p w14:paraId="170B70B5" w14:textId="77777777" w:rsidR="008D22DB" w:rsidRPr="008D22DB" w:rsidRDefault="008D22DB" w:rsidP="008D22DB">
      <w:pPr>
        <w:spacing w:after="0" w:line="360" w:lineRule="auto"/>
        <w:ind w:firstLine="708"/>
        <w:jc w:val="both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t xml:space="preserve">Таблица 2.14 – Динамика показателей, характеризующих </w:t>
      </w:r>
      <w:bookmarkStart w:id="5" w:name="_Hlk137629815"/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t xml:space="preserve">доступ населения к чистым видам топлива и электроэнергии в Республике </w:t>
      </w:r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br/>
        <w:t>Кот-д’Ивуар</w:t>
      </w:r>
      <w:bookmarkEnd w:id="5"/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t>, % населения Источник: составлено автором по: [178, 188]</w:t>
      </w:r>
    </w:p>
    <w:tbl>
      <w:tblPr>
        <w:tblW w:w="96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5"/>
        <w:gridCol w:w="960"/>
        <w:gridCol w:w="960"/>
        <w:gridCol w:w="960"/>
        <w:gridCol w:w="960"/>
        <w:gridCol w:w="960"/>
      </w:tblGrid>
      <w:tr w:rsidR="008D22DB" w:rsidRPr="008D22DB" w14:paraId="61629A94" w14:textId="77777777" w:rsidTr="00640DD7">
        <w:trPr>
          <w:trHeight w:val="300"/>
        </w:trPr>
        <w:tc>
          <w:tcPr>
            <w:tcW w:w="4815" w:type="dxa"/>
            <w:noWrap/>
            <w:vAlign w:val="bottom"/>
            <w:hideMark/>
          </w:tcPr>
          <w:p w14:paraId="2CEF8E9F" w14:textId="77777777" w:rsidR="008D22DB" w:rsidRPr="008D22DB" w:rsidRDefault="008D22DB" w:rsidP="008D22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Показатель</w:t>
            </w:r>
          </w:p>
        </w:tc>
        <w:tc>
          <w:tcPr>
            <w:tcW w:w="960" w:type="dxa"/>
            <w:noWrap/>
            <w:vAlign w:val="center"/>
            <w:hideMark/>
          </w:tcPr>
          <w:p w14:paraId="7D3F2C72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2013 г.</w:t>
            </w:r>
          </w:p>
        </w:tc>
        <w:tc>
          <w:tcPr>
            <w:tcW w:w="960" w:type="dxa"/>
            <w:noWrap/>
            <w:vAlign w:val="center"/>
            <w:hideMark/>
          </w:tcPr>
          <w:p w14:paraId="7B990493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2015 г.</w:t>
            </w:r>
          </w:p>
        </w:tc>
        <w:tc>
          <w:tcPr>
            <w:tcW w:w="960" w:type="dxa"/>
            <w:noWrap/>
            <w:vAlign w:val="center"/>
            <w:hideMark/>
          </w:tcPr>
          <w:p w14:paraId="385182A6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2017 г.</w:t>
            </w:r>
          </w:p>
        </w:tc>
        <w:tc>
          <w:tcPr>
            <w:tcW w:w="960" w:type="dxa"/>
            <w:noWrap/>
            <w:vAlign w:val="center"/>
            <w:hideMark/>
          </w:tcPr>
          <w:p w14:paraId="2A0DEEE7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2019 г.</w:t>
            </w:r>
          </w:p>
        </w:tc>
        <w:tc>
          <w:tcPr>
            <w:tcW w:w="960" w:type="dxa"/>
            <w:noWrap/>
            <w:vAlign w:val="center"/>
            <w:hideMark/>
          </w:tcPr>
          <w:p w14:paraId="7392CA2A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2021 г.</w:t>
            </w:r>
          </w:p>
        </w:tc>
      </w:tr>
      <w:tr w:rsidR="008D22DB" w:rsidRPr="008D22DB" w14:paraId="0336599F" w14:textId="77777777" w:rsidTr="00640DD7">
        <w:trPr>
          <w:trHeight w:val="615"/>
        </w:trPr>
        <w:tc>
          <w:tcPr>
            <w:tcW w:w="4815" w:type="dxa"/>
            <w:shd w:val="clear" w:color="000000" w:fill="FFFFFF"/>
            <w:vAlign w:val="center"/>
            <w:hideMark/>
          </w:tcPr>
          <w:p w14:paraId="1ED0FA35" w14:textId="77777777" w:rsidR="008D22DB" w:rsidRPr="008D22DB" w:rsidRDefault="008D22DB" w:rsidP="008D22DB">
            <w:pPr>
              <w:spacing w:after="0" w:line="240" w:lineRule="auto"/>
              <w:ind w:right="-105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 xml:space="preserve">Доступ к чистым видам топлива и технологиям для приготовления пищи, всего </w:t>
            </w:r>
          </w:p>
        </w:tc>
        <w:tc>
          <w:tcPr>
            <w:tcW w:w="960" w:type="dxa"/>
            <w:shd w:val="clear" w:color="000000" w:fill="FFFFFF"/>
            <w:noWrap/>
            <w:vAlign w:val="center"/>
            <w:hideMark/>
          </w:tcPr>
          <w:p w14:paraId="521B7FF2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20,60</w:t>
            </w:r>
          </w:p>
        </w:tc>
        <w:tc>
          <w:tcPr>
            <w:tcW w:w="960" w:type="dxa"/>
            <w:shd w:val="clear" w:color="000000" w:fill="FFFFFF"/>
            <w:noWrap/>
            <w:vAlign w:val="center"/>
            <w:hideMark/>
          </w:tcPr>
          <w:p w14:paraId="040845B4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23,10</w:t>
            </w:r>
          </w:p>
        </w:tc>
        <w:tc>
          <w:tcPr>
            <w:tcW w:w="960" w:type="dxa"/>
            <w:shd w:val="clear" w:color="000000" w:fill="FFFFFF"/>
            <w:noWrap/>
            <w:vAlign w:val="center"/>
            <w:hideMark/>
          </w:tcPr>
          <w:p w14:paraId="4C66B540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26,55</w:t>
            </w:r>
          </w:p>
        </w:tc>
        <w:tc>
          <w:tcPr>
            <w:tcW w:w="960" w:type="dxa"/>
            <w:shd w:val="clear" w:color="000000" w:fill="FFFFFF"/>
            <w:noWrap/>
            <w:vAlign w:val="center"/>
            <w:hideMark/>
          </w:tcPr>
          <w:p w14:paraId="1B442E32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30,30</w:t>
            </w:r>
          </w:p>
        </w:tc>
        <w:tc>
          <w:tcPr>
            <w:tcW w:w="960" w:type="dxa"/>
            <w:shd w:val="clear" w:color="000000" w:fill="FFFFFF"/>
            <w:noWrap/>
            <w:vAlign w:val="center"/>
            <w:hideMark/>
          </w:tcPr>
          <w:p w14:paraId="21ACF4C1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31,80</w:t>
            </w:r>
          </w:p>
        </w:tc>
      </w:tr>
      <w:tr w:rsidR="008D22DB" w:rsidRPr="008D22DB" w14:paraId="00EE7FAC" w14:textId="77777777" w:rsidTr="00640DD7">
        <w:trPr>
          <w:trHeight w:val="531"/>
        </w:trPr>
        <w:tc>
          <w:tcPr>
            <w:tcW w:w="4815" w:type="dxa"/>
            <w:shd w:val="clear" w:color="000000" w:fill="FFFFFF"/>
            <w:vAlign w:val="center"/>
            <w:hideMark/>
          </w:tcPr>
          <w:p w14:paraId="5718E381" w14:textId="77777777" w:rsidR="008D22DB" w:rsidRPr="008D22DB" w:rsidRDefault="008D22DB" w:rsidP="008D22DB">
            <w:pPr>
              <w:spacing w:after="0" w:line="240" w:lineRule="auto"/>
              <w:ind w:right="-105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 xml:space="preserve">Доступ к чистым видам топлива и технологиям, сельское население </w:t>
            </w:r>
          </w:p>
        </w:tc>
        <w:tc>
          <w:tcPr>
            <w:tcW w:w="960" w:type="dxa"/>
            <w:shd w:val="clear" w:color="000000" w:fill="FFFFFF"/>
            <w:noWrap/>
            <w:vAlign w:val="center"/>
            <w:hideMark/>
          </w:tcPr>
          <w:p w14:paraId="70DCB549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1,40</w:t>
            </w:r>
          </w:p>
        </w:tc>
        <w:tc>
          <w:tcPr>
            <w:tcW w:w="960" w:type="dxa"/>
            <w:shd w:val="clear" w:color="000000" w:fill="FFFFFF"/>
            <w:noWrap/>
            <w:vAlign w:val="center"/>
            <w:hideMark/>
          </w:tcPr>
          <w:p w14:paraId="5E23B82A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1,30</w:t>
            </w:r>
          </w:p>
        </w:tc>
        <w:tc>
          <w:tcPr>
            <w:tcW w:w="960" w:type="dxa"/>
            <w:shd w:val="clear" w:color="000000" w:fill="FFFFFF"/>
            <w:noWrap/>
            <w:vAlign w:val="center"/>
            <w:hideMark/>
          </w:tcPr>
          <w:p w14:paraId="1B5D0CD6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1,35</w:t>
            </w:r>
          </w:p>
        </w:tc>
        <w:tc>
          <w:tcPr>
            <w:tcW w:w="960" w:type="dxa"/>
            <w:shd w:val="clear" w:color="000000" w:fill="FFFFFF"/>
            <w:noWrap/>
            <w:vAlign w:val="center"/>
            <w:hideMark/>
          </w:tcPr>
          <w:p w14:paraId="5BC21E98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1,40</w:t>
            </w:r>
          </w:p>
        </w:tc>
        <w:tc>
          <w:tcPr>
            <w:tcW w:w="960" w:type="dxa"/>
            <w:shd w:val="clear" w:color="000000" w:fill="FFFFFF"/>
            <w:noWrap/>
            <w:vAlign w:val="center"/>
            <w:hideMark/>
          </w:tcPr>
          <w:p w14:paraId="411C978B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1,40</w:t>
            </w:r>
          </w:p>
        </w:tc>
      </w:tr>
      <w:tr w:rsidR="008D22DB" w:rsidRPr="008D22DB" w14:paraId="1E234F95" w14:textId="77777777" w:rsidTr="00640DD7">
        <w:trPr>
          <w:trHeight w:val="525"/>
        </w:trPr>
        <w:tc>
          <w:tcPr>
            <w:tcW w:w="4815" w:type="dxa"/>
            <w:shd w:val="clear" w:color="000000" w:fill="FFFFFF"/>
            <w:vAlign w:val="center"/>
            <w:hideMark/>
          </w:tcPr>
          <w:p w14:paraId="58A4AA99" w14:textId="77777777" w:rsidR="008D22DB" w:rsidRPr="008D22DB" w:rsidRDefault="008D22DB" w:rsidP="008D22DB">
            <w:pPr>
              <w:spacing w:after="0" w:line="240" w:lineRule="auto"/>
              <w:ind w:right="-105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 xml:space="preserve">Доступ к чистым видам топлива и технологиям, городское население </w:t>
            </w:r>
          </w:p>
        </w:tc>
        <w:tc>
          <w:tcPr>
            <w:tcW w:w="960" w:type="dxa"/>
            <w:shd w:val="clear" w:color="000000" w:fill="FFFFFF"/>
            <w:noWrap/>
            <w:vAlign w:val="center"/>
            <w:hideMark/>
          </w:tcPr>
          <w:p w14:paraId="40318381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41,25</w:t>
            </w:r>
          </w:p>
        </w:tc>
        <w:tc>
          <w:tcPr>
            <w:tcW w:w="960" w:type="dxa"/>
            <w:shd w:val="clear" w:color="000000" w:fill="FFFFFF"/>
            <w:noWrap/>
            <w:vAlign w:val="center"/>
            <w:hideMark/>
          </w:tcPr>
          <w:p w14:paraId="468EBB96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46,70</w:t>
            </w:r>
          </w:p>
        </w:tc>
        <w:tc>
          <w:tcPr>
            <w:tcW w:w="960" w:type="dxa"/>
            <w:shd w:val="clear" w:color="000000" w:fill="FFFFFF"/>
            <w:noWrap/>
            <w:vAlign w:val="center"/>
            <w:hideMark/>
          </w:tcPr>
          <w:p w14:paraId="6CBF4D85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52,60</w:t>
            </w:r>
          </w:p>
        </w:tc>
        <w:tc>
          <w:tcPr>
            <w:tcW w:w="960" w:type="dxa"/>
            <w:shd w:val="clear" w:color="000000" w:fill="FFFFFF"/>
            <w:noWrap/>
            <w:vAlign w:val="center"/>
            <w:hideMark/>
          </w:tcPr>
          <w:p w14:paraId="020DD3F7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58,90</w:t>
            </w:r>
          </w:p>
        </w:tc>
        <w:tc>
          <w:tcPr>
            <w:tcW w:w="960" w:type="dxa"/>
            <w:shd w:val="clear" w:color="000000" w:fill="FFFFFF"/>
            <w:noWrap/>
            <w:vAlign w:val="center"/>
            <w:hideMark/>
          </w:tcPr>
          <w:p w14:paraId="67896CE4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62,20</w:t>
            </w:r>
          </w:p>
        </w:tc>
      </w:tr>
      <w:tr w:rsidR="008D22DB" w:rsidRPr="008D22DB" w14:paraId="5F5B1B8C" w14:textId="77777777" w:rsidTr="00640DD7">
        <w:trPr>
          <w:trHeight w:val="315"/>
        </w:trPr>
        <w:tc>
          <w:tcPr>
            <w:tcW w:w="4815" w:type="dxa"/>
            <w:shd w:val="clear" w:color="000000" w:fill="FFFFFF"/>
            <w:vAlign w:val="center"/>
            <w:hideMark/>
          </w:tcPr>
          <w:p w14:paraId="4BB0CF0F" w14:textId="77777777" w:rsidR="008D22DB" w:rsidRPr="008D22DB" w:rsidRDefault="008D22DB" w:rsidP="008D22DB">
            <w:pPr>
              <w:spacing w:after="0" w:line="240" w:lineRule="auto"/>
              <w:ind w:right="-105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val="en-US" w:eastAsia="ru-RU"/>
                <w14:ligatures w14:val="none"/>
              </w:rPr>
              <w:t>Доступ</w:t>
            </w: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 xml:space="preserve"> </w:t>
            </w: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val="en-US" w:eastAsia="ru-RU"/>
                <w14:ligatures w14:val="none"/>
              </w:rPr>
              <w:t>к электричеству</w:t>
            </w: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, всего</w:t>
            </w: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val="en-US" w:eastAsia="ru-RU"/>
                <w14:ligatures w14:val="none"/>
              </w:rPr>
              <w:t xml:space="preserve"> </w:t>
            </w:r>
          </w:p>
        </w:tc>
        <w:tc>
          <w:tcPr>
            <w:tcW w:w="960" w:type="dxa"/>
            <w:shd w:val="clear" w:color="000000" w:fill="FFFFFF"/>
            <w:noWrap/>
            <w:vAlign w:val="center"/>
            <w:hideMark/>
          </w:tcPr>
          <w:p w14:paraId="59045AAC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61,36</w:t>
            </w:r>
          </w:p>
        </w:tc>
        <w:tc>
          <w:tcPr>
            <w:tcW w:w="960" w:type="dxa"/>
            <w:shd w:val="clear" w:color="000000" w:fill="FFFFFF"/>
            <w:noWrap/>
            <w:vAlign w:val="center"/>
            <w:hideMark/>
          </w:tcPr>
          <w:p w14:paraId="17176BBA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62,60</w:t>
            </w:r>
          </w:p>
        </w:tc>
        <w:tc>
          <w:tcPr>
            <w:tcW w:w="960" w:type="dxa"/>
            <w:shd w:val="clear" w:color="000000" w:fill="FFFFFF"/>
            <w:noWrap/>
            <w:vAlign w:val="center"/>
            <w:hideMark/>
          </w:tcPr>
          <w:p w14:paraId="788C7FFB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65,60</w:t>
            </w:r>
          </w:p>
        </w:tc>
        <w:tc>
          <w:tcPr>
            <w:tcW w:w="960" w:type="dxa"/>
            <w:shd w:val="clear" w:color="000000" w:fill="FFFFFF"/>
            <w:noWrap/>
            <w:vAlign w:val="center"/>
            <w:hideMark/>
          </w:tcPr>
          <w:p w14:paraId="4116AFFA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68,46</w:t>
            </w:r>
          </w:p>
        </w:tc>
        <w:tc>
          <w:tcPr>
            <w:tcW w:w="960" w:type="dxa"/>
            <w:shd w:val="clear" w:color="000000" w:fill="FFFFFF"/>
            <w:noWrap/>
            <w:vAlign w:val="center"/>
            <w:hideMark/>
          </w:tcPr>
          <w:p w14:paraId="1E69E3F6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69,68</w:t>
            </w:r>
          </w:p>
        </w:tc>
      </w:tr>
      <w:tr w:rsidR="008D22DB" w:rsidRPr="008D22DB" w14:paraId="64EE20E6" w14:textId="77777777" w:rsidTr="00640DD7">
        <w:trPr>
          <w:trHeight w:val="395"/>
        </w:trPr>
        <w:tc>
          <w:tcPr>
            <w:tcW w:w="4815" w:type="dxa"/>
            <w:shd w:val="clear" w:color="000000" w:fill="FFFFFF"/>
            <w:vAlign w:val="center"/>
            <w:hideMark/>
          </w:tcPr>
          <w:p w14:paraId="453CB921" w14:textId="77777777" w:rsidR="008D22DB" w:rsidRPr="008D22DB" w:rsidRDefault="008D22DB" w:rsidP="008D22DB">
            <w:pPr>
              <w:spacing w:after="0" w:line="240" w:lineRule="auto"/>
              <w:ind w:right="-105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 xml:space="preserve">Доступ к электричеству, сельское население </w:t>
            </w:r>
          </w:p>
        </w:tc>
        <w:tc>
          <w:tcPr>
            <w:tcW w:w="960" w:type="dxa"/>
            <w:shd w:val="clear" w:color="000000" w:fill="FFFFFF"/>
            <w:noWrap/>
            <w:vAlign w:val="center"/>
            <w:hideMark/>
          </w:tcPr>
          <w:p w14:paraId="4596F6B6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34,32</w:t>
            </w:r>
          </w:p>
        </w:tc>
        <w:tc>
          <w:tcPr>
            <w:tcW w:w="960" w:type="dxa"/>
            <w:shd w:val="clear" w:color="000000" w:fill="FFFFFF"/>
            <w:noWrap/>
            <w:vAlign w:val="center"/>
            <w:hideMark/>
          </w:tcPr>
          <w:p w14:paraId="4B838825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39,23</w:t>
            </w:r>
          </w:p>
        </w:tc>
        <w:tc>
          <w:tcPr>
            <w:tcW w:w="960" w:type="dxa"/>
            <w:shd w:val="clear" w:color="000000" w:fill="FFFFFF"/>
            <w:noWrap/>
            <w:vAlign w:val="center"/>
            <w:hideMark/>
          </w:tcPr>
          <w:p w14:paraId="100AE017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38,28</w:t>
            </w:r>
          </w:p>
        </w:tc>
        <w:tc>
          <w:tcPr>
            <w:tcW w:w="960" w:type="dxa"/>
            <w:shd w:val="clear" w:color="000000" w:fill="FFFFFF"/>
            <w:noWrap/>
            <w:vAlign w:val="center"/>
            <w:hideMark/>
          </w:tcPr>
          <w:p w14:paraId="0C43945F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41,79</w:t>
            </w:r>
          </w:p>
        </w:tc>
        <w:tc>
          <w:tcPr>
            <w:tcW w:w="960" w:type="dxa"/>
            <w:shd w:val="clear" w:color="000000" w:fill="FFFFFF"/>
            <w:noWrap/>
            <w:vAlign w:val="center"/>
            <w:hideMark/>
          </w:tcPr>
          <w:p w14:paraId="179FB4F7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43,14</w:t>
            </w:r>
          </w:p>
        </w:tc>
      </w:tr>
      <w:tr w:rsidR="008D22DB" w:rsidRPr="008D22DB" w14:paraId="7C0519E8" w14:textId="77777777" w:rsidTr="00640DD7">
        <w:trPr>
          <w:trHeight w:val="346"/>
        </w:trPr>
        <w:tc>
          <w:tcPr>
            <w:tcW w:w="4815" w:type="dxa"/>
            <w:shd w:val="clear" w:color="000000" w:fill="FFFFFF"/>
            <w:vAlign w:val="center"/>
            <w:hideMark/>
          </w:tcPr>
          <w:p w14:paraId="1E710819" w14:textId="77777777" w:rsidR="008D22DB" w:rsidRPr="008D22DB" w:rsidRDefault="008D22DB" w:rsidP="008D22DB">
            <w:pPr>
              <w:spacing w:after="0" w:line="240" w:lineRule="auto"/>
              <w:ind w:right="-105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 xml:space="preserve">Доступ к электричеству, городское население </w:t>
            </w:r>
          </w:p>
        </w:tc>
        <w:tc>
          <w:tcPr>
            <w:tcW w:w="960" w:type="dxa"/>
            <w:shd w:val="clear" w:color="000000" w:fill="FFFFFF"/>
            <w:noWrap/>
            <w:vAlign w:val="center"/>
            <w:hideMark/>
          </w:tcPr>
          <w:p w14:paraId="71507A2D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89,97</w:t>
            </w:r>
          </w:p>
        </w:tc>
        <w:tc>
          <w:tcPr>
            <w:tcW w:w="960" w:type="dxa"/>
            <w:shd w:val="clear" w:color="000000" w:fill="FFFFFF"/>
            <w:noWrap/>
            <w:vAlign w:val="center"/>
            <w:hideMark/>
          </w:tcPr>
          <w:p w14:paraId="376BFB0C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86,50</w:t>
            </w:r>
          </w:p>
        </w:tc>
        <w:tc>
          <w:tcPr>
            <w:tcW w:w="960" w:type="dxa"/>
            <w:shd w:val="clear" w:color="000000" w:fill="FFFFFF"/>
            <w:noWrap/>
            <w:vAlign w:val="center"/>
            <w:hideMark/>
          </w:tcPr>
          <w:p w14:paraId="448AC803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92,57</w:t>
            </w:r>
          </w:p>
        </w:tc>
        <w:tc>
          <w:tcPr>
            <w:tcW w:w="960" w:type="dxa"/>
            <w:shd w:val="clear" w:color="000000" w:fill="FFFFFF"/>
            <w:noWrap/>
            <w:vAlign w:val="center"/>
            <w:hideMark/>
          </w:tcPr>
          <w:p w14:paraId="1B27EDF7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93,84</w:t>
            </w:r>
          </w:p>
        </w:tc>
        <w:tc>
          <w:tcPr>
            <w:tcW w:w="960" w:type="dxa"/>
            <w:shd w:val="clear" w:color="000000" w:fill="FFFFFF"/>
            <w:noWrap/>
            <w:vAlign w:val="center"/>
            <w:hideMark/>
          </w:tcPr>
          <w:p w14:paraId="65E0CC28" w14:textId="77777777" w:rsidR="008D22DB" w:rsidRPr="008D22DB" w:rsidRDefault="008D22DB" w:rsidP="008D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8D22DB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94,47</w:t>
            </w:r>
          </w:p>
        </w:tc>
      </w:tr>
    </w:tbl>
    <w:p w14:paraId="6ABFD164" w14:textId="77777777" w:rsidR="008D22DB" w:rsidRPr="008D22DB" w:rsidRDefault="008D22DB" w:rsidP="008D22DB">
      <w:pPr>
        <w:spacing w:after="0" w:line="360" w:lineRule="auto"/>
        <w:ind w:firstLine="708"/>
        <w:jc w:val="both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</w:p>
    <w:p w14:paraId="5BD0C9C2" w14:textId="77777777" w:rsidR="008D22DB" w:rsidRPr="008D22DB" w:rsidRDefault="008D22DB" w:rsidP="008D22DB">
      <w:pPr>
        <w:spacing w:after="0" w:line="360" w:lineRule="auto"/>
        <w:ind w:firstLine="708"/>
        <w:jc w:val="both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t>Данные выводы подтверждает и анализ динамики предоставления базовых санитарных услуг в Республике Кот-д’Ивуар. Как видно из рисунка 2.6, темпы роста значительно уступают темпам роста ВВП, поэтому говорить о том, что обеспечение высоких и стабильных темпов экономического роста является главным фактором устойчивого развития нельзя.</w:t>
      </w:r>
    </w:p>
    <w:p w14:paraId="73D90EE9" w14:textId="77777777" w:rsidR="008D22DB" w:rsidRPr="008D22DB" w:rsidRDefault="008D22DB" w:rsidP="008D22DB">
      <w:pPr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  <w:r w:rsidRPr="008D22DB">
        <w:rPr>
          <w:noProof/>
          <w:kern w:val="0"/>
          <w:sz w:val="22"/>
          <w:szCs w:val="22"/>
          <w:highlight w:val="yellow"/>
          <w:lang w:eastAsia="ru-RU"/>
          <w14:ligatures w14:val="none"/>
        </w:rPr>
        <w:drawing>
          <wp:inline distT="0" distB="0" distL="0" distR="0" wp14:anchorId="7DBE84F0" wp14:editId="10FEE600">
            <wp:extent cx="5756302" cy="1709531"/>
            <wp:effectExtent l="0" t="0" r="15875" b="5080"/>
            <wp:docPr id="600" name="Диаграмма 600">
              <a:extLst xmlns:a="http://schemas.openxmlformats.org/drawingml/2006/main">
                <a:ext uri="{FF2B5EF4-FFF2-40B4-BE49-F238E27FC236}">
                  <a16:creationId xmlns:a16="http://schemas.microsoft.com/office/drawing/2014/main" id="{6738F0C0-4038-49D2-A6AF-314D3F737C4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691DEF03" w14:textId="77777777" w:rsidR="008D22DB" w:rsidRPr="008D22DB" w:rsidRDefault="008D22DB" w:rsidP="008D22DB">
      <w:pPr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t xml:space="preserve">Рисунок 2.6 – </w:t>
      </w:r>
      <w:bookmarkStart w:id="6" w:name="_Hlk137630161"/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t>Динамика предоставления базовых санитарных услуг в Республике Кот-д’Ивуар</w:t>
      </w:r>
      <w:bookmarkEnd w:id="6"/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t>, % населения Источник: составлено автором по: [178, 188]</w:t>
      </w:r>
    </w:p>
    <w:p w14:paraId="3C67355C" w14:textId="77777777" w:rsidR="008D22DB" w:rsidRPr="008D22DB" w:rsidRDefault="008D22DB" w:rsidP="008D22DB">
      <w:pPr>
        <w:spacing w:after="0" w:line="360" w:lineRule="auto"/>
        <w:ind w:firstLine="708"/>
        <w:jc w:val="both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</w:p>
    <w:p w14:paraId="5E76DA25" w14:textId="77777777" w:rsidR="008D22DB" w:rsidRPr="008D22DB" w:rsidRDefault="008D22DB" w:rsidP="008D22DB">
      <w:pPr>
        <w:spacing w:after="0" w:line="360" w:lineRule="auto"/>
        <w:ind w:firstLine="708"/>
        <w:jc w:val="both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lastRenderedPageBreak/>
        <w:t>При этом по отдельным ключевым показателям, таким как предоставления услуг питьевого водоснабжения ситуация в Республике Кот-Д’Ивуар практически не меняется. Только около 17 % сельского населения в 2021 году имеют доступ к чистой питьевой воде, более того, данный показатель немного снизился, так как в 2013 году составлял 18,3 %. За анализируемый период удельный вес городского населения также колебался на уровне около 56 % (рисунок 2.7).</w:t>
      </w:r>
    </w:p>
    <w:p w14:paraId="109BA179" w14:textId="77777777" w:rsidR="008D22DB" w:rsidRPr="008D22DB" w:rsidRDefault="008D22DB" w:rsidP="008D22DB">
      <w:pPr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  <w:r w:rsidRPr="008D22DB">
        <w:rPr>
          <w:noProof/>
          <w:kern w:val="0"/>
          <w:sz w:val="22"/>
          <w:szCs w:val="22"/>
          <w:highlight w:val="yellow"/>
          <w:lang w:eastAsia="ru-RU"/>
          <w14:ligatures w14:val="none"/>
        </w:rPr>
        <w:drawing>
          <wp:inline distT="0" distB="0" distL="0" distR="0" wp14:anchorId="1DCA3664" wp14:editId="71954A21">
            <wp:extent cx="5943600" cy="2477068"/>
            <wp:effectExtent l="0" t="0" r="0" b="0"/>
            <wp:docPr id="601" name="Диаграмма 601">
              <a:extLst xmlns:a="http://schemas.openxmlformats.org/drawingml/2006/main">
                <a:ext uri="{FF2B5EF4-FFF2-40B4-BE49-F238E27FC236}">
                  <a16:creationId xmlns:a16="http://schemas.microsoft.com/office/drawing/2014/main" id="{702E6C79-39F7-4FAF-80DF-AC1E136208E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t xml:space="preserve"> </w:t>
      </w:r>
    </w:p>
    <w:p w14:paraId="3D8E653E" w14:textId="77777777" w:rsidR="008D22DB" w:rsidRPr="008D22DB" w:rsidRDefault="008D22DB" w:rsidP="008D22DB">
      <w:pPr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t xml:space="preserve">Рисунок – Динамика </w:t>
      </w:r>
      <w:bookmarkStart w:id="7" w:name="_Hlk137630323"/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t xml:space="preserve">предоставления услуг питьевого водоснабжения </w:t>
      </w:r>
      <w:bookmarkEnd w:id="7"/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t>в Республике Кот-д’Ивуар, % Источник: составлено автором по: [178, 188]</w:t>
      </w:r>
    </w:p>
    <w:p w14:paraId="1ACEBD8A" w14:textId="77777777" w:rsidR="008D22DB" w:rsidRPr="008D22DB" w:rsidRDefault="008D22DB" w:rsidP="008D22DB">
      <w:pPr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</w:p>
    <w:p w14:paraId="084A0B96" w14:textId="77777777" w:rsidR="008D22DB" w:rsidRPr="008D22DB" w:rsidRDefault="008D22DB" w:rsidP="008D22DB">
      <w:pPr>
        <w:spacing w:after="0" w:line="360" w:lineRule="auto"/>
        <w:ind w:firstLine="708"/>
        <w:jc w:val="both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t xml:space="preserve">Если рассмотреть дифференциацию доступа населения Республики Кот-Д’Ивуар к социальным услугам в разрезе уровня доходов, то видно следующее. Охват программами социального страхования даже среди физических лиц с высокими доходами в 2021 году не превышал 15 %, а среди беднейших и наименее социально защищенных слоев населения составлял всего лишь5,6 % (рисунок 2.8). При этом, что касается реализации программ социальной защиты населения Республики Кот-д’Ивуар, то удельный вес беднейших слоев населения, охваченных помощью в 2021 году, составил 38,8 % (рисунок 2.9). Значение данного показателя находится на удовлетворительном уровне. Однако, следует отметить, что такое значение связано, прежде всего, со значительными объемами адресной финансовой </w:t>
      </w:r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lastRenderedPageBreak/>
        <w:t>помощи со стороны международных организаций, которая касается преимущественно сельского населения.</w:t>
      </w:r>
    </w:p>
    <w:p w14:paraId="1BAB32AA" w14:textId="77777777" w:rsidR="008D22DB" w:rsidRPr="008D22DB" w:rsidRDefault="008D22DB" w:rsidP="008D22DB">
      <w:pPr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</w:p>
    <w:p w14:paraId="11C36DF1" w14:textId="77777777" w:rsidR="008D22DB" w:rsidRPr="008D22DB" w:rsidRDefault="008D22DB" w:rsidP="008D22DB">
      <w:pPr>
        <w:spacing w:line="259" w:lineRule="auto"/>
        <w:jc w:val="center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  <w:r w:rsidRPr="008D22DB">
        <w:rPr>
          <w:noProof/>
          <w:kern w:val="0"/>
          <w:sz w:val="22"/>
          <w:szCs w:val="22"/>
          <w:highlight w:val="yellow"/>
          <w:lang w:eastAsia="ru-RU"/>
          <w14:ligatures w14:val="none"/>
        </w:rPr>
        <w:drawing>
          <wp:inline distT="0" distB="0" distL="0" distR="0" wp14:anchorId="0749CFD9" wp14:editId="35B7750D">
            <wp:extent cx="5533465" cy="1464890"/>
            <wp:effectExtent l="0" t="0" r="10160" b="2540"/>
            <wp:docPr id="17" name="Диаграмма 17">
              <a:extLst xmlns:a="http://schemas.openxmlformats.org/drawingml/2006/main">
                <a:ext uri="{FF2B5EF4-FFF2-40B4-BE49-F238E27FC236}">
                  <a16:creationId xmlns:a16="http://schemas.microsoft.com/office/drawing/2014/main" id="{652E3E8F-B7E7-4C82-B31D-A9E775EE471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115D6349" w14:textId="77777777" w:rsidR="008D22DB" w:rsidRPr="008D22DB" w:rsidRDefault="008D22DB" w:rsidP="008D22DB">
      <w:pPr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t xml:space="preserve">Рисунок 2.8 – </w:t>
      </w:r>
      <w:bookmarkStart w:id="8" w:name="_Hlk137630766"/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t xml:space="preserve">Охват программами социального страхования </w:t>
      </w:r>
      <w:bookmarkEnd w:id="8"/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t>населения Республики Кот-д’Ивуар в 2021 г., % Источник: составлено автором по: [178, 188]</w:t>
      </w:r>
    </w:p>
    <w:p w14:paraId="46B6ABDB" w14:textId="77777777" w:rsidR="008D22DB" w:rsidRPr="008D22DB" w:rsidRDefault="008D22DB" w:rsidP="008D22DB">
      <w:pPr>
        <w:spacing w:after="0" w:line="360" w:lineRule="auto"/>
        <w:ind w:firstLine="708"/>
        <w:jc w:val="both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</w:p>
    <w:p w14:paraId="68EBBD35" w14:textId="77777777" w:rsidR="008D22DB" w:rsidRPr="008D22DB" w:rsidRDefault="008D22DB" w:rsidP="008D22DB">
      <w:pPr>
        <w:spacing w:after="0" w:line="360" w:lineRule="auto"/>
        <w:ind w:firstLine="708"/>
        <w:jc w:val="both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t>Мы считаем, что если ситуация не изменится, то охват программами социальной защиты населения Республики Кот-д’Ивуар не изменится. В этой связи необходимо, чтобы органы государственной власти ускорили построение эффективной системы государственной социальной поддержки, чтобы рост объемов выделяемых бюджетных средств на решение социальных проблем также сопровождался ростом эффективности их расходования.</w:t>
      </w:r>
    </w:p>
    <w:p w14:paraId="36C6937D" w14:textId="77777777" w:rsidR="008D22DB" w:rsidRPr="008D22DB" w:rsidRDefault="008D22DB" w:rsidP="008D22DB">
      <w:pPr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</w:p>
    <w:p w14:paraId="7B14F833" w14:textId="77777777" w:rsidR="008D22DB" w:rsidRPr="008D22DB" w:rsidRDefault="008D22DB" w:rsidP="008D22DB">
      <w:pPr>
        <w:spacing w:line="259" w:lineRule="auto"/>
        <w:jc w:val="center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  <w:r w:rsidRPr="008D22DB">
        <w:rPr>
          <w:noProof/>
          <w:kern w:val="0"/>
          <w:sz w:val="22"/>
          <w:szCs w:val="22"/>
          <w:highlight w:val="yellow"/>
          <w:lang w:eastAsia="ru-RU"/>
          <w14:ligatures w14:val="none"/>
        </w:rPr>
        <w:drawing>
          <wp:inline distT="0" distB="0" distL="0" distR="0" wp14:anchorId="5A12368F" wp14:editId="07C3E6B1">
            <wp:extent cx="5533465" cy="1294279"/>
            <wp:effectExtent l="0" t="0" r="10160" b="1270"/>
            <wp:docPr id="18" name="Диаграмма 18">
              <a:extLst xmlns:a="http://schemas.openxmlformats.org/drawingml/2006/main">
                <a:ext uri="{FF2B5EF4-FFF2-40B4-BE49-F238E27FC236}">
                  <a16:creationId xmlns:a16="http://schemas.microsoft.com/office/drawing/2014/main" id="{14ADA66C-3F4D-4BE1-B7B3-B89CAFE4FA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6E82BBE7" w14:textId="77777777" w:rsidR="008D22DB" w:rsidRPr="008D22DB" w:rsidRDefault="008D22DB" w:rsidP="008D22DB">
      <w:pPr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t xml:space="preserve">Рисунок 2.9 – Охват </w:t>
      </w:r>
      <w:bookmarkStart w:id="9" w:name="_Hlk137631196"/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t xml:space="preserve">программами </w:t>
      </w:r>
      <w:bookmarkStart w:id="10" w:name="_Hlk137630949"/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t xml:space="preserve">социальной защиты населения Республики Кот-д’Ивуар </w:t>
      </w:r>
      <w:bookmarkEnd w:id="9"/>
      <w:bookmarkEnd w:id="10"/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t>в 2021 г., % Источник: составлено автором по: [178, 188]</w:t>
      </w:r>
    </w:p>
    <w:p w14:paraId="286F8508" w14:textId="77777777" w:rsidR="008D22DB" w:rsidRPr="008D22DB" w:rsidRDefault="008D22DB" w:rsidP="008D22DB">
      <w:pPr>
        <w:spacing w:after="0" w:line="360" w:lineRule="auto"/>
        <w:ind w:firstLine="708"/>
        <w:jc w:val="both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</w:p>
    <w:p w14:paraId="594F3DF9" w14:textId="77777777" w:rsidR="008D22DB" w:rsidRPr="008D22DB" w:rsidRDefault="008D22DB" w:rsidP="008D22DB">
      <w:pPr>
        <w:spacing w:after="0" w:line="360" w:lineRule="auto"/>
        <w:ind w:firstLine="708"/>
        <w:jc w:val="both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t xml:space="preserve">Как результат индекс человеческого капитала населения Республики Кот-Д’Ивуар не превышает 40 %. Данное значение является верхней границей для мужчин и достигнуто в 2021 году (рисунок 2.10). Следует отметить, что </w:t>
      </w:r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lastRenderedPageBreak/>
        <w:t xml:space="preserve">темпы роста индекса человеческого капитала для женщин превышают аналогичный показатель для мужчин. В связи с этим к 2021 году нижняя граница данного показателя для женщин практически сравнялась с аналогичным показателем для мужчин. </w:t>
      </w:r>
    </w:p>
    <w:p w14:paraId="500970E4" w14:textId="77777777" w:rsidR="008D22DB" w:rsidRPr="008D22DB" w:rsidRDefault="008D22DB" w:rsidP="008D22DB">
      <w:pPr>
        <w:spacing w:line="259" w:lineRule="auto"/>
        <w:jc w:val="center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  <w:r w:rsidRPr="008D22DB">
        <w:rPr>
          <w:noProof/>
          <w:kern w:val="0"/>
          <w:sz w:val="22"/>
          <w:szCs w:val="22"/>
          <w:highlight w:val="yellow"/>
          <w:lang w:eastAsia="ru-RU"/>
          <w14:ligatures w14:val="none"/>
        </w:rPr>
        <w:drawing>
          <wp:inline distT="0" distB="0" distL="0" distR="0" wp14:anchorId="0175C682" wp14:editId="1E4D112A">
            <wp:extent cx="5870907" cy="2371725"/>
            <wp:effectExtent l="0" t="0" r="15875" b="9525"/>
            <wp:docPr id="20" name="Диаграмма 20">
              <a:extLst xmlns:a="http://schemas.openxmlformats.org/drawingml/2006/main">
                <a:ext uri="{FF2B5EF4-FFF2-40B4-BE49-F238E27FC236}">
                  <a16:creationId xmlns:a16="http://schemas.microsoft.com/office/drawing/2014/main" id="{CB09C5B2-5B8D-41A3-99F4-9502D0CAFE9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153CC933" w14:textId="77777777" w:rsidR="008D22DB" w:rsidRPr="008D22DB" w:rsidRDefault="008D22DB" w:rsidP="008D22DB">
      <w:pPr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t>Рисунок 2.10 – Индекс человеческого капитала в Республике Кот-д’Ивуар, ед. Источник: составлено автором по: [178, 188]</w:t>
      </w:r>
    </w:p>
    <w:p w14:paraId="57FF725B" w14:textId="77777777" w:rsidR="008D22DB" w:rsidRPr="008D22DB" w:rsidRDefault="008D22DB" w:rsidP="008D22DB">
      <w:pPr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</w:p>
    <w:p w14:paraId="7DD2FC2C" w14:textId="77777777" w:rsidR="008D22DB" w:rsidRPr="008D22DB" w:rsidRDefault="008D22DB" w:rsidP="008D22DB">
      <w:pPr>
        <w:spacing w:after="0" w:line="360" w:lineRule="auto"/>
        <w:ind w:firstLine="708"/>
        <w:jc w:val="both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t xml:space="preserve">Основана причина этого связана с ростом охвата девочек начальным образованием в сельских районах, а также ростом качества медицинской помощи бри беременности и родах. Это подтверждают данные по динамике смертности детей до 5 лет (рисунок 2.11). Если в 2012 году для мальчиков и девочек данный показатель составлял 110,4 и 89,9 смертей на 1000 рождений соответственно, то к 2021 году наблюдалось синхронное снижение почти на 20 %. Данная положительная динамика, на наш взгляд, связана с множеством факторов, а не только улучшением медицинского обслуживания. Прежде всего сократилась смертность от малярии и других эпидемий, хороший результат дала программа ООН по пропагандированию соблюдения гигиены. Однако, несмотря на наличие положительной и устойчивой динамики, в настоящее время уровень детской смертности в Республике Кот-Д’Ивуар остается на критически высоком уровне и значительно превышает среднемировой уровень. Также следует учитывать, что дальнейшее снижение детской смертности связано с расширением доли населения, особенно в </w:t>
      </w:r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lastRenderedPageBreak/>
        <w:t xml:space="preserve">сельских территориям, имеющего доступ к электроэнергии, чистой воде и канализации.  </w:t>
      </w:r>
    </w:p>
    <w:p w14:paraId="22213280" w14:textId="77777777" w:rsidR="008D22DB" w:rsidRPr="008D22DB" w:rsidRDefault="008D22DB" w:rsidP="008D22DB">
      <w:pPr>
        <w:tabs>
          <w:tab w:val="left" w:pos="3922"/>
        </w:tabs>
        <w:spacing w:after="0" w:line="360" w:lineRule="auto"/>
        <w:jc w:val="center"/>
        <w:rPr>
          <w:noProof/>
          <w:kern w:val="0"/>
          <w:sz w:val="22"/>
          <w:szCs w:val="22"/>
          <w:highlight w:val="yellow"/>
          <w14:ligatures w14:val="none"/>
        </w:rPr>
      </w:pPr>
      <w:r w:rsidRPr="008D22DB">
        <w:rPr>
          <w:noProof/>
          <w:kern w:val="0"/>
          <w:sz w:val="22"/>
          <w:szCs w:val="22"/>
          <w:highlight w:val="yellow"/>
          <w:lang w:eastAsia="ru-RU"/>
          <w14:ligatures w14:val="none"/>
        </w:rPr>
        <w:drawing>
          <wp:inline distT="0" distB="0" distL="0" distR="0" wp14:anchorId="0D984AFC" wp14:editId="2681528B">
            <wp:extent cx="5984240" cy="2463421"/>
            <wp:effectExtent l="0" t="0" r="16510" b="13335"/>
            <wp:docPr id="602" name="Диаграмма 602">
              <a:extLst xmlns:a="http://schemas.openxmlformats.org/drawingml/2006/main">
                <a:ext uri="{FF2B5EF4-FFF2-40B4-BE49-F238E27FC236}">
                  <a16:creationId xmlns:a16="http://schemas.microsoft.com/office/drawing/2014/main" id="{B0E09629-53BD-410F-9A89-00ECFC1E5C6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6E9B1E8E" w14:textId="77777777" w:rsidR="008D22DB" w:rsidRPr="008D22DB" w:rsidRDefault="008D22DB" w:rsidP="008D22DB">
      <w:pPr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t>Рисунок 2.11 – Динамика смертности детей до 5 лет в Республике Кот-д’Ивуар, ед. на 1000 рождений Источник: составлено автором по: [178, 188]</w:t>
      </w:r>
    </w:p>
    <w:p w14:paraId="4FF0276B" w14:textId="77777777" w:rsidR="008D22DB" w:rsidRPr="008D22DB" w:rsidRDefault="008D22DB" w:rsidP="008D22DB">
      <w:pPr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</w:p>
    <w:p w14:paraId="4B251B32" w14:textId="77777777" w:rsidR="008D22DB" w:rsidRPr="008D22DB" w:rsidRDefault="008D22DB" w:rsidP="008D22DB">
      <w:pPr>
        <w:spacing w:after="0" w:line="360" w:lineRule="auto"/>
        <w:ind w:firstLine="708"/>
        <w:jc w:val="both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t xml:space="preserve">Рассматривая еще один показатель, который косвенно свидетельствует о комплексном достижении ЦУР, а именно, среднюю продолжительность жизни следует отметить, что начиная с 2018 года значение данного показателя практически перестало расти и стабилизировалось на уровне 60,5 лет для женщин и 57 лет для мужчин (рисунок 2.12). </w:t>
      </w:r>
    </w:p>
    <w:p w14:paraId="69913982" w14:textId="77777777" w:rsidR="008D22DB" w:rsidRPr="008D22DB" w:rsidRDefault="008D22DB" w:rsidP="008D22DB">
      <w:pPr>
        <w:tabs>
          <w:tab w:val="left" w:pos="3503"/>
        </w:tabs>
        <w:spacing w:after="0" w:line="360" w:lineRule="auto"/>
        <w:jc w:val="center"/>
        <w:rPr>
          <w:noProof/>
          <w:kern w:val="0"/>
          <w:sz w:val="22"/>
          <w:szCs w:val="22"/>
          <w:highlight w:val="yellow"/>
          <w14:ligatures w14:val="none"/>
        </w:rPr>
      </w:pPr>
      <w:r w:rsidRPr="008D22DB">
        <w:rPr>
          <w:noProof/>
          <w:kern w:val="0"/>
          <w:sz w:val="22"/>
          <w:szCs w:val="22"/>
          <w:highlight w:val="yellow"/>
          <w:lang w:eastAsia="ru-RU"/>
          <w14:ligatures w14:val="none"/>
        </w:rPr>
        <w:drawing>
          <wp:inline distT="0" distB="0" distL="0" distR="0" wp14:anchorId="4A48680A" wp14:editId="56CC190B">
            <wp:extent cx="5752531" cy="2743200"/>
            <wp:effectExtent l="0" t="0" r="635" b="0"/>
            <wp:docPr id="11" name="Диаграмма 11">
              <a:extLst xmlns:a="http://schemas.openxmlformats.org/drawingml/2006/main">
                <a:ext uri="{FF2B5EF4-FFF2-40B4-BE49-F238E27FC236}">
                  <a16:creationId xmlns:a16="http://schemas.microsoft.com/office/drawing/2014/main" id="{9A013F42-0633-4CDA-AF0E-1E53FFFE842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03582318" w14:textId="77777777" w:rsidR="008D22DB" w:rsidRPr="008D22DB" w:rsidRDefault="008D22DB" w:rsidP="008D22DB">
      <w:pPr>
        <w:tabs>
          <w:tab w:val="left" w:pos="3503"/>
        </w:tabs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t>Рисунок 2.12 – Динамика ожидаемой продолжительности жизни в Республике Кот-д’Ивуар, лет Источник: составлено автором по: [178, 188]</w:t>
      </w:r>
    </w:p>
    <w:p w14:paraId="674714A7" w14:textId="77777777" w:rsidR="008D22DB" w:rsidRPr="008D22DB" w:rsidRDefault="008D22DB" w:rsidP="008D22DB">
      <w:pPr>
        <w:spacing w:after="0" w:line="360" w:lineRule="auto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</w:p>
    <w:p w14:paraId="2CF028B4" w14:textId="77777777" w:rsidR="008D22DB" w:rsidRPr="008D22DB" w:rsidRDefault="008D22DB" w:rsidP="008D22DB">
      <w:pPr>
        <w:spacing w:after="0" w:line="360" w:lineRule="auto"/>
        <w:ind w:firstLine="708"/>
        <w:jc w:val="both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  <w:bookmarkStart w:id="11" w:name="_Hlk138263156"/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t xml:space="preserve">Такая динамика, на наш взгляд, связана с рассмотренными выше причинами. Начиная с 2012 года в достижении ЦУР основную роль играла помощь от международных организаций, селективный характер которой позволял решать конкретные проблемы, связанные с устойчивым развитием. Однако ее масштабы не позволяют в полной мере способствовать формированию траектории инклюзивного роста для Республики Кот-Д’Ивуар, поэтому в последние пять лет на первый план выходят действия правительства Республики и региональных органов власти. </w:t>
      </w:r>
    </w:p>
    <w:p w14:paraId="145659A9" w14:textId="77777777" w:rsidR="008D22DB" w:rsidRPr="008D22DB" w:rsidRDefault="008D22DB" w:rsidP="008D22DB">
      <w:pPr>
        <w:spacing w:after="0" w:line="360" w:lineRule="auto"/>
        <w:ind w:firstLine="708"/>
        <w:jc w:val="both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t xml:space="preserve">В качестве примера успешного достижения ЦУР в Республике Кот-Д’Ивуар можно рассмотреть охват детей начальный образованием. Как видно из рисунка 2.13 еще в 2012 году около 35 % девочек и 30 % мальчиков не посещали начальную школу, а уже к 2018 году их доля сократилась до 10 % и 3,5 % соответственно. В 2020 году практически 100 % мальчиков посещали начальную школу, но уже в 2021 году показатель откатился на уровень 2018 года. </w:t>
      </w:r>
    </w:p>
    <w:bookmarkEnd w:id="11"/>
    <w:p w14:paraId="4FBA5AD2" w14:textId="77777777" w:rsidR="008D22DB" w:rsidRPr="008D22DB" w:rsidRDefault="008D22DB" w:rsidP="008D22DB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t>Аналогичная положительная динамика наблюдается по динамике численности населения, окончившей неполную среднюю школу в Республике Кот-д’Ивуар. Доля населения в возрасте от 15 до 24 лет росла начиная с 2012 года как для мужчин, так и для женщин и достигла к 2021 году 65 % для мужчин и 58,5 % для женщин. Если учесть тот факт, что доступ к образованию является одним из основополагающих условий для формирования траектории устойчивого инклюзивного роста и достижения ЦУР, то можно говорить о том, что в случае, если такая положительная динамика в Республике Кот-д’Ивуар сохранится, то это позволит косвенно способствовать достижению других ЦУР.</w:t>
      </w:r>
    </w:p>
    <w:p w14:paraId="3B3B0D7F" w14:textId="77777777" w:rsidR="008D22DB" w:rsidRPr="008D22DB" w:rsidRDefault="008D22DB" w:rsidP="008D22DB">
      <w:pPr>
        <w:spacing w:after="0" w:line="360" w:lineRule="auto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  <w:r w:rsidRPr="008D22DB">
        <w:rPr>
          <w:noProof/>
          <w:kern w:val="0"/>
          <w:sz w:val="22"/>
          <w:szCs w:val="22"/>
          <w:highlight w:val="yellow"/>
          <w:lang w:eastAsia="ru-RU"/>
          <w14:ligatures w14:val="none"/>
        </w:rPr>
        <w:lastRenderedPageBreak/>
        <w:drawing>
          <wp:inline distT="0" distB="0" distL="0" distR="0" wp14:anchorId="6EE98F37" wp14:editId="1128111E">
            <wp:extent cx="5793491" cy="2480807"/>
            <wp:effectExtent l="0" t="0" r="17145" b="15240"/>
            <wp:docPr id="603" name="Диаграмма 603">
              <a:extLst xmlns:a="http://schemas.openxmlformats.org/drawingml/2006/main">
                <a:ext uri="{FF2B5EF4-FFF2-40B4-BE49-F238E27FC236}">
                  <a16:creationId xmlns:a16="http://schemas.microsoft.com/office/drawing/2014/main" id="{BE30A690-BD9C-4641-81F8-7D3AE2BCE86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6381877E" w14:textId="77777777" w:rsidR="008D22DB" w:rsidRPr="008D22DB" w:rsidRDefault="008D22DB" w:rsidP="008D22DB">
      <w:pPr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t>Рисунок 2.13 – Динамика количества детей, не посещающих начальную школу в Республике Кот-д’Ивуар, % от общего числа младших школьников Источник: составлено автором по: [178, 188]</w:t>
      </w:r>
    </w:p>
    <w:p w14:paraId="7B37DC1D" w14:textId="77777777" w:rsidR="008D22DB" w:rsidRPr="008D22DB" w:rsidRDefault="008D22DB" w:rsidP="008D22DB">
      <w:pPr>
        <w:tabs>
          <w:tab w:val="left" w:pos="3503"/>
        </w:tabs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</w:p>
    <w:p w14:paraId="29044198" w14:textId="77777777" w:rsidR="008D22DB" w:rsidRPr="008D22DB" w:rsidRDefault="008D22DB" w:rsidP="008D22DB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tab/>
        <w:t>Также следует отметить по-прежнему невысокое значение данного показателя по сравнению со среднемировым показателем, хотя на африканском континенте Республика Кот-д’Ивуар входит в первую десятку стран (рисунок 2.14).</w:t>
      </w:r>
    </w:p>
    <w:p w14:paraId="23551DD7" w14:textId="77777777" w:rsidR="008D22DB" w:rsidRPr="008D22DB" w:rsidRDefault="008D22DB" w:rsidP="008D22DB">
      <w:pPr>
        <w:tabs>
          <w:tab w:val="left" w:pos="3503"/>
        </w:tabs>
        <w:spacing w:line="259" w:lineRule="auto"/>
        <w:jc w:val="center"/>
        <w:rPr>
          <w:noProof/>
          <w:kern w:val="0"/>
          <w:sz w:val="22"/>
          <w:szCs w:val="22"/>
          <w:highlight w:val="yellow"/>
          <w14:ligatures w14:val="none"/>
        </w:rPr>
      </w:pPr>
      <w:r w:rsidRPr="008D22DB">
        <w:rPr>
          <w:noProof/>
          <w:kern w:val="0"/>
          <w:sz w:val="22"/>
          <w:szCs w:val="22"/>
          <w:highlight w:val="yellow"/>
          <w:lang w:eastAsia="ru-RU"/>
          <w14:ligatures w14:val="none"/>
        </w:rPr>
        <w:drawing>
          <wp:inline distT="0" distB="0" distL="0" distR="0" wp14:anchorId="4925612C" wp14:editId="3A0DB472">
            <wp:extent cx="5911794" cy="2282024"/>
            <wp:effectExtent l="0" t="0" r="13335" b="4445"/>
            <wp:docPr id="604" name="Диаграмма 604">
              <a:extLst xmlns:a="http://schemas.openxmlformats.org/drawingml/2006/main">
                <a:ext uri="{FF2B5EF4-FFF2-40B4-BE49-F238E27FC236}">
                  <a16:creationId xmlns:a16="http://schemas.microsoft.com/office/drawing/2014/main" id="{D55E62BD-8F3E-4FA6-9D26-11016AADCD3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13668EBC" w14:textId="77777777" w:rsidR="008D22DB" w:rsidRPr="008D22DB" w:rsidRDefault="008D22DB" w:rsidP="008D22DB">
      <w:pPr>
        <w:tabs>
          <w:tab w:val="left" w:pos="3922"/>
        </w:tabs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t xml:space="preserve">Рисунок 2.14 – </w:t>
      </w:r>
      <w:bookmarkStart w:id="12" w:name="_Hlk137636655"/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t>Динамика численности населения, окончившей неполную среднюю школу в Республике Кот-д’Ивуар</w:t>
      </w:r>
      <w:bookmarkEnd w:id="12"/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t>, % Источник: составлено автором по: [178, 188]</w:t>
      </w:r>
    </w:p>
    <w:p w14:paraId="607E7CAA" w14:textId="77777777" w:rsidR="008D22DB" w:rsidRPr="008D22DB" w:rsidRDefault="008D22DB" w:rsidP="008D22DB">
      <w:pPr>
        <w:spacing w:after="0" w:line="360" w:lineRule="auto"/>
        <w:ind w:firstLine="708"/>
        <w:jc w:val="both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t xml:space="preserve">В качестве итога анализа развития образовательного процесса в Республике Кот-Д’Ивуар рассмотрим показатель уровня грамотности взрослого населения. К 2021 году он составил около 90 %, в два раза выше </w:t>
      </w:r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lastRenderedPageBreak/>
        <w:t>значения 2012 года (рисунок 2.15). При этом практически была ликвидирована разница в уровне образования среди мужчин и женщин. Если в 2012 году только около 30 % женщин были грамотными и около 50 % мужчин, то в 2021 году эти показатели практически сравнялись. Таким образом, можно сделать вывод о том, что достижение ЦУР, связанное с доступом к образованию, также косвенно способствует достижению ЦУР, связанной с обеспечением гендерного равенства. У образованных женщин появляется больше возможностей найти квалифицированную работу и в перспективе занять руководящие посты.</w:t>
      </w:r>
    </w:p>
    <w:p w14:paraId="6F8172B3" w14:textId="77777777" w:rsidR="008D22DB" w:rsidRPr="008D22DB" w:rsidRDefault="008D22DB" w:rsidP="008D22DB">
      <w:pPr>
        <w:spacing w:line="259" w:lineRule="auto"/>
        <w:jc w:val="center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  <w:r w:rsidRPr="008D22DB">
        <w:rPr>
          <w:noProof/>
          <w:kern w:val="0"/>
          <w:sz w:val="22"/>
          <w:szCs w:val="22"/>
          <w:highlight w:val="yellow"/>
          <w:lang w:eastAsia="ru-RU"/>
          <w14:ligatures w14:val="none"/>
        </w:rPr>
        <w:drawing>
          <wp:inline distT="0" distB="0" distL="0" distR="0" wp14:anchorId="3AD03CA0" wp14:editId="61B29D57">
            <wp:extent cx="5932170" cy="3145809"/>
            <wp:effectExtent l="0" t="0" r="11430" b="16510"/>
            <wp:docPr id="21" name="Диаграмма 21">
              <a:extLst xmlns:a="http://schemas.openxmlformats.org/drawingml/2006/main">
                <a:ext uri="{FF2B5EF4-FFF2-40B4-BE49-F238E27FC236}">
                  <a16:creationId xmlns:a16="http://schemas.microsoft.com/office/drawing/2014/main" id="{869F474B-3FE1-43D1-B78E-D25E5A61304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541A4146" w14:textId="77777777" w:rsidR="008D22DB" w:rsidRPr="008D22DB" w:rsidRDefault="008D22DB" w:rsidP="008D22DB">
      <w:pPr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t xml:space="preserve">Рисунок 2.15 – Динамика </w:t>
      </w:r>
      <w:bookmarkStart w:id="13" w:name="_Hlk137637128"/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t xml:space="preserve">уровня грамотности взрослого населения </w:t>
      </w:r>
      <w:bookmarkEnd w:id="13"/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t>в Республике Кот-д’Ивуар, % Источник: составлено автором по: [178, 188]</w:t>
      </w:r>
    </w:p>
    <w:p w14:paraId="0E470B33" w14:textId="77777777" w:rsidR="008D22DB" w:rsidRPr="008D22DB" w:rsidRDefault="008D22DB" w:rsidP="008D22DB">
      <w:pPr>
        <w:spacing w:line="259" w:lineRule="auto"/>
        <w:jc w:val="center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</w:p>
    <w:p w14:paraId="5685652A" w14:textId="77777777" w:rsidR="008D22DB" w:rsidRPr="008D22DB" w:rsidRDefault="008D22DB" w:rsidP="008D22DB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t xml:space="preserve">Как показали результаты проведенного анализа практически по всем показателям, характеризующих достижение ЦУР в Республике Кот-д’Ивуар наблюдается высокий уровень их диверсификации в урбанизированных и сельских районах страны. Актуальность данной проблемы также возрастает если учесть тот факт, что доля занятых в сельском хозяйстве в 2021 составила около 40 %, что на 6,5 % ниже уровня 2014 года (рисунок 2.16). Следует отметить, что среди мужчин в 2021 году значение данного показателя было </w:t>
      </w:r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lastRenderedPageBreak/>
        <w:t>выше по сравнению с женщинами на 15 %. А если учесть тот факт, что на долю агропромышленного комплекса в структуре ВРП Республики Кот-д’Ивуар приходится около 20 %, то можно сделать вывод о высокой трудоемкости данного сектора, что связано, прежде всего, с развитием экстенсивных, а не интенсивных технологий сельскохозяйственного производства.</w:t>
      </w:r>
    </w:p>
    <w:p w14:paraId="5686DA97" w14:textId="77777777" w:rsidR="008D22DB" w:rsidRPr="008D22DB" w:rsidRDefault="008D22DB" w:rsidP="008D22DB">
      <w:pPr>
        <w:spacing w:after="0" w:line="360" w:lineRule="auto"/>
        <w:jc w:val="center"/>
        <w:rPr>
          <w:noProof/>
          <w:kern w:val="0"/>
          <w:sz w:val="22"/>
          <w:szCs w:val="22"/>
          <w:highlight w:val="yellow"/>
          <w14:ligatures w14:val="none"/>
        </w:rPr>
      </w:pPr>
      <w:r w:rsidRPr="008D22DB">
        <w:rPr>
          <w:noProof/>
          <w:kern w:val="0"/>
          <w:sz w:val="22"/>
          <w:szCs w:val="22"/>
          <w:highlight w:val="yellow"/>
          <w:lang w:eastAsia="ru-RU"/>
          <w14:ligatures w14:val="none"/>
        </w:rPr>
        <w:drawing>
          <wp:inline distT="0" distB="0" distL="0" distR="0" wp14:anchorId="1C4AFCEE" wp14:editId="03D606A3">
            <wp:extent cx="5991225" cy="2695433"/>
            <wp:effectExtent l="0" t="0" r="9525" b="10160"/>
            <wp:docPr id="605" name="Диаграмма 605">
              <a:extLst xmlns:a="http://schemas.openxmlformats.org/drawingml/2006/main">
                <a:ext uri="{FF2B5EF4-FFF2-40B4-BE49-F238E27FC236}">
                  <a16:creationId xmlns:a16="http://schemas.microsoft.com/office/drawing/2014/main" id="{B0D45601-7D21-4EA9-AF2B-84CFCF2DD19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14:paraId="0E7CC6FF" w14:textId="77777777" w:rsidR="008D22DB" w:rsidRPr="008D22DB" w:rsidRDefault="008D22DB" w:rsidP="008D22DB">
      <w:pPr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tab/>
        <w:t>Рисунок 2.16 – Динамика и структура занятости в сельском хозяйстве Республики Кот-д’Ивуар, % Источник: составлено автором по: [178, 188]</w:t>
      </w:r>
    </w:p>
    <w:p w14:paraId="63EAECF1" w14:textId="77777777" w:rsidR="008D22DB" w:rsidRPr="008D22DB" w:rsidRDefault="008D22DB" w:rsidP="008D22DB">
      <w:pPr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</w:p>
    <w:p w14:paraId="4690BE41" w14:textId="77777777" w:rsidR="008D22DB" w:rsidRPr="008D22DB" w:rsidRDefault="008D22DB" w:rsidP="008D22DB">
      <w:pPr>
        <w:spacing w:after="0" w:line="360" w:lineRule="auto"/>
        <w:ind w:firstLine="708"/>
        <w:jc w:val="both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t xml:space="preserve">Если рассмотреть динамику и структуру занятости в промышленности Республики Кот-д’Ивуар, то ситуация будет зеркальной по сравнению с агропромышленным комплексом. Как видно из рисунка 2.17 за анализируемый период был зафиксирован незначительный рост с 11,8 % до 12,3 %. При этом весь рост пришелся на рост занятости среди мужчин, тогда как среди женщин наблюдался небольшой спад. Производительность труда в промышленности гораздо выше, чем в сельском хозяйстве, так как несмотря на то, что доля занятых в промышленности не превышает 15 %, в структуре ВВП удельный вес промышленного комплекса составляет около 20 %. В целом можно сделать вывод, что несмотря на взятый в Республике Кот-д’Ивуар курс на индустриализацию, агропромышленный комплекс продолжает играть ведущую не только экономическую, но и социальную роль, так как обеспечивает практически половину всей занятости в стране.  </w:t>
      </w:r>
    </w:p>
    <w:p w14:paraId="39DFA240" w14:textId="77777777" w:rsidR="008D22DB" w:rsidRPr="008D22DB" w:rsidRDefault="008D22DB" w:rsidP="008D22DB">
      <w:pPr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  <w:r w:rsidRPr="008D22DB">
        <w:rPr>
          <w:noProof/>
          <w:kern w:val="0"/>
          <w:sz w:val="22"/>
          <w:szCs w:val="22"/>
          <w:highlight w:val="yellow"/>
          <w:lang w:eastAsia="ru-RU"/>
          <w14:ligatures w14:val="none"/>
        </w:rPr>
        <w:lastRenderedPageBreak/>
        <w:drawing>
          <wp:inline distT="0" distB="0" distL="0" distR="0" wp14:anchorId="44C95C54" wp14:editId="7BE7D66F">
            <wp:extent cx="5929952" cy="2743200"/>
            <wp:effectExtent l="0" t="0" r="13970" b="0"/>
            <wp:docPr id="606" name="Диаграмма 606">
              <a:extLst xmlns:a="http://schemas.openxmlformats.org/drawingml/2006/main">
                <a:ext uri="{FF2B5EF4-FFF2-40B4-BE49-F238E27FC236}">
                  <a16:creationId xmlns:a16="http://schemas.microsoft.com/office/drawing/2014/main" id="{4E6ADA93-EEF7-480E-B8F7-AE32F4D722F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</w:p>
    <w:p w14:paraId="53603489" w14:textId="77777777" w:rsidR="008D22DB" w:rsidRPr="008D22DB" w:rsidRDefault="008D22DB" w:rsidP="008D22DB">
      <w:pPr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t xml:space="preserve">Рисунок 2.17 – </w:t>
      </w:r>
      <w:bookmarkStart w:id="14" w:name="_Hlk137729710"/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t>Динамика и структура занятости в промышленности Республики Кот-д’Ивуар</w:t>
      </w:r>
      <w:bookmarkEnd w:id="14"/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t>, % Источник: составлено автором по: [178, 188]</w:t>
      </w:r>
    </w:p>
    <w:p w14:paraId="2CCC49F5" w14:textId="77777777" w:rsidR="008D22DB" w:rsidRPr="008D22DB" w:rsidRDefault="008D22DB" w:rsidP="008D22DB">
      <w:pPr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</w:p>
    <w:p w14:paraId="343DFBD8" w14:textId="77777777" w:rsidR="008D22DB" w:rsidRPr="008D22DB" w:rsidRDefault="008D22DB" w:rsidP="008D22DB">
      <w:pPr>
        <w:spacing w:after="0" w:line="360" w:lineRule="auto"/>
        <w:ind w:firstLine="709"/>
        <w:jc w:val="both"/>
        <w:rPr>
          <w:kern w:val="0"/>
          <w:sz w:val="22"/>
          <w:szCs w:val="22"/>
          <w:highlight w:val="yellow"/>
          <w14:ligatures w14:val="none"/>
        </w:rPr>
      </w:pPr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t>Число абонентов сотовой связи в Республике Кот-д’Ивуар выросло с показателя 80 человек в расчете на 100 человек населения в 2012 году до 160 в 2021 году. Таким образом можно говорить о том, что в стране имеется развитая телекоммуникационная инфраструктура, которая будет в среднесрочной и долгосрочной перспективе содействовать достижению ЦУР (рисунок 2.18).</w:t>
      </w:r>
    </w:p>
    <w:p w14:paraId="48F35E04" w14:textId="77777777" w:rsidR="008D22DB" w:rsidRPr="008D22DB" w:rsidRDefault="008D22DB" w:rsidP="008D22DB">
      <w:pPr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  <w:r w:rsidRPr="008D22DB">
        <w:rPr>
          <w:noProof/>
          <w:kern w:val="0"/>
          <w:sz w:val="22"/>
          <w:szCs w:val="22"/>
          <w:highlight w:val="yellow"/>
          <w:lang w:eastAsia="ru-RU"/>
          <w14:ligatures w14:val="none"/>
        </w:rPr>
        <w:drawing>
          <wp:inline distT="0" distB="0" distL="0" distR="0" wp14:anchorId="081A4AF3" wp14:editId="73BA1208">
            <wp:extent cx="5800298" cy="2244725"/>
            <wp:effectExtent l="0" t="0" r="10160" b="3175"/>
            <wp:docPr id="607" name="Диаграмма 607">
              <a:extLst xmlns:a="http://schemas.openxmlformats.org/drawingml/2006/main">
                <a:ext uri="{FF2B5EF4-FFF2-40B4-BE49-F238E27FC236}">
                  <a16:creationId xmlns:a16="http://schemas.microsoft.com/office/drawing/2014/main" id="{8A756427-696B-4CE0-A1D5-464245BD91F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14:paraId="3B6AA368" w14:textId="77777777" w:rsidR="008D22DB" w:rsidRPr="008D22DB" w:rsidRDefault="008D22DB" w:rsidP="008D22DB">
      <w:pPr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t xml:space="preserve">Рисунок 2.18 – Динамика абонентов мобильной сотовой связи в Республике </w:t>
      </w:r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br/>
        <w:t>Кот-д’Ивуар, ед. на 100 человек Источник: составлено автором по: [178, 188]</w:t>
      </w:r>
    </w:p>
    <w:p w14:paraId="050BB276" w14:textId="77777777" w:rsidR="008D22DB" w:rsidRPr="008D22DB" w:rsidRDefault="008D22DB" w:rsidP="008D22DB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tab/>
      </w:r>
    </w:p>
    <w:p w14:paraId="2CCA1F00" w14:textId="77777777" w:rsidR="008D22DB" w:rsidRPr="008D22DB" w:rsidRDefault="008D22DB" w:rsidP="008D22DB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lastRenderedPageBreak/>
        <w:tab/>
        <w:t>Однако, рассматривая развитие информационно-телекоммуникационных технологий в Республике Кот-д’Ивуар, следует отметить, что ситуация с распространенностью интернета не такая благоприятная, как с сотовой связью. Доступ к широкополосному интернету в стране в 2021 году имело всего лишь 1,3 % населения, это в ш</w:t>
      </w:r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tab/>
        <w:t>есть раз выше уровня 2021 года, но весь этот рост можно объяснить эффектом низкой базы (рисунок 2.19). Значение данного показателя не только уступает среднемировому уровню, но и отстает от многих наименее развитых стран. Если учесть тот факт, что наличие высокоскоростного интернета и его широкая распространенность является необходимым условием для достижения ЦУР, то необходимо повысить темпы роста данного показателя хотя бы в крупнейших городах Республики Кот-д’Ивуар.</w:t>
      </w:r>
    </w:p>
    <w:p w14:paraId="61141D70" w14:textId="77777777" w:rsidR="008D22DB" w:rsidRPr="008D22DB" w:rsidRDefault="008D22DB" w:rsidP="008D22DB">
      <w:pPr>
        <w:tabs>
          <w:tab w:val="left" w:pos="709"/>
        </w:tabs>
        <w:spacing w:after="0" w:line="360" w:lineRule="auto"/>
        <w:jc w:val="both"/>
        <w:rPr>
          <w:kern w:val="0"/>
          <w:sz w:val="22"/>
          <w:szCs w:val="22"/>
          <w:highlight w:val="yellow"/>
          <w14:ligatures w14:val="none"/>
        </w:rPr>
      </w:pPr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tab/>
        <w:t>Несмотря на то, что почти 100 % населения Республики Кот-д’Ивуар имеют доступ к сотовой связи, доля населения пользующего Интернетом в 2021 году составила около 35 % (рисунок 2.20). При этом необходимо отметить, что наблюдается крайне негативная тенденция по снижению данного показателя начиная с 2017 года, тогда как во всем мире наблюдаются устойчивые темпы его роста. В результате максимальный рост, который наблюдался с 2015 года по 2017 год был нивелирован последующим снижением, поэтому начиная с 2016 года роста не наблюдается.</w:t>
      </w:r>
    </w:p>
    <w:p w14:paraId="5BBA34BE" w14:textId="77777777" w:rsidR="008D22DB" w:rsidRPr="008D22DB" w:rsidRDefault="008D22DB" w:rsidP="008D22DB">
      <w:pPr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  <w:r w:rsidRPr="008D22DB">
        <w:rPr>
          <w:noProof/>
          <w:kern w:val="0"/>
          <w:sz w:val="22"/>
          <w:szCs w:val="22"/>
          <w:highlight w:val="yellow"/>
          <w:lang w:eastAsia="ru-RU"/>
          <w14:ligatures w14:val="none"/>
        </w:rPr>
        <w:drawing>
          <wp:inline distT="0" distB="0" distL="0" distR="0" wp14:anchorId="4452C13B" wp14:editId="35CBC5E2">
            <wp:extent cx="5868035" cy="2320120"/>
            <wp:effectExtent l="0" t="0" r="18415" b="4445"/>
            <wp:docPr id="608" name="Диаграмма 608">
              <a:extLst xmlns:a="http://schemas.openxmlformats.org/drawingml/2006/main">
                <a:ext uri="{FF2B5EF4-FFF2-40B4-BE49-F238E27FC236}">
                  <a16:creationId xmlns:a16="http://schemas.microsoft.com/office/drawing/2014/main" id="{AADFB207-B082-454A-B1F1-19E40739E23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</w:p>
    <w:p w14:paraId="11863BD0" w14:textId="77777777" w:rsidR="008D22DB" w:rsidRPr="008D22DB" w:rsidRDefault="008D22DB" w:rsidP="008D22DB">
      <w:pPr>
        <w:tabs>
          <w:tab w:val="left" w:pos="3503"/>
        </w:tabs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lastRenderedPageBreak/>
        <w:t>Рисунок 2.19 – Динамика подписки на фиксированный широкополосный доступ в Республике Кот-д’Ивуар, ед. на 100 человек Источник: составлено автором по: [178, 188]</w:t>
      </w:r>
    </w:p>
    <w:p w14:paraId="65B1456B" w14:textId="77777777" w:rsidR="008D22DB" w:rsidRPr="008D22DB" w:rsidRDefault="008D22DB" w:rsidP="008D22DB">
      <w:pPr>
        <w:tabs>
          <w:tab w:val="left" w:pos="3503"/>
        </w:tabs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</w:p>
    <w:p w14:paraId="5CC1162D" w14:textId="77777777" w:rsidR="008D22DB" w:rsidRPr="008D22DB" w:rsidRDefault="008D22DB" w:rsidP="008D22DB">
      <w:pPr>
        <w:tabs>
          <w:tab w:val="left" w:pos="3503"/>
        </w:tabs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  <w:r w:rsidRPr="008D22DB">
        <w:rPr>
          <w:noProof/>
          <w:kern w:val="0"/>
          <w:sz w:val="22"/>
          <w:szCs w:val="22"/>
          <w:highlight w:val="yellow"/>
          <w:lang w:eastAsia="ru-RU"/>
          <w14:ligatures w14:val="none"/>
        </w:rPr>
        <w:drawing>
          <wp:inline distT="0" distB="0" distL="0" distR="0" wp14:anchorId="65733396" wp14:editId="0F8EDC15">
            <wp:extent cx="5848066" cy="2272030"/>
            <wp:effectExtent l="0" t="0" r="635" b="13970"/>
            <wp:docPr id="10" name="Диаграмма 10">
              <a:extLst xmlns:a="http://schemas.openxmlformats.org/drawingml/2006/main">
                <a:ext uri="{FF2B5EF4-FFF2-40B4-BE49-F238E27FC236}">
                  <a16:creationId xmlns:a16="http://schemas.microsoft.com/office/drawing/2014/main" id="{BDF0FC0E-E3F3-40A2-99F5-06A203C8272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</wp:inline>
        </w:drawing>
      </w:r>
    </w:p>
    <w:p w14:paraId="767CA34C" w14:textId="77777777" w:rsidR="008D22DB" w:rsidRPr="008D22DB" w:rsidRDefault="008D22DB" w:rsidP="008D22DB">
      <w:pPr>
        <w:tabs>
          <w:tab w:val="left" w:pos="3503"/>
        </w:tabs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t>Рисунок 2.20 – Динамика численности населения, пользующаяся Интернетом в Республике Кот-д’Ивуар, % Источник: составлено автором по: [178, 188]</w:t>
      </w:r>
    </w:p>
    <w:p w14:paraId="26918A7B" w14:textId="77777777" w:rsidR="008D22DB" w:rsidRPr="008D22DB" w:rsidRDefault="008D22DB" w:rsidP="008D22DB">
      <w:pPr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</w:p>
    <w:p w14:paraId="387A4B81" w14:textId="77777777" w:rsidR="008D22DB" w:rsidRPr="008D22DB" w:rsidRDefault="008D22DB" w:rsidP="008D22DB">
      <w:pPr>
        <w:spacing w:after="0" w:line="360" w:lineRule="auto"/>
        <w:ind w:firstLine="708"/>
        <w:jc w:val="both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t>Подводя промежуточный итог по оценке инклюзивности развития Республики Кот-д’Ивуар и оценке перспектив достижения ЦУР до 2030 года, рассмотрим динамику бедности в стране (рисунок 2.21). Как видно, еще в 2015 году уровень крайней нищеты (доход менее 3,65 доллара на 1 человека в день) составлял более 60 %, а доля населения, которая жила на 6,85 доллара в день приближалась к 90 %. В 2021 годы значение данного показателя сократилось, соответственно, до 40 % и 73 %. Таким образом можно говорить о значительном прогрессе в решении проблемы борьбы с бедностью. Однако следует учитывать, что полное искоренение крайней нищеты в соответствии с ЦУР является для Республики Кот-д’Ивуар довольно амбициозной задачей, решение которой требует повышение эффективности системы государственного регулирования, а также построения прозрачной системы расходования бюджетных средств.</w:t>
      </w:r>
    </w:p>
    <w:p w14:paraId="46AF5DE4" w14:textId="77777777" w:rsidR="008D22DB" w:rsidRPr="008D22DB" w:rsidRDefault="008D22DB" w:rsidP="008D22DB">
      <w:pPr>
        <w:spacing w:after="0" w:line="360" w:lineRule="auto"/>
        <w:jc w:val="center"/>
        <w:rPr>
          <w:noProof/>
          <w:kern w:val="0"/>
          <w:sz w:val="22"/>
          <w:szCs w:val="22"/>
          <w:highlight w:val="yellow"/>
          <w14:ligatures w14:val="none"/>
        </w:rPr>
      </w:pPr>
      <w:r w:rsidRPr="008D22DB">
        <w:rPr>
          <w:noProof/>
          <w:kern w:val="0"/>
          <w:sz w:val="22"/>
          <w:szCs w:val="22"/>
          <w:highlight w:val="yellow"/>
          <w:lang w:eastAsia="ru-RU"/>
          <w14:ligatures w14:val="none"/>
        </w:rPr>
        <w:lastRenderedPageBreak/>
        <w:drawing>
          <wp:inline distT="0" distB="0" distL="0" distR="0" wp14:anchorId="769DDC41" wp14:editId="2117A685">
            <wp:extent cx="6000750" cy="2442949"/>
            <wp:effectExtent l="0" t="0" r="0" b="14605"/>
            <wp:docPr id="23" name="Диаграмма 23">
              <a:extLst xmlns:a="http://schemas.openxmlformats.org/drawingml/2006/main">
                <a:ext uri="{FF2B5EF4-FFF2-40B4-BE49-F238E27FC236}">
                  <a16:creationId xmlns:a16="http://schemas.microsoft.com/office/drawing/2014/main" id="{77999D77-FDA4-4F42-9538-48E6306DC6D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8"/>
              </a:graphicData>
            </a:graphic>
          </wp:inline>
        </w:drawing>
      </w:r>
    </w:p>
    <w:p w14:paraId="50B1DF59" w14:textId="77777777" w:rsidR="008D22DB" w:rsidRPr="008D22DB" w:rsidRDefault="008D22DB" w:rsidP="008D22DB">
      <w:pPr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  <w:r w:rsidRPr="008D22DB"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  <w:t>Рисунок 2.21 – Динамика бедности населения в Республике Кот-д’Ивуар, % Источник: составлено автором по: [178, 188]</w:t>
      </w:r>
    </w:p>
    <w:p w14:paraId="52D24C45" w14:textId="77777777" w:rsidR="008D22DB" w:rsidRPr="008D22DB" w:rsidRDefault="008D22DB" w:rsidP="008D22DB">
      <w:pPr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:highlight w:val="yellow"/>
          <w14:ligatures w14:val="none"/>
        </w:rPr>
      </w:pPr>
    </w:p>
    <w:p w14:paraId="68C4E554" w14:textId="77777777" w:rsidR="008D22DB" w:rsidRPr="008D22DB" w:rsidRDefault="008D22DB" w:rsidP="008D22D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D22DB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14:ligatures w14:val="none"/>
        </w:rPr>
        <w:t>Хотя концепция транснационального управления и институтов обладает потенциалом для решения сложных проблем устойчивого развития, они еще не полностью реализовали свой потенциал. Для достижения этого необходимо ответить на вопрос доверия, достоверности и легитимности, учитывая растущее число и разнообразие транснациональных организаций, занимающихся вопросами устойчивого развития. Необходимо изучить роль доверия, авторитета и легитимности, а также то, как транснациональные институты могут достичь их в достижении как Повестки дня на период до 2030 года, так и Повестки дня на период до 2063 года, других программ развития и общего качества жизни в Африке.</w:t>
      </w:r>
    </w:p>
    <w:p w14:paraId="1C5AB6B9" w14:textId="77777777" w:rsidR="00113C0A" w:rsidRDefault="00113C0A"/>
    <w:sectPr w:rsidR="00113C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7A0FA" w14:textId="77777777" w:rsidR="00CF7D4A" w:rsidRDefault="00CF7D4A" w:rsidP="008D22DB">
      <w:pPr>
        <w:spacing w:after="0" w:line="240" w:lineRule="auto"/>
      </w:pPr>
      <w:r>
        <w:separator/>
      </w:r>
    </w:p>
  </w:endnote>
  <w:endnote w:type="continuationSeparator" w:id="0">
    <w:p w14:paraId="670F186D" w14:textId="77777777" w:rsidR="00CF7D4A" w:rsidRDefault="00CF7D4A" w:rsidP="008D22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Times New Roman Полужирный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21BC2" w14:textId="77777777" w:rsidR="00CF7D4A" w:rsidRDefault="00CF7D4A" w:rsidP="008D22DB">
      <w:pPr>
        <w:spacing w:after="0" w:line="240" w:lineRule="auto"/>
      </w:pPr>
      <w:r>
        <w:separator/>
      </w:r>
    </w:p>
  </w:footnote>
  <w:footnote w:type="continuationSeparator" w:id="0">
    <w:p w14:paraId="70DD4278" w14:textId="77777777" w:rsidR="00CF7D4A" w:rsidRDefault="00CF7D4A" w:rsidP="008D22DB">
      <w:pPr>
        <w:spacing w:after="0" w:line="240" w:lineRule="auto"/>
      </w:pPr>
      <w:r>
        <w:continuationSeparator/>
      </w:r>
    </w:p>
  </w:footnote>
  <w:footnote w:id="1">
    <w:p w14:paraId="235C0E5D" w14:textId="77777777" w:rsidR="008D22DB" w:rsidRPr="00EE6B1F" w:rsidRDefault="008D22DB" w:rsidP="008D22DB">
      <w:pPr>
        <w:pStyle w:val="afb"/>
        <w:rPr>
          <w:rFonts w:ascii="Times New Roman" w:hAnsi="Times New Roman" w:cs="Times New Roman"/>
        </w:rPr>
      </w:pPr>
      <w:r w:rsidRPr="00EE6B1F">
        <w:rPr>
          <w:rStyle w:val="afd"/>
          <w:rFonts w:ascii="Times New Roman" w:hAnsi="Times New Roman" w:cs="Times New Roman"/>
          <w:highlight w:val="yellow"/>
        </w:rPr>
        <w:footnoteRef/>
      </w:r>
      <w:r w:rsidRPr="00EE6B1F">
        <w:rPr>
          <w:rFonts w:ascii="Times New Roman" w:hAnsi="Times New Roman" w:cs="Times New Roman"/>
          <w:highlight w:val="yellow"/>
        </w:rPr>
        <w:t xml:space="preserve"> Составлено автором по:</w:t>
      </w:r>
      <w:r w:rsidRPr="00EE6B1F">
        <w:rPr>
          <w:rFonts w:ascii="Times New Roman" w:hAnsi="Times New Roman" w:cs="Times New Roman"/>
          <w:iCs/>
          <w:highlight w:val="yellow"/>
        </w:rPr>
        <w:t xml:space="preserve"> [176]</w:t>
      </w:r>
    </w:p>
  </w:footnote>
  <w:footnote w:id="2">
    <w:p w14:paraId="1D9FDBA8" w14:textId="77777777" w:rsidR="008D22DB" w:rsidRPr="00EE6B1F" w:rsidRDefault="008D22DB" w:rsidP="008D22DB">
      <w:pPr>
        <w:pStyle w:val="afb"/>
        <w:rPr>
          <w:rFonts w:ascii="Times New Roman" w:hAnsi="Times New Roman" w:cs="Times New Roman"/>
        </w:rPr>
      </w:pPr>
      <w:r w:rsidRPr="00EE6B1F">
        <w:rPr>
          <w:rStyle w:val="afd"/>
          <w:rFonts w:ascii="Times New Roman" w:hAnsi="Times New Roman" w:cs="Times New Roman"/>
          <w:highlight w:val="yellow"/>
        </w:rPr>
        <w:footnoteRef/>
      </w:r>
      <w:r w:rsidRPr="00EE6B1F">
        <w:rPr>
          <w:rFonts w:ascii="Times New Roman" w:hAnsi="Times New Roman" w:cs="Times New Roman"/>
          <w:highlight w:val="yellow"/>
        </w:rPr>
        <w:t xml:space="preserve"> Составлено автором по:</w:t>
      </w:r>
      <w:r w:rsidRPr="00EE6B1F">
        <w:rPr>
          <w:rFonts w:ascii="Times New Roman" w:hAnsi="Times New Roman" w:cs="Times New Roman"/>
          <w:iCs/>
          <w:highlight w:val="yellow"/>
        </w:rPr>
        <w:t xml:space="preserve"> [62, 79]</w:t>
      </w:r>
    </w:p>
  </w:footnote>
  <w:footnote w:id="3">
    <w:p w14:paraId="18BA75A7" w14:textId="77777777" w:rsidR="008D22DB" w:rsidRPr="00A62CC3" w:rsidRDefault="008D22DB" w:rsidP="008D22DB">
      <w:pPr>
        <w:pStyle w:val="afb"/>
        <w:rPr>
          <w:rFonts w:ascii="Times New Roman" w:hAnsi="Times New Roman" w:cs="Times New Roman"/>
        </w:rPr>
      </w:pPr>
      <w:r w:rsidRPr="00EE6B1F">
        <w:rPr>
          <w:rStyle w:val="afd"/>
          <w:rFonts w:ascii="Times New Roman" w:hAnsi="Times New Roman" w:cs="Times New Roman"/>
          <w:highlight w:val="yellow"/>
        </w:rPr>
        <w:footnoteRef/>
      </w:r>
      <w:r w:rsidRPr="00A62CC3">
        <w:rPr>
          <w:rFonts w:ascii="Times New Roman" w:hAnsi="Times New Roman" w:cs="Times New Roman"/>
          <w:highlight w:val="yellow"/>
        </w:rPr>
        <w:t xml:space="preserve"> </w:t>
      </w:r>
      <w:r w:rsidRPr="00EE6B1F">
        <w:rPr>
          <w:rFonts w:ascii="Times New Roman" w:hAnsi="Times New Roman" w:cs="Times New Roman"/>
          <w:highlight w:val="yellow"/>
        </w:rPr>
        <w:t>Составлено</w:t>
      </w:r>
      <w:r w:rsidRPr="00A62CC3">
        <w:rPr>
          <w:rFonts w:ascii="Times New Roman" w:hAnsi="Times New Roman" w:cs="Times New Roman"/>
          <w:highlight w:val="yellow"/>
        </w:rPr>
        <w:t xml:space="preserve"> </w:t>
      </w:r>
      <w:r w:rsidRPr="00EE6B1F">
        <w:rPr>
          <w:rFonts w:ascii="Times New Roman" w:hAnsi="Times New Roman" w:cs="Times New Roman"/>
          <w:highlight w:val="yellow"/>
        </w:rPr>
        <w:t>автором</w:t>
      </w:r>
      <w:r w:rsidRPr="00A62CC3">
        <w:rPr>
          <w:rFonts w:ascii="Times New Roman" w:hAnsi="Times New Roman" w:cs="Times New Roman"/>
          <w:highlight w:val="yellow"/>
        </w:rPr>
        <w:t xml:space="preserve"> </w:t>
      </w:r>
      <w:r w:rsidRPr="00EE6B1F">
        <w:rPr>
          <w:rFonts w:ascii="Times New Roman" w:hAnsi="Times New Roman" w:cs="Times New Roman"/>
          <w:highlight w:val="yellow"/>
        </w:rPr>
        <w:t>по</w:t>
      </w:r>
      <w:r w:rsidRPr="00A62CC3">
        <w:rPr>
          <w:rFonts w:ascii="Times New Roman" w:hAnsi="Times New Roman" w:cs="Times New Roman"/>
          <w:highlight w:val="yellow"/>
        </w:rPr>
        <w:t>:</w:t>
      </w:r>
      <w:r w:rsidRPr="00A62CC3">
        <w:rPr>
          <w:rFonts w:ascii="Times New Roman" w:hAnsi="Times New Roman" w:cs="Times New Roman"/>
          <w:iCs/>
          <w:highlight w:val="yellow"/>
        </w:rPr>
        <w:t xml:space="preserve"> [30]</w:t>
      </w:r>
    </w:p>
  </w:footnote>
  <w:footnote w:id="4">
    <w:p w14:paraId="4440554B" w14:textId="77777777" w:rsidR="008D22DB" w:rsidRPr="00D0500C" w:rsidRDefault="008D22DB" w:rsidP="008D22DB">
      <w:pPr>
        <w:pStyle w:val="afb"/>
        <w:jc w:val="both"/>
        <w:rPr>
          <w:rFonts w:ascii="Times New Roman" w:hAnsi="Times New Roman" w:cs="Times New Roman"/>
          <w:lang w:val="fr-FR"/>
        </w:rPr>
      </w:pPr>
      <w:r w:rsidRPr="00FE57A5">
        <w:rPr>
          <w:rStyle w:val="afd"/>
          <w:rFonts w:ascii="Times New Roman" w:hAnsi="Times New Roman" w:cs="Times New Roman"/>
          <w:highlight w:val="green"/>
        </w:rPr>
        <w:footnoteRef/>
      </w:r>
      <w:r w:rsidRPr="00FE57A5">
        <w:rPr>
          <w:rFonts w:ascii="Times New Roman" w:hAnsi="Times New Roman" w:cs="Times New Roman"/>
          <w:highlight w:val="green"/>
          <w:lang w:val="en-US"/>
        </w:rPr>
        <w:t xml:space="preserve"> Africa - Population Reference Bureau.</w:t>
      </w:r>
      <w:r w:rsidRPr="00FE57A5">
        <w:rPr>
          <w:highlight w:val="green"/>
          <w:lang w:val="en-US"/>
        </w:rPr>
        <w:t xml:space="preserve"> </w:t>
      </w:r>
      <w:r w:rsidRPr="00FE57A5">
        <w:rPr>
          <w:rFonts w:ascii="Times New Roman" w:hAnsi="Times New Roman" w:cs="Times New Roman"/>
          <w:highlight w:val="green"/>
          <w:lang w:val="en-US"/>
        </w:rPr>
        <w:t xml:space="preserve">2024 World Population Data Sheet. </w:t>
      </w:r>
      <w:r w:rsidRPr="00FE57A5">
        <w:rPr>
          <w:rFonts w:ascii="Times New Roman" w:hAnsi="Times New Roman" w:cs="Times New Roman"/>
          <w:highlight w:val="green"/>
          <w:lang w:val="fr-FR"/>
        </w:rPr>
        <w:t>URL: https://2024-wpds.prb.org/africa/#western-africa.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3E66"/>
    <w:multiLevelType w:val="multilevel"/>
    <w:tmpl w:val="49C4767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33167"/>
    <w:multiLevelType w:val="hybridMultilevel"/>
    <w:tmpl w:val="D388848E"/>
    <w:lvl w:ilvl="0" w:tplc="3BE4E49A">
      <w:start w:val="1"/>
      <w:numFmt w:val="bullet"/>
      <w:lvlText w:val=""/>
      <w:lvlJc w:val="left"/>
      <w:pPr>
        <w:ind w:left="14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2" w15:restartNumberingAfterBreak="0">
    <w:nsid w:val="02790E99"/>
    <w:multiLevelType w:val="hybridMultilevel"/>
    <w:tmpl w:val="7CC039A4"/>
    <w:lvl w:ilvl="0" w:tplc="3BE4E49A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07F03DCC"/>
    <w:multiLevelType w:val="hybridMultilevel"/>
    <w:tmpl w:val="0F4883CE"/>
    <w:lvl w:ilvl="0" w:tplc="3BE4E4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B393FAB"/>
    <w:multiLevelType w:val="multilevel"/>
    <w:tmpl w:val="3D02D600"/>
    <w:lvl w:ilvl="0">
      <w:start w:val="1"/>
      <w:numFmt w:val="bullet"/>
      <w:lvlText w:val=""/>
      <w:lvlJc w:val="left"/>
      <w:pPr>
        <w:ind w:left="0" w:firstLine="0"/>
      </w:pPr>
      <w:rPr>
        <w:rFonts w:ascii="Symbol" w:hAnsi="Symbol" w:hint="default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  <w:lang w:val="en-U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0D923D3F"/>
    <w:multiLevelType w:val="hybridMultilevel"/>
    <w:tmpl w:val="B94C3DCA"/>
    <w:lvl w:ilvl="0" w:tplc="3BE4E4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4E36EF8"/>
    <w:multiLevelType w:val="hybridMultilevel"/>
    <w:tmpl w:val="C9344974"/>
    <w:lvl w:ilvl="0" w:tplc="3BE4E4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5051ABE"/>
    <w:multiLevelType w:val="hybridMultilevel"/>
    <w:tmpl w:val="58BC809A"/>
    <w:lvl w:ilvl="0" w:tplc="3BE4E4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5EB1891"/>
    <w:multiLevelType w:val="hybridMultilevel"/>
    <w:tmpl w:val="4DD2C36A"/>
    <w:lvl w:ilvl="0" w:tplc="F8289B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7584384"/>
    <w:multiLevelType w:val="hybridMultilevel"/>
    <w:tmpl w:val="E0466E90"/>
    <w:lvl w:ilvl="0" w:tplc="3BE4E49A">
      <w:start w:val="1"/>
      <w:numFmt w:val="bullet"/>
      <w:lvlText w:val=""/>
      <w:lvlJc w:val="left"/>
      <w:pPr>
        <w:ind w:left="14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10" w15:restartNumberingAfterBreak="0">
    <w:nsid w:val="1795565D"/>
    <w:multiLevelType w:val="hybridMultilevel"/>
    <w:tmpl w:val="F35A6FA2"/>
    <w:lvl w:ilvl="0" w:tplc="0D98F34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B8152F0"/>
    <w:multiLevelType w:val="hybridMultilevel"/>
    <w:tmpl w:val="2326CFB4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126954"/>
    <w:multiLevelType w:val="hybridMultilevel"/>
    <w:tmpl w:val="EE388748"/>
    <w:lvl w:ilvl="0" w:tplc="3BE4E49A">
      <w:start w:val="1"/>
      <w:numFmt w:val="bullet"/>
      <w:lvlText w:val=""/>
      <w:lvlJc w:val="left"/>
      <w:pPr>
        <w:ind w:left="14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13" w15:restartNumberingAfterBreak="0">
    <w:nsid w:val="1F634D3D"/>
    <w:multiLevelType w:val="multilevel"/>
    <w:tmpl w:val="B66CF05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D1023E"/>
    <w:multiLevelType w:val="hybridMultilevel"/>
    <w:tmpl w:val="68D88846"/>
    <w:lvl w:ilvl="0" w:tplc="3BE4E4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9764D89"/>
    <w:multiLevelType w:val="hybridMultilevel"/>
    <w:tmpl w:val="7FB483A0"/>
    <w:lvl w:ilvl="0" w:tplc="3BE4E4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A315CAC"/>
    <w:multiLevelType w:val="hybridMultilevel"/>
    <w:tmpl w:val="DEA62972"/>
    <w:lvl w:ilvl="0" w:tplc="3BE4E49A">
      <w:start w:val="1"/>
      <w:numFmt w:val="bullet"/>
      <w:lvlText w:val=""/>
      <w:lvlJc w:val="left"/>
      <w:pPr>
        <w:ind w:left="14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17" w15:restartNumberingAfterBreak="0">
    <w:nsid w:val="31221E1F"/>
    <w:multiLevelType w:val="hybridMultilevel"/>
    <w:tmpl w:val="6BA89BB0"/>
    <w:lvl w:ilvl="0" w:tplc="3BE4E49A">
      <w:start w:val="1"/>
      <w:numFmt w:val="bullet"/>
      <w:lvlText w:val=""/>
      <w:lvlJc w:val="left"/>
      <w:pPr>
        <w:ind w:left="14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18" w15:restartNumberingAfterBreak="0">
    <w:nsid w:val="36C725F6"/>
    <w:multiLevelType w:val="hybridMultilevel"/>
    <w:tmpl w:val="06CC0A4C"/>
    <w:lvl w:ilvl="0" w:tplc="3BE4E49A">
      <w:start w:val="1"/>
      <w:numFmt w:val="bullet"/>
      <w:lvlText w:val=""/>
      <w:lvlJc w:val="left"/>
      <w:pPr>
        <w:ind w:left="14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19" w15:restartNumberingAfterBreak="0">
    <w:nsid w:val="3FFB32C2"/>
    <w:multiLevelType w:val="hybridMultilevel"/>
    <w:tmpl w:val="D2848AE4"/>
    <w:lvl w:ilvl="0" w:tplc="3BE4E4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071768A"/>
    <w:multiLevelType w:val="hybridMultilevel"/>
    <w:tmpl w:val="BBCAEF16"/>
    <w:lvl w:ilvl="0" w:tplc="3BE4E49A">
      <w:start w:val="1"/>
      <w:numFmt w:val="bullet"/>
      <w:lvlText w:val=""/>
      <w:lvlJc w:val="left"/>
      <w:pPr>
        <w:ind w:left="14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21" w15:restartNumberingAfterBreak="0">
    <w:nsid w:val="4AB40D6F"/>
    <w:multiLevelType w:val="hybridMultilevel"/>
    <w:tmpl w:val="5C92DFD4"/>
    <w:lvl w:ilvl="0" w:tplc="3BE4E49A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C547B04"/>
    <w:multiLevelType w:val="hybridMultilevel"/>
    <w:tmpl w:val="254A03E8"/>
    <w:lvl w:ilvl="0" w:tplc="3BE4E49A">
      <w:start w:val="1"/>
      <w:numFmt w:val="bullet"/>
      <w:lvlText w:val=""/>
      <w:lvlJc w:val="left"/>
      <w:pPr>
        <w:ind w:left="14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23" w15:restartNumberingAfterBreak="0">
    <w:nsid w:val="53343A18"/>
    <w:multiLevelType w:val="hybridMultilevel"/>
    <w:tmpl w:val="D542FB8A"/>
    <w:lvl w:ilvl="0" w:tplc="3BE4E49A">
      <w:start w:val="1"/>
      <w:numFmt w:val="bullet"/>
      <w:lvlText w:val=""/>
      <w:lvlJc w:val="left"/>
      <w:pPr>
        <w:ind w:left="14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24" w15:restartNumberingAfterBreak="0">
    <w:nsid w:val="53BE5D63"/>
    <w:multiLevelType w:val="hybridMultilevel"/>
    <w:tmpl w:val="C7AEE7CA"/>
    <w:lvl w:ilvl="0" w:tplc="3BE4E4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50B44C8"/>
    <w:multiLevelType w:val="hybridMultilevel"/>
    <w:tmpl w:val="D6BA21FE"/>
    <w:lvl w:ilvl="0" w:tplc="3BE4E4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77609CD"/>
    <w:multiLevelType w:val="hybridMultilevel"/>
    <w:tmpl w:val="4BDC9FCC"/>
    <w:lvl w:ilvl="0" w:tplc="3BE4E49A">
      <w:start w:val="1"/>
      <w:numFmt w:val="bullet"/>
      <w:lvlText w:val=""/>
      <w:lvlJc w:val="left"/>
      <w:pPr>
        <w:ind w:left="14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27" w15:restartNumberingAfterBreak="0">
    <w:nsid w:val="59BB151B"/>
    <w:multiLevelType w:val="hybridMultilevel"/>
    <w:tmpl w:val="A0649C90"/>
    <w:lvl w:ilvl="0" w:tplc="E9841A44">
      <w:start w:val="1"/>
      <w:numFmt w:val="decimal"/>
      <w:lvlText w:val="%1."/>
      <w:lvlJc w:val="left"/>
      <w:pPr>
        <w:ind w:left="526" w:hanging="240"/>
      </w:pPr>
      <w:rPr>
        <w:rFonts w:ascii="Times New Roman" w:eastAsia="Cambria" w:hAnsi="Times New Roman" w:cs="Times New Roman" w:hint="default"/>
        <w:color w:val="131413"/>
        <w:w w:val="113"/>
        <w:sz w:val="28"/>
        <w:szCs w:val="28"/>
        <w:lang w:val="ru-RU" w:eastAsia="en-US" w:bidi="ar-SA"/>
      </w:rPr>
    </w:lvl>
    <w:lvl w:ilvl="1" w:tplc="8F623CCE">
      <w:numFmt w:val="bullet"/>
      <w:lvlText w:val="•"/>
      <w:lvlJc w:val="left"/>
      <w:pPr>
        <w:ind w:left="1113" w:hanging="240"/>
      </w:pPr>
      <w:rPr>
        <w:rFonts w:hint="default"/>
        <w:lang w:val="en-US" w:eastAsia="en-US" w:bidi="ar-SA"/>
      </w:rPr>
    </w:lvl>
    <w:lvl w:ilvl="2" w:tplc="0C94D908">
      <w:numFmt w:val="bullet"/>
      <w:lvlText w:val="•"/>
      <w:lvlJc w:val="left"/>
      <w:pPr>
        <w:ind w:left="1707" w:hanging="240"/>
      </w:pPr>
      <w:rPr>
        <w:rFonts w:hint="default"/>
        <w:lang w:val="en-US" w:eastAsia="en-US" w:bidi="ar-SA"/>
      </w:rPr>
    </w:lvl>
    <w:lvl w:ilvl="3" w:tplc="BB949E36">
      <w:numFmt w:val="bullet"/>
      <w:lvlText w:val="•"/>
      <w:lvlJc w:val="left"/>
      <w:pPr>
        <w:ind w:left="2301" w:hanging="240"/>
      </w:pPr>
      <w:rPr>
        <w:rFonts w:hint="default"/>
        <w:lang w:val="en-US" w:eastAsia="en-US" w:bidi="ar-SA"/>
      </w:rPr>
    </w:lvl>
    <w:lvl w:ilvl="4" w:tplc="ECE8090C">
      <w:numFmt w:val="bullet"/>
      <w:lvlText w:val="•"/>
      <w:lvlJc w:val="left"/>
      <w:pPr>
        <w:ind w:left="2894" w:hanging="240"/>
      </w:pPr>
      <w:rPr>
        <w:rFonts w:hint="default"/>
        <w:lang w:val="en-US" w:eastAsia="en-US" w:bidi="ar-SA"/>
      </w:rPr>
    </w:lvl>
    <w:lvl w:ilvl="5" w:tplc="61BC007E">
      <w:numFmt w:val="bullet"/>
      <w:lvlText w:val="•"/>
      <w:lvlJc w:val="left"/>
      <w:pPr>
        <w:ind w:left="3488" w:hanging="240"/>
      </w:pPr>
      <w:rPr>
        <w:rFonts w:hint="default"/>
        <w:lang w:val="en-US" w:eastAsia="en-US" w:bidi="ar-SA"/>
      </w:rPr>
    </w:lvl>
    <w:lvl w:ilvl="6" w:tplc="370E6650">
      <w:numFmt w:val="bullet"/>
      <w:lvlText w:val="•"/>
      <w:lvlJc w:val="left"/>
      <w:pPr>
        <w:ind w:left="4082" w:hanging="240"/>
      </w:pPr>
      <w:rPr>
        <w:rFonts w:hint="default"/>
        <w:lang w:val="en-US" w:eastAsia="en-US" w:bidi="ar-SA"/>
      </w:rPr>
    </w:lvl>
    <w:lvl w:ilvl="7" w:tplc="7D38323C">
      <w:numFmt w:val="bullet"/>
      <w:lvlText w:val="•"/>
      <w:lvlJc w:val="left"/>
      <w:pPr>
        <w:ind w:left="4675" w:hanging="240"/>
      </w:pPr>
      <w:rPr>
        <w:rFonts w:hint="default"/>
        <w:lang w:val="en-US" w:eastAsia="en-US" w:bidi="ar-SA"/>
      </w:rPr>
    </w:lvl>
    <w:lvl w:ilvl="8" w:tplc="9DE6F4F4">
      <w:numFmt w:val="bullet"/>
      <w:lvlText w:val="•"/>
      <w:lvlJc w:val="left"/>
      <w:pPr>
        <w:ind w:left="5269" w:hanging="240"/>
      </w:pPr>
      <w:rPr>
        <w:rFonts w:hint="default"/>
        <w:lang w:val="en-US" w:eastAsia="en-US" w:bidi="ar-SA"/>
      </w:rPr>
    </w:lvl>
  </w:abstractNum>
  <w:abstractNum w:abstractNumId="28" w15:restartNumberingAfterBreak="0">
    <w:nsid w:val="5AB048C4"/>
    <w:multiLevelType w:val="hybridMultilevel"/>
    <w:tmpl w:val="98C077C2"/>
    <w:lvl w:ilvl="0" w:tplc="A0CAF8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5B5F0D07"/>
    <w:multiLevelType w:val="hybridMultilevel"/>
    <w:tmpl w:val="F6220648"/>
    <w:lvl w:ilvl="0" w:tplc="F8289B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B951F60"/>
    <w:multiLevelType w:val="hybridMultilevel"/>
    <w:tmpl w:val="D75A585C"/>
    <w:lvl w:ilvl="0" w:tplc="3BE4E4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D427F05"/>
    <w:multiLevelType w:val="hybridMultilevel"/>
    <w:tmpl w:val="5AA25874"/>
    <w:lvl w:ilvl="0" w:tplc="3BE4E4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83C1A94"/>
    <w:multiLevelType w:val="hybridMultilevel"/>
    <w:tmpl w:val="D0B095A2"/>
    <w:lvl w:ilvl="0" w:tplc="F8289B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878069E"/>
    <w:multiLevelType w:val="multilevel"/>
    <w:tmpl w:val="957E923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377C63"/>
    <w:multiLevelType w:val="hybridMultilevel"/>
    <w:tmpl w:val="7946E042"/>
    <w:lvl w:ilvl="0" w:tplc="3BE4E4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ADC3C27"/>
    <w:multiLevelType w:val="hybridMultilevel"/>
    <w:tmpl w:val="C73CFAF4"/>
    <w:lvl w:ilvl="0" w:tplc="3BE4E4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BD76A06"/>
    <w:multiLevelType w:val="multilevel"/>
    <w:tmpl w:val="60A86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A26318"/>
    <w:multiLevelType w:val="hybridMultilevel"/>
    <w:tmpl w:val="98A80D1A"/>
    <w:lvl w:ilvl="0" w:tplc="3BE4E49A">
      <w:start w:val="1"/>
      <w:numFmt w:val="bullet"/>
      <w:lvlText w:val=""/>
      <w:lvlJc w:val="left"/>
      <w:pPr>
        <w:ind w:left="14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38" w15:restartNumberingAfterBreak="0">
    <w:nsid w:val="729C0DF5"/>
    <w:multiLevelType w:val="hybridMultilevel"/>
    <w:tmpl w:val="4D984BB8"/>
    <w:lvl w:ilvl="0" w:tplc="3BE4E49A">
      <w:start w:val="1"/>
      <w:numFmt w:val="bullet"/>
      <w:lvlText w:val=""/>
      <w:lvlJc w:val="left"/>
      <w:pPr>
        <w:ind w:left="14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39" w15:restartNumberingAfterBreak="0">
    <w:nsid w:val="72DB0645"/>
    <w:multiLevelType w:val="hybridMultilevel"/>
    <w:tmpl w:val="882C9FA4"/>
    <w:lvl w:ilvl="0" w:tplc="3BE4E49A">
      <w:start w:val="1"/>
      <w:numFmt w:val="bullet"/>
      <w:lvlText w:val=""/>
      <w:lvlJc w:val="left"/>
      <w:pPr>
        <w:ind w:left="14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40" w15:restartNumberingAfterBreak="0">
    <w:nsid w:val="78066241"/>
    <w:multiLevelType w:val="hybridMultilevel"/>
    <w:tmpl w:val="578E5EAE"/>
    <w:lvl w:ilvl="0" w:tplc="3BE4E49A">
      <w:start w:val="1"/>
      <w:numFmt w:val="bullet"/>
      <w:lvlText w:val=""/>
      <w:lvlJc w:val="left"/>
      <w:pPr>
        <w:ind w:left="14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41" w15:restartNumberingAfterBreak="0">
    <w:nsid w:val="78540FBE"/>
    <w:multiLevelType w:val="hybridMultilevel"/>
    <w:tmpl w:val="46EC4B20"/>
    <w:lvl w:ilvl="0" w:tplc="3BE4E4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9464FFD"/>
    <w:multiLevelType w:val="hybridMultilevel"/>
    <w:tmpl w:val="BEFC75A8"/>
    <w:lvl w:ilvl="0" w:tplc="3BE4E4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A514D52"/>
    <w:multiLevelType w:val="hybridMultilevel"/>
    <w:tmpl w:val="93C456B8"/>
    <w:lvl w:ilvl="0" w:tplc="54D048C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7B10B6"/>
    <w:multiLevelType w:val="hybridMultilevel"/>
    <w:tmpl w:val="932470C2"/>
    <w:lvl w:ilvl="0" w:tplc="3BE4E4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C98323F"/>
    <w:multiLevelType w:val="hybridMultilevel"/>
    <w:tmpl w:val="9036F5FA"/>
    <w:lvl w:ilvl="0" w:tplc="3BE4E4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673143737">
    <w:abstractNumId w:val="27"/>
  </w:num>
  <w:num w:numId="2" w16cid:durableId="127476505">
    <w:abstractNumId w:val="4"/>
  </w:num>
  <w:num w:numId="3" w16cid:durableId="1550073918">
    <w:abstractNumId w:val="8"/>
  </w:num>
  <w:num w:numId="4" w16cid:durableId="1537084392">
    <w:abstractNumId w:val="32"/>
  </w:num>
  <w:num w:numId="5" w16cid:durableId="702748334">
    <w:abstractNumId w:val="29"/>
  </w:num>
  <w:num w:numId="6" w16cid:durableId="1396469086">
    <w:abstractNumId w:val="43"/>
  </w:num>
  <w:num w:numId="7" w16cid:durableId="710809058">
    <w:abstractNumId w:val="17"/>
  </w:num>
  <w:num w:numId="8" w16cid:durableId="1765834705">
    <w:abstractNumId w:val="2"/>
  </w:num>
  <w:num w:numId="9" w16cid:durableId="1182166886">
    <w:abstractNumId w:val="37"/>
  </w:num>
  <w:num w:numId="10" w16cid:durableId="16539679">
    <w:abstractNumId w:val="9"/>
  </w:num>
  <w:num w:numId="11" w16cid:durableId="1353143399">
    <w:abstractNumId w:val="26"/>
  </w:num>
  <w:num w:numId="12" w16cid:durableId="1820537253">
    <w:abstractNumId w:val="18"/>
  </w:num>
  <w:num w:numId="13" w16cid:durableId="2049840838">
    <w:abstractNumId w:val="20"/>
  </w:num>
  <w:num w:numId="14" w16cid:durableId="41248966">
    <w:abstractNumId w:val="39"/>
  </w:num>
  <w:num w:numId="15" w16cid:durableId="1641111678">
    <w:abstractNumId w:val="45"/>
  </w:num>
  <w:num w:numId="16" w16cid:durableId="1419136126">
    <w:abstractNumId w:val="12"/>
  </w:num>
  <w:num w:numId="17" w16cid:durableId="303895259">
    <w:abstractNumId w:val="38"/>
  </w:num>
  <w:num w:numId="18" w16cid:durableId="547382483">
    <w:abstractNumId w:val="22"/>
  </w:num>
  <w:num w:numId="19" w16cid:durableId="756561021">
    <w:abstractNumId w:val="1"/>
  </w:num>
  <w:num w:numId="20" w16cid:durableId="1887326667">
    <w:abstractNumId w:val="16"/>
  </w:num>
  <w:num w:numId="21" w16cid:durableId="1636062288">
    <w:abstractNumId w:val="23"/>
  </w:num>
  <w:num w:numId="22" w16cid:durableId="1272006288">
    <w:abstractNumId w:val="40"/>
  </w:num>
  <w:num w:numId="23" w16cid:durableId="973296468">
    <w:abstractNumId w:val="28"/>
  </w:num>
  <w:num w:numId="24" w16cid:durableId="186065550">
    <w:abstractNumId w:val="36"/>
  </w:num>
  <w:num w:numId="25" w16cid:durableId="895772825">
    <w:abstractNumId w:val="21"/>
  </w:num>
  <w:num w:numId="26" w16cid:durableId="1921061742">
    <w:abstractNumId w:val="13"/>
  </w:num>
  <w:num w:numId="27" w16cid:durableId="1398817494">
    <w:abstractNumId w:val="0"/>
  </w:num>
  <w:num w:numId="28" w16cid:durableId="222330839">
    <w:abstractNumId w:val="33"/>
  </w:num>
  <w:num w:numId="29" w16cid:durableId="646475662">
    <w:abstractNumId w:val="19"/>
  </w:num>
  <w:num w:numId="30" w16cid:durableId="1150947076">
    <w:abstractNumId w:val="7"/>
  </w:num>
  <w:num w:numId="31" w16cid:durableId="40174071">
    <w:abstractNumId w:val="31"/>
  </w:num>
  <w:num w:numId="32" w16cid:durableId="1362630540">
    <w:abstractNumId w:val="6"/>
  </w:num>
  <w:num w:numId="33" w16cid:durableId="1021708033">
    <w:abstractNumId w:val="25"/>
  </w:num>
  <w:num w:numId="34" w16cid:durableId="980767193">
    <w:abstractNumId w:val="30"/>
  </w:num>
  <w:num w:numId="35" w16cid:durableId="1940671348">
    <w:abstractNumId w:val="34"/>
  </w:num>
  <w:num w:numId="36" w16cid:durableId="2058619722">
    <w:abstractNumId w:val="11"/>
  </w:num>
  <w:num w:numId="37" w16cid:durableId="1039665713">
    <w:abstractNumId w:val="35"/>
  </w:num>
  <w:num w:numId="38" w16cid:durableId="1431269887">
    <w:abstractNumId w:val="5"/>
  </w:num>
  <w:num w:numId="39" w16cid:durableId="978652926">
    <w:abstractNumId w:val="41"/>
  </w:num>
  <w:num w:numId="40" w16cid:durableId="174921200">
    <w:abstractNumId w:val="42"/>
  </w:num>
  <w:num w:numId="41" w16cid:durableId="187959845">
    <w:abstractNumId w:val="14"/>
  </w:num>
  <w:num w:numId="42" w16cid:durableId="1896619540">
    <w:abstractNumId w:val="24"/>
  </w:num>
  <w:num w:numId="43" w16cid:durableId="1585531211">
    <w:abstractNumId w:val="15"/>
  </w:num>
  <w:num w:numId="44" w16cid:durableId="1902406134">
    <w:abstractNumId w:val="44"/>
  </w:num>
  <w:num w:numId="45" w16cid:durableId="1795248788">
    <w:abstractNumId w:val="3"/>
  </w:num>
  <w:num w:numId="46" w16cid:durableId="7406395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2DB"/>
    <w:rsid w:val="00067452"/>
    <w:rsid w:val="000F7186"/>
    <w:rsid w:val="00113C0A"/>
    <w:rsid w:val="001A6471"/>
    <w:rsid w:val="00266DAA"/>
    <w:rsid w:val="00272B96"/>
    <w:rsid w:val="008A7A44"/>
    <w:rsid w:val="008D22DB"/>
    <w:rsid w:val="00BD6526"/>
    <w:rsid w:val="00CF7D4A"/>
    <w:rsid w:val="00DC5654"/>
    <w:rsid w:val="00FB2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9A35C"/>
  <w15:chartTrackingRefBased/>
  <w15:docId w15:val="{B5F78378-056C-4570-84F5-BFE2257A4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1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2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D2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D22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D2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D22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8D2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2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2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2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22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D22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D22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D22D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8D22D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sid w:val="008D22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22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22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22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2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2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2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2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2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22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22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22D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22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22D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D22DB"/>
    <w:rPr>
      <w:b/>
      <w:bCs/>
      <w:smallCaps/>
      <w:color w:val="2F5496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8D22DB"/>
  </w:style>
  <w:style w:type="character" w:customStyle="1" w:styleId="81">
    <w:name w:val="Заголовок №8_"/>
    <w:basedOn w:val="a0"/>
    <w:rsid w:val="008D22D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9"/>
      <w:szCs w:val="39"/>
      <w:u w:val="none"/>
    </w:rPr>
  </w:style>
  <w:style w:type="character" w:customStyle="1" w:styleId="82">
    <w:name w:val="Заголовок №8"/>
    <w:basedOn w:val="81"/>
    <w:rsid w:val="008D22D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9"/>
      <w:szCs w:val="39"/>
      <w:u w:val="none"/>
      <w:lang w:val="en-US"/>
    </w:rPr>
  </w:style>
  <w:style w:type="character" w:customStyle="1" w:styleId="ac">
    <w:name w:val="Основной текст_"/>
    <w:basedOn w:val="a0"/>
    <w:link w:val="31"/>
    <w:rsid w:val="008D22DB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character" w:customStyle="1" w:styleId="91">
    <w:name w:val="Заголовок №9_"/>
    <w:basedOn w:val="a0"/>
    <w:rsid w:val="008D22DB"/>
    <w:rPr>
      <w:rFonts w:ascii="Times New Roman" w:eastAsia="Times New Roman" w:hAnsi="Times New Roman" w:cs="Times New Roman"/>
      <w:b/>
      <w:bCs/>
      <w:i/>
      <w:iCs/>
      <w:smallCaps w:val="0"/>
      <w:strike w:val="0"/>
      <w:sz w:val="29"/>
      <w:szCs w:val="29"/>
      <w:u w:val="none"/>
    </w:rPr>
  </w:style>
  <w:style w:type="character" w:customStyle="1" w:styleId="92">
    <w:name w:val="Заголовок №9"/>
    <w:basedOn w:val="91"/>
    <w:rsid w:val="008D22DB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9"/>
      <w:szCs w:val="29"/>
      <w:u w:val="none"/>
      <w:lang w:val="en-US"/>
    </w:rPr>
  </w:style>
  <w:style w:type="character" w:customStyle="1" w:styleId="16">
    <w:name w:val="Основной текст (16)_"/>
    <w:basedOn w:val="a0"/>
    <w:rsid w:val="008D22DB"/>
    <w:rPr>
      <w:rFonts w:ascii="Times New Roman" w:eastAsia="Times New Roman" w:hAnsi="Times New Roman" w:cs="Times New Roman"/>
      <w:b/>
      <w:bCs/>
      <w:i/>
      <w:iCs/>
      <w:smallCaps w:val="0"/>
      <w:strike w:val="0"/>
      <w:sz w:val="29"/>
      <w:szCs w:val="29"/>
      <w:u w:val="none"/>
    </w:rPr>
  </w:style>
  <w:style w:type="character" w:customStyle="1" w:styleId="160">
    <w:name w:val="Основной текст (16)"/>
    <w:basedOn w:val="16"/>
    <w:rsid w:val="008D22DB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9"/>
      <w:szCs w:val="29"/>
      <w:u w:val="none"/>
      <w:lang w:val="en-US"/>
    </w:rPr>
  </w:style>
  <w:style w:type="character" w:customStyle="1" w:styleId="100">
    <w:name w:val="Заголовок №10_"/>
    <w:basedOn w:val="a0"/>
    <w:rsid w:val="008D22DB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101">
    <w:name w:val="Заголовок №10"/>
    <w:basedOn w:val="100"/>
    <w:rsid w:val="008D22DB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/>
    </w:rPr>
  </w:style>
  <w:style w:type="paragraph" w:customStyle="1" w:styleId="31">
    <w:name w:val="Основной текст3"/>
    <w:basedOn w:val="a"/>
    <w:link w:val="ac"/>
    <w:rsid w:val="008D22DB"/>
    <w:pPr>
      <w:widowControl w:val="0"/>
      <w:shd w:val="clear" w:color="auto" w:fill="FFFFFF"/>
      <w:spacing w:before="300" w:after="180" w:line="299" w:lineRule="exact"/>
      <w:ind w:hanging="400"/>
      <w:jc w:val="both"/>
    </w:pPr>
    <w:rPr>
      <w:rFonts w:ascii="Times New Roman" w:eastAsia="Times New Roman" w:hAnsi="Times New Roman" w:cs="Times New Roman"/>
      <w:sz w:val="21"/>
      <w:szCs w:val="21"/>
    </w:rPr>
  </w:style>
  <w:style w:type="character" w:customStyle="1" w:styleId="41">
    <w:name w:val="Основной текст (4)_"/>
    <w:basedOn w:val="a0"/>
    <w:link w:val="42"/>
    <w:rsid w:val="008D22DB"/>
    <w:rPr>
      <w:rFonts w:ascii="Times New Roman" w:eastAsia="Times New Roman" w:hAnsi="Times New Roman" w:cs="Times New Roman"/>
      <w:b/>
      <w:bCs/>
      <w:sz w:val="44"/>
      <w:szCs w:val="44"/>
      <w:shd w:val="clear" w:color="auto" w:fill="FFFFFF"/>
    </w:rPr>
  </w:style>
  <w:style w:type="character" w:customStyle="1" w:styleId="ad">
    <w:name w:val="Колонтитул_"/>
    <w:basedOn w:val="a0"/>
    <w:rsid w:val="008D22D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ae">
    <w:name w:val="Колонтитул"/>
    <w:basedOn w:val="ad"/>
    <w:rsid w:val="008D22D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/>
    </w:rPr>
  </w:style>
  <w:style w:type="character" w:customStyle="1" w:styleId="Calibri105pt">
    <w:name w:val="Колонтитул + Calibri;10;5 pt;Полужирный"/>
    <w:basedOn w:val="ad"/>
    <w:rsid w:val="008D22DB"/>
    <w:rPr>
      <w:rFonts w:ascii="Calibri" w:eastAsia="Calibri" w:hAnsi="Calibri" w:cs="Calibri"/>
      <w:b/>
      <w:bCs/>
      <w:i w:val="0"/>
      <w:iCs w:val="0"/>
      <w:smallCaps w:val="0"/>
      <w:strike w:val="0"/>
      <w:color w:val="FFFFFF"/>
      <w:spacing w:val="0"/>
      <w:w w:val="100"/>
      <w:position w:val="0"/>
      <w:sz w:val="21"/>
      <w:szCs w:val="21"/>
      <w:u w:val="none"/>
    </w:rPr>
  </w:style>
  <w:style w:type="character" w:customStyle="1" w:styleId="12pt">
    <w:name w:val="Колонтитул + 12 pt;Полужирный"/>
    <w:basedOn w:val="ad"/>
    <w:rsid w:val="008D22D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FFFFFF"/>
      <w:spacing w:val="0"/>
      <w:w w:val="100"/>
      <w:position w:val="0"/>
      <w:sz w:val="24"/>
      <w:szCs w:val="24"/>
      <w:u w:val="none"/>
    </w:rPr>
  </w:style>
  <w:style w:type="paragraph" w:customStyle="1" w:styleId="42">
    <w:name w:val="Основной текст (4)"/>
    <w:basedOn w:val="a"/>
    <w:link w:val="41"/>
    <w:rsid w:val="008D22DB"/>
    <w:pPr>
      <w:widowControl w:val="0"/>
      <w:shd w:val="clear" w:color="auto" w:fill="FFFFFF"/>
      <w:spacing w:before="720" w:after="0" w:line="543" w:lineRule="exact"/>
    </w:pPr>
    <w:rPr>
      <w:rFonts w:ascii="Times New Roman" w:eastAsia="Times New Roman" w:hAnsi="Times New Roman" w:cs="Times New Roman"/>
      <w:b/>
      <w:bCs/>
      <w:sz w:val="44"/>
      <w:szCs w:val="44"/>
    </w:rPr>
  </w:style>
  <w:style w:type="paragraph" w:styleId="af">
    <w:name w:val="header"/>
    <w:basedOn w:val="a"/>
    <w:link w:val="af0"/>
    <w:uiPriority w:val="99"/>
    <w:unhideWhenUsed/>
    <w:rsid w:val="008D22DB"/>
    <w:pPr>
      <w:tabs>
        <w:tab w:val="center" w:pos="4677"/>
        <w:tab w:val="right" w:pos="9355"/>
      </w:tabs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af0">
    <w:name w:val="Верхний колонтитул Знак"/>
    <w:basedOn w:val="a0"/>
    <w:link w:val="af"/>
    <w:uiPriority w:val="99"/>
    <w:rsid w:val="008D22DB"/>
    <w:rPr>
      <w:kern w:val="0"/>
      <w:sz w:val="22"/>
      <w:szCs w:val="22"/>
      <w14:ligatures w14:val="none"/>
    </w:rPr>
  </w:style>
  <w:style w:type="paragraph" w:styleId="af1">
    <w:name w:val="footer"/>
    <w:basedOn w:val="a"/>
    <w:link w:val="af2"/>
    <w:uiPriority w:val="99"/>
    <w:unhideWhenUsed/>
    <w:rsid w:val="008D22DB"/>
    <w:pPr>
      <w:tabs>
        <w:tab w:val="center" w:pos="4677"/>
        <w:tab w:val="right" w:pos="9355"/>
      </w:tabs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af2">
    <w:name w:val="Нижний колонтитул Знак"/>
    <w:basedOn w:val="a0"/>
    <w:link w:val="af1"/>
    <w:uiPriority w:val="99"/>
    <w:rsid w:val="008D22DB"/>
    <w:rPr>
      <w:kern w:val="0"/>
      <w:sz w:val="22"/>
      <w:szCs w:val="22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8D22DB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toc 1"/>
    <w:basedOn w:val="a"/>
    <w:uiPriority w:val="1"/>
    <w:qFormat/>
    <w:rsid w:val="008D22DB"/>
    <w:pPr>
      <w:widowControl w:val="0"/>
      <w:autoSpaceDE w:val="0"/>
      <w:autoSpaceDN w:val="0"/>
      <w:spacing w:before="9" w:after="0" w:line="240" w:lineRule="auto"/>
      <w:ind w:left="117"/>
    </w:pPr>
    <w:rPr>
      <w:rFonts w:ascii="Georgia" w:eastAsia="Georgia" w:hAnsi="Georgia" w:cs="Georgia"/>
      <w:kern w:val="0"/>
      <w:sz w:val="20"/>
      <w:szCs w:val="20"/>
      <w:lang w:val="en-US"/>
      <w14:ligatures w14:val="none"/>
    </w:rPr>
  </w:style>
  <w:style w:type="paragraph" w:styleId="23">
    <w:name w:val="toc 2"/>
    <w:basedOn w:val="a"/>
    <w:uiPriority w:val="1"/>
    <w:qFormat/>
    <w:rsid w:val="008D22DB"/>
    <w:pPr>
      <w:widowControl w:val="0"/>
      <w:autoSpaceDE w:val="0"/>
      <w:autoSpaceDN w:val="0"/>
      <w:spacing w:before="69" w:after="0" w:line="240" w:lineRule="auto"/>
      <w:ind w:left="117"/>
    </w:pPr>
    <w:rPr>
      <w:rFonts w:ascii="Times New Roman" w:eastAsia="Times New Roman" w:hAnsi="Times New Roman" w:cs="Times New Roman"/>
      <w:kern w:val="0"/>
      <w:sz w:val="17"/>
      <w:szCs w:val="17"/>
      <w:lang w:val="en-US"/>
      <w14:ligatures w14:val="none"/>
    </w:rPr>
  </w:style>
  <w:style w:type="paragraph" w:styleId="af3">
    <w:name w:val="Body Text"/>
    <w:basedOn w:val="a"/>
    <w:link w:val="af4"/>
    <w:uiPriority w:val="1"/>
    <w:qFormat/>
    <w:rsid w:val="008D22D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customStyle="1" w:styleId="af4">
    <w:name w:val="Основной текст Знак"/>
    <w:basedOn w:val="a0"/>
    <w:link w:val="af3"/>
    <w:uiPriority w:val="1"/>
    <w:rsid w:val="008D22DB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customStyle="1" w:styleId="TableParagraph">
    <w:name w:val="Table Paragraph"/>
    <w:basedOn w:val="a"/>
    <w:uiPriority w:val="1"/>
    <w:qFormat/>
    <w:rsid w:val="008D22DB"/>
    <w:pPr>
      <w:widowControl w:val="0"/>
      <w:autoSpaceDE w:val="0"/>
      <w:autoSpaceDN w:val="0"/>
      <w:spacing w:before="23" w:after="0" w:line="240" w:lineRule="auto"/>
      <w:ind w:left="61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character" w:customStyle="1" w:styleId="af5">
    <w:name w:val="Основной текст + Курсив"/>
    <w:basedOn w:val="ac"/>
    <w:rsid w:val="008D22DB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1"/>
      <w:szCs w:val="21"/>
      <w:shd w:val="clear" w:color="auto" w:fill="FFFFFF"/>
      <w:lang w:val="en-US"/>
    </w:rPr>
  </w:style>
  <w:style w:type="character" w:styleId="af6">
    <w:name w:val="Hyperlink"/>
    <w:basedOn w:val="a0"/>
    <w:uiPriority w:val="99"/>
    <w:unhideWhenUsed/>
    <w:rsid w:val="008D22DB"/>
    <w:rPr>
      <w:color w:val="0563C1" w:themeColor="hyperlink"/>
      <w:u w:val="single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8D22DB"/>
    <w:rPr>
      <w:color w:val="605E5C"/>
      <w:shd w:val="clear" w:color="auto" w:fill="E1DFDD"/>
    </w:rPr>
  </w:style>
  <w:style w:type="paragraph" w:styleId="32">
    <w:name w:val="toc 3"/>
    <w:basedOn w:val="a"/>
    <w:uiPriority w:val="1"/>
    <w:qFormat/>
    <w:rsid w:val="008D22DB"/>
    <w:pPr>
      <w:widowControl w:val="0"/>
      <w:autoSpaceDE w:val="0"/>
      <w:autoSpaceDN w:val="0"/>
      <w:spacing w:before="149" w:after="0" w:line="240" w:lineRule="auto"/>
      <w:ind w:left="286"/>
    </w:pPr>
    <w:rPr>
      <w:rFonts w:ascii="Cambria" w:eastAsia="Cambria" w:hAnsi="Cambria" w:cs="Cambria"/>
      <w:b/>
      <w:bCs/>
      <w:i/>
      <w:iCs/>
      <w:kern w:val="0"/>
      <w:sz w:val="22"/>
      <w:szCs w:val="22"/>
      <w:lang w:val="en-US"/>
      <w14:ligatures w14:val="none"/>
    </w:rPr>
  </w:style>
  <w:style w:type="paragraph" w:styleId="43">
    <w:name w:val="toc 4"/>
    <w:basedOn w:val="a"/>
    <w:uiPriority w:val="1"/>
    <w:qFormat/>
    <w:rsid w:val="008D22DB"/>
    <w:pPr>
      <w:widowControl w:val="0"/>
      <w:autoSpaceDE w:val="0"/>
      <w:autoSpaceDN w:val="0"/>
      <w:spacing w:before="29" w:after="0" w:line="240" w:lineRule="auto"/>
      <w:ind w:left="647"/>
    </w:pPr>
    <w:rPr>
      <w:rFonts w:ascii="Cambria" w:eastAsia="Cambria" w:hAnsi="Cambria" w:cs="Cambria"/>
      <w:kern w:val="0"/>
      <w:sz w:val="18"/>
      <w:szCs w:val="18"/>
      <w:lang w:val="en-US"/>
      <w14:ligatures w14:val="none"/>
    </w:rPr>
  </w:style>
  <w:style w:type="paragraph" w:styleId="51">
    <w:name w:val="toc 5"/>
    <w:basedOn w:val="a"/>
    <w:uiPriority w:val="1"/>
    <w:qFormat/>
    <w:rsid w:val="008D22DB"/>
    <w:pPr>
      <w:widowControl w:val="0"/>
      <w:autoSpaceDE w:val="0"/>
      <w:autoSpaceDN w:val="0"/>
      <w:spacing w:before="29" w:after="0" w:line="240" w:lineRule="auto"/>
      <w:ind w:left="642"/>
    </w:pPr>
    <w:rPr>
      <w:rFonts w:ascii="Cambria" w:eastAsia="Cambria" w:hAnsi="Cambria" w:cs="Cambria"/>
      <w:i/>
      <w:iCs/>
      <w:kern w:val="0"/>
      <w:sz w:val="18"/>
      <w:szCs w:val="18"/>
      <w:lang w:val="en-US"/>
      <w14:ligatures w14:val="none"/>
    </w:rPr>
  </w:style>
  <w:style w:type="character" w:customStyle="1" w:styleId="af7">
    <w:name w:val="Сноска_"/>
    <w:basedOn w:val="a0"/>
    <w:link w:val="af8"/>
    <w:locked/>
    <w:rsid w:val="008D22DB"/>
    <w:rPr>
      <w:rFonts w:ascii="Garamond" w:eastAsia="Garamond" w:hAnsi="Garamond" w:cs="Garamond"/>
      <w:sz w:val="14"/>
      <w:szCs w:val="14"/>
      <w:shd w:val="clear" w:color="auto" w:fill="FFFFFF"/>
    </w:rPr>
  </w:style>
  <w:style w:type="paragraph" w:customStyle="1" w:styleId="af8">
    <w:name w:val="Сноска"/>
    <w:basedOn w:val="a"/>
    <w:link w:val="af7"/>
    <w:rsid w:val="008D22DB"/>
    <w:pPr>
      <w:widowControl w:val="0"/>
      <w:shd w:val="clear" w:color="auto" w:fill="FFFFFF"/>
      <w:spacing w:after="0" w:line="0" w:lineRule="atLeast"/>
      <w:jc w:val="both"/>
    </w:pPr>
    <w:rPr>
      <w:rFonts w:ascii="Garamond" w:eastAsia="Garamond" w:hAnsi="Garamond" w:cs="Garamond"/>
      <w:sz w:val="14"/>
      <w:szCs w:val="14"/>
    </w:rPr>
  </w:style>
  <w:style w:type="paragraph" w:customStyle="1" w:styleId="24">
    <w:name w:val="Основной текст2"/>
    <w:basedOn w:val="a"/>
    <w:rsid w:val="008D22DB"/>
    <w:pPr>
      <w:widowControl w:val="0"/>
      <w:shd w:val="clear" w:color="auto" w:fill="FFFFFF"/>
      <w:spacing w:after="0" w:line="0" w:lineRule="atLeast"/>
      <w:ind w:hanging="240"/>
    </w:pPr>
    <w:rPr>
      <w:rFonts w:ascii="Garamond" w:eastAsia="Garamond" w:hAnsi="Garamond" w:cs="Garamond"/>
      <w:kern w:val="0"/>
      <w:sz w:val="19"/>
      <w:szCs w:val="19"/>
      <w14:ligatures w14:val="none"/>
    </w:rPr>
  </w:style>
  <w:style w:type="character" w:customStyle="1" w:styleId="52">
    <w:name w:val="Основной текст (5)_"/>
    <w:basedOn w:val="a0"/>
    <w:link w:val="53"/>
    <w:locked/>
    <w:rsid w:val="008D22DB"/>
    <w:rPr>
      <w:rFonts w:ascii="Garamond" w:eastAsia="Garamond" w:hAnsi="Garamond" w:cs="Garamond"/>
      <w:sz w:val="17"/>
      <w:szCs w:val="17"/>
      <w:shd w:val="clear" w:color="auto" w:fill="FFFFFF"/>
    </w:rPr>
  </w:style>
  <w:style w:type="paragraph" w:customStyle="1" w:styleId="53">
    <w:name w:val="Основной текст (5)"/>
    <w:basedOn w:val="a"/>
    <w:link w:val="52"/>
    <w:rsid w:val="008D22DB"/>
    <w:pPr>
      <w:widowControl w:val="0"/>
      <w:shd w:val="clear" w:color="auto" w:fill="FFFFFF"/>
      <w:spacing w:after="1080" w:line="0" w:lineRule="atLeast"/>
      <w:ind w:hanging="360"/>
      <w:jc w:val="center"/>
    </w:pPr>
    <w:rPr>
      <w:rFonts w:ascii="Garamond" w:eastAsia="Garamond" w:hAnsi="Garamond" w:cs="Garamond"/>
      <w:sz w:val="17"/>
      <w:szCs w:val="17"/>
    </w:rPr>
  </w:style>
  <w:style w:type="character" w:customStyle="1" w:styleId="71">
    <w:name w:val="Основной текст (7)_"/>
    <w:basedOn w:val="a0"/>
    <w:link w:val="72"/>
    <w:locked/>
    <w:rsid w:val="008D22DB"/>
    <w:rPr>
      <w:rFonts w:ascii="Garamond" w:eastAsia="Garamond" w:hAnsi="Garamond" w:cs="Garamond"/>
      <w:sz w:val="19"/>
      <w:szCs w:val="19"/>
      <w:shd w:val="clear" w:color="auto" w:fill="FFFFFF"/>
    </w:rPr>
  </w:style>
  <w:style w:type="paragraph" w:customStyle="1" w:styleId="72">
    <w:name w:val="Основной текст (7)"/>
    <w:basedOn w:val="a"/>
    <w:link w:val="71"/>
    <w:rsid w:val="008D22DB"/>
    <w:pPr>
      <w:widowControl w:val="0"/>
      <w:shd w:val="clear" w:color="auto" w:fill="FFFFFF"/>
      <w:spacing w:after="240" w:line="0" w:lineRule="atLeast"/>
      <w:jc w:val="center"/>
    </w:pPr>
    <w:rPr>
      <w:rFonts w:ascii="Garamond" w:eastAsia="Garamond" w:hAnsi="Garamond" w:cs="Garamond"/>
      <w:sz w:val="19"/>
      <w:szCs w:val="19"/>
    </w:rPr>
  </w:style>
  <w:style w:type="character" w:customStyle="1" w:styleId="83">
    <w:name w:val="Основной текст (8)_"/>
    <w:basedOn w:val="a0"/>
    <w:link w:val="84"/>
    <w:locked/>
    <w:rsid w:val="008D22DB"/>
    <w:rPr>
      <w:rFonts w:ascii="Garamond" w:eastAsia="Garamond" w:hAnsi="Garamond" w:cs="Garamond"/>
      <w:sz w:val="14"/>
      <w:szCs w:val="14"/>
      <w:shd w:val="clear" w:color="auto" w:fill="FFFFFF"/>
    </w:rPr>
  </w:style>
  <w:style w:type="paragraph" w:customStyle="1" w:styleId="84">
    <w:name w:val="Основной текст (8)"/>
    <w:basedOn w:val="a"/>
    <w:link w:val="83"/>
    <w:rsid w:val="008D22DB"/>
    <w:pPr>
      <w:widowControl w:val="0"/>
      <w:shd w:val="clear" w:color="auto" w:fill="FFFFFF"/>
      <w:spacing w:before="180" w:after="180" w:line="0" w:lineRule="atLeast"/>
      <w:jc w:val="both"/>
    </w:pPr>
    <w:rPr>
      <w:rFonts w:ascii="Garamond" w:eastAsia="Garamond" w:hAnsi="Garamond" w:cs="Garamond"/>
      <w:sz w:val="14"/>
      <w:szCs w:val="14"/>
    </w:rPr>
  </w:style>
  <w:style w:type="character" w:customStyle="1" w:styleId="52pt">
    <w:name w:val="Основной текст (5) + Интервал 2 pt"/>
    <w:basedOn w:val="52"/>
    <w:rsid w:val="008D22DB"/>
    <w:rPr>
      <w:rFonts w:ascii="Garamond" w:eastAsia="Garamond" w:hAnsi="Garamond" w:cs="Garamond"/>
      <w:color w:val="000000"/>
      <w:spacing w:val="40"/>
      <w:w w:val="100"/>
      <w:position w:val="0"/>
      <w:sz w:val="17"/>
      <w:szCs w:val="17"/>
      <w:shd w:val="clear" w:color="auto" w:fill="FFFFFF"/>
      <w:lang w:val="en-US"/>
    </w:rPr>
  </w:style>
  <w:style w:type="character" w:customStyle="1" w:styleId="7pt">
    <w:name w:val="Основной текст + 7 pt"/>
    <w:aliases w:val="Малые прописные,Интервал 1 pt"/>
    <w:basedOn w:val="83"/>
    <w:rsid w:val="008D22DB"/>
    <w:rPr>
      <w:rFonts w:ascii="Garamond" w:eastAsia="Garamond" w:hAnsi="Garamond" w:cs="Garamond"/>
      <w:smallCaps/>
      <w:color w:val="000000"/>
      <w:spacing w:val="30"/>
      <w:w w:val="100"/>
      <w:position w:val="0"/>
      <w:sz w:val="14"/>
      <w:szCs w:val="14"/>
      <w:shd w:val="clear" w:color="auto" w:fill="FFFFFF"/>
      <w:lang w:val="en-US"/>
    </w:rPr>
  </w:style>
  <w:style w:type="character" w:customStyle="1" w:styleId="73">
    <w:name w:val="Основной текст (7) + Малые прописные"/>
    <w:aliases w:val="Интервал 2 pt"/>
    <w:basedOn w:val="52"/>
    <w:rsid w:val="008D22DB"/>
    <w:rPr>
      <w:rFonts w:ascii="Garamond" w:eastAsia="Garamond" w:hAnsi="Garamond" w:cs="Garamond"/>
      <w:smallCaps/>
      <w:color w:val="000000"/>
      <w:spacing w:val="40"/>
      <w:w w:val="100"/>
      <w:position w:val="0"/>
      <w:sz w:val="17"/>
      <w:szCs w:val="17"/>
      <w:shd w:val="clear" w:color="auto" w:fill="FFFFFF"/>
      <w:lang w:val="en-US"/>
    </w:rPr>
  </w:style>
  <w:style w:type="character" w:customStyle="1" w:styleId="72pt">
    <w:name w:val="Основной текст (7) + Интервал 2 pt"/>
    <w:basedOn w:val="71"/>
    <w:rsid w:val="008D22DB"/>
    <w:rPr>
      <w:rFonts w:ascii="Garamond" w:eastAsia="Garamond" w:hAnsi="Garamond" w:cs="Garamond"/>
      <w:color w:val="000000"/>
      <w:spacing w:val="40"/>
      <w:w w:val="100"/>
      <w:position w:val="0"/>
      <w:sz w:val="19"/>
      <w:szCs w:val="19"/>
      <w:shd w:val="clear" w:color="auto" w:fill="FFFFFF"/>
      <w:lang w:val="en-US"/>
    </w:rPr>
  </w:style>
  <w:style w:type="character" w:customStyle="1" w:styleId="85">
    <w:name w:val="Основной текст (8) + Малые прописные"/>
    <w:basedOn w:val="83"/>
    <w:rsid w:val="008D22DB"/>
    <w:rPr>
      <w:rFonts w:ascii="Garamond" w:eastAsia="Garamond" w:hAnsi="Garamond" w:cs="Garamond"/>
      <w:smallCaps/>
      <w:color w:val="000000"/>
      <w:spacing w:val="0"/>
      <w:w w:val="100"/>
      <w:position w:val="0"/>
      <w:sz w:val="14"/>
      <w:szCs w:val="14"/>
      <w:shd w:val="clear" w:color="auto" w:fill="FFFFFF"/>
      <w:lang w:val="en-US"/>
    </w:rPr>
  </w:style>
  <w:style w:type="table" w:styleId="af9">
    <w:name w:val="Table Grid"/>
    <w:basedOn w:val="a1"/>
    <w:uiPriority w:val="59"/>
    <w:rsid w:val="008D22D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8D22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8D22D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ranslation-word">
    <w:name w:val="translation-word"/>
    <w:basedOn w:val="a0"/>
    <w:rsid w:val="008D22DB"/>
  </w:style>
  <w:style w:type="character" w:styleId="afa">
    <w:name w:val="Placeholder Text"/>
    <w:basedOn w:val="a0"/>
    <w:uiPriority w:val="99"/>
    <w:semiHidden/>
    <w:rsid w:val="008D22DB"/>
    <w:rPr>
      <w:color w:val="808080"/>
    </w:rPr>
  </w:style>
  <w:style w:type="paragraph" w:styleId="afb">
    <w:name w:val="footnote text"/>
    <w:basedOn w:val="a"/>
    <w:link w:val="afc"/>
    <w:uiPriority w:val="99"/>
    <w:unhideWhenUsed/>
    <w:rsid w:val="008D22DB"/>
    <w:pPr>
      <w:spacing w:after="0" w:line="240" w:lineRule="auto"/>
    </w:pPr>
    <w:rPr>
      <w:kern w:val="0"/>
      <w:sz w:val="20"/>
      <w:szCs w:val="20"/>
      <w14:ligatures w14:val="none"/>
    </w:rPr>
  </w:style>
  <w:style w:type="character" w:customStyle="1" w:styleId="afc">
    <w:name w:val="Текст сноски Знак"/>
    <w:basedOn w:val="a0"/>
    <w:link w:val="afb"/>
    <w:uiPriority w:val="99"/>
    <w:rsid w:val="008D22DB"/>
    <w:rPr>
      <w:kern w:val="0"/>
      <w:sz w:val="20"/>
      <w:szCs w:val="20"/>
      <w14:ligatures w14:val="none"/>
    </w:rPr>
  </w:style>
  <w:style w:type="character" w:styleId="afd">
    <w:name w:val="footnote reference"/>
    <w:basedOn w:val="a0"/>
    <w:uiPriority w:val="99"/>
    <w:semiHidden/>
    <w:unhideWhenUsed/>
    <w:rsid w:val="008D22DB"/>
    <w:rPr>
      <w:vertAlign w:val="superscript"/>
    </w:rPr>
  </w:style>
  <w:style w:type="character" w:customStyle="1" w:styleId="25">
    <w:name w:val="Неразрешенное упоминание2"/>
    <w:basedOn w:val="a0"/>
    <w:uiPriority w:val="99"/>
    <w:semiHidden/>
    <w:unhideWhenUsed/>
    <w:rsid w:val="008D22DB"/>
    <w:rPr>
      <w:color w:val="605E5C"/>
      <w:shd w:val="clear" w:color="auto" w:fill="E1DFDD"/>
    </w:rPr>
  </w:style>
  <w:style w:type="character" w:customStyle="1" w:styleId="33">
    <w:name w:val="Неразрешенное упоминание3"/>
    <w:basedOn w:val="a0"/>
    <w:uiPriority w:val="99"/>
    <w:semiHidden/>
    <w:unhideWhenUsed/>
    <w:rsid w:val="008D22DB"/>
    <w:rPr>
      <w:color w:val="605E5C"/>
      <w:shd w:val="clear" w:color="auto" w:fill="E1DFDD"/>
    </w:rPr>
  </w:style>
  <w:style w:type="character" w:customStyle="1" w:styleId="44">
    <w:name w:val="Неразрешенное упоминание4"/>
    <w:basedOn w:val="a0"/>
    <w:uiPriority w:val="99"/>
    <w:semiHidden/>
    <w:unhideWhenUsed/>
    <w:rsid w:val="008D22DB"/>
    <w:rPr>
      <w:color w:val="605E5C"/>
      <w:shd w:val="clear" w:color="auto" w:fill="E1DFDD"/>
    </w:rPr>
  </w:style>
  <w:style w:type="paragraph" w:customStyle="1" w:styleId="45">
    <w:name w:val="Основной текст4"/>
    <w:basedOn w:val="a"/>
    <w:rsid w:val="008D22DB"/>
    <w:pPr>
      <w:widowControl w:val="0"/>
      <w:shd w:val="clear" w:color="auto" w:fill="FFFFFF"/>
      <w:spacing w:before="360" w:after="0" w:line="274" w:lineRule="exact"/>
      <w:ind w:hanging="360"/>
    </w:pPr>
    <w:rPr>
      <w:rFonts w:ascii="Times New Roman" w:eastAsia="Times New Roman" w:hAnsi="Times New Roman" w:cs="Times New Roman"/>
      <w:kern w:val="0"/>
      <w:sz w:val="23"/>
      <w:szCs w:val="23"/>
      <w14:ligatures w14:val="none"/>
    </w:rPr>
  </w:style>
  <w:style w:type="paragraph" w:customStyle="1" w:styleId="Default">
    <w:name w:val="Default"/>
    <w:rsid w:val="008D22D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14:ligatures w14:val="none"/>
    </w:rPr>
  </w:style>
  <w:style w:type="character" w:customStyle="1" w:styleId="34">
    <w:name w:val="Основной текст (3)_"/>
    <w:basedOn w:val="a0"/>
    <w:link w:val="35"/>
    <w:locked/>
    <w:rsid w:val="008D22DB"/>
    <w:rPr>
      <w:rFonts w:ascii="Times New Roman" w:eastAsia="Times New Roman" w:hAnsi="Times New Roman" w:cs="Times New Roman"/>
      <w:b/>
      <w:bCs/>
      <w:sz w:val="27"/>
      <w:szCs w:val="27"/>
      <w:shd w:val="clear" w:color="auto" w:fill="FFFFFF"/>
    </w:rPr>
  </w:style>
  <w:style w:type="paragraph" w:customStyle="1" w:styleId="35">
    <w:name w:val="Основной текст (3)"/>
    <w:basedOn w:val="a"/>
    <w:link w:val="34"/>
    <w:rsid w:val="008D22DB"/>
    <w:pPr>
      <w:widowControl w:val="0"/>
      <w:shd w:val="clear" w:color="auto" w:fill="FFFFFF"/>
      <w:spacing w:before="1260" w:after="3780" w:line="485" w:lineRule="exact"/>
      <w:jc w:val="center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fe">
    <w:name w:val="Strong"/>
    <w:basedOn w:val="a0"/>
    <w:uiPriority w:val="22"/>
    <w:qFormat/>
    <w:rsid w:val="008D22DB"/>
    <w:rPr>
      <w:b/>
      <w:bCs/>
    </w:rPr>
  </w:style>
  <w:style w:type="paragraph" w:styleId="aff">
    <w:name w:val="Normal (Web)"/>
    <w:basedOn w:val="a"/>
    <w:uiPriority w:val="99"/>
    <w:unhideWhenUsed/>
    <w:rsid w:val="008D22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ff0">
    <w:name w:val="Light List"/>
    <w:basedOn w:val="a1"/>
    <w:uiPriority w:val="61"/>
    <w:rsid w:val="008D22DB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tradingeconomics.com/ivory-coast/gdp" TargetMode="External"/><Relationship Id="rId13" Type="http://schemas.openxmlformats.org/officeDocument/2006/relationships/chart" Target="charts/chart3.xml"/><Relationship Id="rId18" Type="http://schemas.openxmlformats.org/officeDocument/2006/relationships/chart" Target="charts/chart8.xml"/><Relationship Id="rId26" Type="http://schemas.openxmlformats.org/officeDocument/2006/relationships/chart" Target="charts/chart16.xml"/><Relationship Id="rId3" Type="http://schemas.openxmlformats.org/officeDocument/2006/relationships/settings" Target="settings.xml"/><Relationship Id="rId21" Type="http://schemas.openxmlformats.org/officeDocument/2006/relationships/chart" Target="charts/chart11.xml"/><Relationship Id="rId7" Type="http://schemas.openxmlformats.org/officeDocument/2006/relationships/hyperlink" Target="https://statbase.ru/data/civ-gdp/" TargetMode="External"/><Relationship Id="rId12" Type="http://schemas.openxmlformats.org/officeDocument/2006/relationships/image" Target="media/image2.png"/><Relationship Id="rId17" Type="http://schemas.openxmlformats.org/officeDocument/2006/relationships/chart" Target="charts/chart7.xml"/><Relationship Id="rId25" Type="http://schemas.openxmlformats.org/officeDocument/2006/relationships/chart" Target="charts/chart15.xml"/><Relationship Id="rId2" Type="http://schemas.openxmlformats.org/officeDocument/2006/relationships/styles" Target="styles.xml"/><Relationship Id="rId16" Type="http://schemas.openxmlformats.org/officeDocument/2006/relationships/chart" Target="charts/chart6.xml"/><Relationship Id="rId20" Type="http://schemas.openxmlformats.org/officeDocument/2006/relationships/chart" Target="charts/chart10.xm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2.xml"/><Relationship Id="rId24" Type="http://schemas.openxmlformats.org/officeDocument/2006/relationships/chart" Target="charts/chart14.xml"/><Relationship Id="rId5" Type="http://schemas.openxmlformats.org/officeDocument/2006/relationships/footnotes" Target="footnotes.xml"/><Relationship Id="rId15" Type="http://schemas.openxmlformats.org/officeDocument/2006/relationships/chart" Target="charts/chart5.xml"/><Relationship Id="rId23" Type="http://schemas.openxmlformats.org/officeDocument/2006/relationships/chart" Target="charts/chart13.xml"/><Relationship Id="rId28" Type="http://schemas.openxmlformats.org/officeDocument/2006/relationships/chart" Target="charts/chart18.xml"/><Relationship Id="rId10" Type="http://schemas.openxmlformats.org/officeDocument/2006/relationships/chart" Target="charts/chart1.xml"/><Relationship Id="rId19" Type="http://schemas.openxmlformats.org/officeDocument/2006/relationships/chart" Target="charts/chart9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chart" Target="charts/chart4.xml"/><Relationship Id="rId22" Type="http://schemas.openxmlformats.org/officeDocument/2006/relationships/chart" Target="charts/chart12.xml"/><Relationship Id="rId27" Type="http://schemas.openxmlformats.org/officeDocument/2006/relationships/chart" Target="charts/chart17.xml"/><Relationship Id="rId30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oleObject" Target="file:///E:\0-&#1044;&#1080;&#1044;\&#1040;&#1092;&#1088;&#1080;&#1082;&#1072;\&#1056;&#1080;&#1089;&#1091;&#1085;&#1082;&#1080;%20&#1080;&#1080;%20&#1075;&#1088;&#1072;&#1092;&#1080;&#1082;&#1080;%20&#1057;&#1090;&#1072;&#1090;&#1080;&#1089;&#1090;&#1080;&#1082;&#1072;%20&#1050;&#1086;&#1090;%20&#1044;&#1080;&#1042;&#1091;&#1072;&#1088;%20&#1084;&#1080;&#1088;&#1086;&#1074;&#1086;&#1081;%20&#1073;&#1072;&#1085;&#1082;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2.xm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oleObject" Target="file:///E:\0-&#1044;&#1080;&#1044;\&#1040;&#1092;&#1088;&#1080;&#1082;&#1072;\&#1056;&#1080;&#1089;&#1091;&#1085;&#1082;&#1080;%20&#1080;&#1080;%20&#1075;&#1088;&#1072;&#1092;&#1080;&#1082;&#1080;%20&#1057;&#1090;&#1072;&#1090;&#1080;&#1089;&#1090;&#1080;&#1082;&#1072;%20&#1050;&#1086;&#1090;%20&#1044;&#1080;&#1042;&#1091;&#1072;&#1088;%20&#1084;&#1080;&#1088;&#1086;&#1074;&#1086;&#1081;%20&#1073;&#1072;&#1085;&#1082;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3.xml"/><Relationship Id="rId2" Type="http://schemas.microsoft.com/office/2011/relationships/chartColorStyle" Target="colors3.xml"/><Relationship Id="rId1" Type="http://schemas.microsoft.com/office/2011/relationships/chartStyle" Target="style3.xml"/><Relationship Id="rId4" Type="http://schemas.openxmlformats.org/officeDocument/2006/relationships/oleObject" Target="file:///E:\0-&#1044;&#1080;&#1044;\&#1040;&#1092;&#1088;&#1080;&#1082;&#1072;\&#1056;&#1080;&#1089;&#1091;&#1085;&#1082;&#1080;%20&#1080;&#1080;%20&#1075;&#1088;&#1072;&#1092;&#1080;&#1082;&#1080;%20&#1057;&#1090;&#1072;&#1090;&#1080;&#1089;&#1090;&#1080;&#1082;&#1072;%20&#1050;&#1086;&#1090;%20&#1044;&#1080;&#1042;&#1091;&#1072;&#1088;%20&#1084;&#1080;&#1088;&#1086;&#1074;&#1086;&#1081;%20&#1073;&#1072;&#1085;&#1082;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4.xml"/><Relationship Id="rId2" Type="http://schemas.microsoft.com/office/2011/relationships/chartColorStyle" Target="colors4.xml"/><Relationship Id="rId1" Type="http://schemas.microsoft.com/office/2011/relationships/chartStyle" Target="style4.xml"/><Relationship Id="rId4" Type="http://schemas.openxmlformats.org/officeDocument/2006/relationships/oleObject" Target="file:///E:\0-&#1044;&#1080;&#1044;\&#1040;&#1092;&#1088;&#1080;&#1082;&#1072;\&#1056;&#1080;&#1089;&#1091;&#1085;&#1082;&#1080;%20&#1080;&#1080;%20&#1075;&#1088;&#1072;&#1092;&#1080;&#1082;&#1080;%20&#1057;&#1090;&#1072;&#1090;&#1080;&#1089;&#1090;&#1080;&#1082;&#1072;%20&#1050;&#1086;&#1090;%20&#1044;&#1080;&#1042;&#1091;&#1072;&#1088;%20&#1084;&#1080;&#1088;&#1086;&#1074;&#1086;&#1081;%20&#1073;&#1072;&#1085;&#1082;.xlsx" TargetMode="Externa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5.xml"/><Relationship Id="rId2" Type="http://schemas.microsoft.com/office/2011/relationships/chartColorStyle" Target="colors5.xml"/><Relationship Id="rId1" Type="http://schemas.microsoft.com/office/2011/relationships/chartStyle" Target="style5.xml"/><Relationship Id="rId4" Type="http://schemas.openxmlformats.org/officeDocument/2006/relationships/oleObject" Target="file:///E:\0-&#1044;&#1080;&#1044;\&#1040;&#1092;&#1088;&#1080;&#1082;&#1072;\&#1056;&#1080;&#1089;&#1091;&#1085;&#1082;&#1080;%20&#1080;&#1080;%20&#1075;&#1088;&#1072;&#1092;&#1080;&#1082;&#1080;%20&#1057;&#1090;&#1072;&#1090;&#1080;&#1089;&#1090;&#1080;&#1082;&#1072;%20&#1050;&#1086;&#1090;%20&#1044;&#1080;&#1042;&#1091;&#1072;&#1088;%20&#1084;&#1080;&#1088;&#1086;&#1074;&#1086;&#1081;%20&#1073;&#1072;&#1085;&#1082;.xlsx" TargetMode="Externa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6.xml"/><Relationship Id="rId2" Type="http://schemas.microsoft.com/office/2011/relationships/chartColorStyle" Target="colors6.xml"/><Relationship Id="rId1" Type="http://schemas.microsoft.com/office/2011/relationships/chartStyle" Target="style6.xml"/><Relationship Id="rId4" Type="http://schemas.openxmlformats.org/officeDocument/2006/relationships/oleObject" Target="file:///E:\0-&#1044;&#1080;&#1044;\&#1040;&#1092;&#1088;&#1080;&#1082;&#1072;\&#1056;&#1080;&#1089;&#1091;&#1085;&#1082;&#1080;%20&#1080;&#1080;%20&#1075;&#1088;&#1072;&#1092;&#1080;&#1082;&#1080;%20&#1057;&#1090;&#1072;&#1090;&#1080;&#1089;&#1090;&#1080;&#1082;&#1072;%20&#1050;&#1086;&#1090;%20&#1044;&#1080;&#1042;&#1091;&#1072;&#1088;%20&#1084;&#1080;&#1088;&#1086;&#1074;&#1086;&#1081;%20&#1073;&#1072;&#1085;&#1082;.xlsx" TargetMode="Externa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7.xml"/><Relationship Id="rId2" Type="http://schemas.microsoft.com/office/2011/relationships/chartColorStyle" Target="colors7.xml"/><Relationship Id="rId1" Type="http://schemas.microsoft.com/office/2011/relationships/chartStyle" Target="style7.xml"/><Relationship Id="rId4" Type="http://schemas.openxmlformats.org/officeDocument/2006/relationships/oleObject" Target="file:///E:\0-&#1044;&#1080;&#1044;\&#1040;&#1092;&#1088;&#1080;&#1082;&#1072;\&#1056;&#1080;&#1089;&#1091;&#1085;&#1082;&#1080;%20&#1080;&#1080;%20&#1075;&#1088;&#1072;&#1092;&#1080;&#1082;&#1080;%20&#1057;&#1090;&#1072;&#1090;&#1080;&#1089;&#1090;&#1080;&#1082;&#1072;%20&#1050;&#1086;&#1090;%20&#1044;&#1080;&#1042;&#1091;&#1072;&#1088;%20&#1084;&#1080;&#1088;&#1086;&#1074;&#1086;&#1081;%20&#1073;&#1072;&#1085;&#1082;.xlsx" TargetMode="Externa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8.xml"/><Relationship Id="rId2" Type="http://schemas.microsoft.com/office/2011/relationships/chartColorStyle" Target="colors8.xml"/><Relationship Id="rId1" Type="http://schemas.microsoft.com/office/2011/relationships/chartStyle" Target="style8.xml"/><Relationship Id="rId4" Type="http://schemas.openxmlformats.org/officeDocument/2006/relationships/oleObject" Target="file:///E:\0-&#1044;&#1080;&#1044;\&#1040;&#1092;&#1088;&#1080;&#1082;&#1072;\&#1056;&#1080;&#1089;&#1091;&#1085;&#1082;&#1080;%20&#1080;&#1080;%20&#1075;&#1088;&#1072;&#1092;&#1080;&#1082;&#1080;%20&#1057;&#1090;&#1072;&#1090;&#1080;&#1089;&#1090;&#1080;&#1082;&#1072;%20&#1050;&#1086;&#1090;%20&#1044;&#1080;&#1042;&#1091;&#1072;&#1088;%20&#1084;&#1080;&#1088;&#1086;&#1074;&#1086;&#1081;%20&#1073;&#1072;&#1085;&#1082;.xlsx" TargetMode="Externa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9.xml"/><Relationship Id="rId2" Type="http://schemas.microsoft.com/office/2011/relationships/chartColorStyle" Target="colors9.xml"/><Relationship Id="rId1" Type="http://schemas.microsoft.com/office/2011/relationships/chartStyle" Target="style9.xml"/><Relationship Id="rId4" Type="http://schemas.openxmlformats.org/officeDocument/2006/relationships/oleObject" Target="file:///E:\0-&#1044;&#1080;&#1044;\&#1040;&#1092;&#1088;&#1080;&#1082;&#1072;\&#1056;&#1080;&#1089;&#1091;&#1085;&#1082;&#1080;%20&#1080;&#1080;%20&#1075;&#1088;&#1072;&#1092;&#1080;&#1082;&#1080;%20&#1057;&#1090;&#1072;&#1090;&#1080;&#1089;&#1090;&#1080;&#1082;&#1072;%20&#1050;&#1086;&#1090;%20&#1044;&#1080;&#1042;&#1091;&#1072;&#1088;%20&#1084;&#1080;&#1088;&#1086;&#1074;&#1086;&#1081;%20&#1073;&#1072;&#1085;&#1082;.xlsx" TargetMode="Externa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0.xml"/><Relationship Id="rId2" Type="http://schemas.microsoft.com/office/2011/relationships/chartColorStyle" Target="colors10.xml"/><Relationship Id="rId1" Type="http://schemas.microsoft.com/office/2011/relationships/chartStyle" Target="style10.xml"/><Relationship Id="rId4" Type="http://schemas.openxmlformats.org/officeDocument/2006/relationships/oleObject" Target="file:///E:\0-&#1044;&#1080;&#1044;\&#1040;&#1092;&#1088;&#1080;&#1082;&#1072;\&#1056;&#1080;&#1089;&#1091;&#1085;&#1082;&#1080;%20&#1080;&#1080;%20&#1075;&#1088;&#1072;&#1092;&#1080;&#1082;&#1080;%20&#1057;&#1090;&#1072;&#1090;&#1080;&#1089;&#1090;&#1080;&#1082;&#1072;%20&#1050;&#1086;&#1090;%20&#1044;&#1080;&#1042;&#1091;&#1072;&#1088;%20&#1084;&#1080;&#1088;&#1086;&#1074;&#1086;&#1081;%20&#1073;&#1072;&#1085;&#1082;.xlsx" TargetMode="Externa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1.xml"/><Relationship Id="rId2" Type="http://schemas.microsoft.com/office/2011/relationships/chartColorStyle" Target="colors11.xml"/><Relationship Id="rId1" Type="http://schemas.microsoft.com/office/2011/relationships/chartStyle" Target="style11.xml"/><Relationship Id="rId4" Type="http://schemas.openxmlformats.org/officeDocument/2006/relationships/oleObject" Target="file:///E:\0-&#1044;&#1080;&#1044;\&#1040;&#1092;&#1088;&#1080;&#1082;&#1072;\&#1056;&#1080;&#1089;&#1091;&#1085;&#1082;&#1080;%20&#1080;&#1080;%20&#1075;&#1088;&#1072;&#1092;&#1080;&#1082;&#1080;%20&#1057;&#1090;&#1072;&#1090;&#1080;&#1089;&#1090;&#1080;&#1082;&#1072;%20&#1050;&#1086;&#1090;%20&#1044;&#1080;&#1042;&#1091;&#1072;&#1088;%20&#1084;&#1080;&#1088;&#1086;&#1074;&#1086;&#1081;%20&#1073;&#1072;&#1085;&#1082;.xlsx" TargetMode="Externa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2.xml"/><Relationship Id="rId2" Type="http://schemas.microsoft.com/office/2011/relationships/chartColorStyle" Target="colors12.xml"/><Relationship Id="rId1" Type="http://schemas.microsoft.com/office/2011/relationships/chartStyle" Target="style12.xml"/><Relationship Id="rId4" Type="http://schemas.openxmlformats.org/officeDocument/2006/relationships/oleObject" Target="file:///E:\0-&#1044;&#1080;&#1044;\&#1040;&#1092;&#1088;&#1080;&#1082;&#1072;\&#1056;&#1080;&#1089;&#1091;&#1085;&#1082;&#1080;%20&#1080;&#1080;%20&#1075;&#1088;&#1072;&#1092;&#1080;&#1082;&#1080;%20&#1057;&#1090;&#1072;&#1090;&#1080;&#1089;&#1090;&#1080;&#1082;&#1072;%20&#1050;&#1086;&#1090;%20&#1044;&#1080;&#1042;&#1091;&#1072;&#1088;%20&#1084;&#1080;&#1088;&#1086;&#1074;&#1086;&#1081;%20&#1073;&#1072;&#1085;&#1082;.xlsx" TargetMode="Externa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3.xml"/><Relationship Id="rId2" Type="http://schemas.microsoft.com/office/2011/relationships/chartColorStyle" Target="colors13.xml"/><Relationship Id="rId1" Type="http://schemas.microsoft.com/office/2011/relationships/chartStyle" Target="style13.xml"/><Relationship Id="rId4" Type="http://schemas.openxmlformats.org/officeDocument/2006/relationships/oleObject" Target="file:///E:\0-&#1044;&#1080;&#1044;\&#1040;&#1092;&#1088;&#1080;&#1082;&#1072;\&#1056;&#1080;&#1089;&#1091;&#1085;&#1082;&#1080;%20&#1080;&#1080;%20&#1075;&#1088;&#1072;&#1092;&#1080;&#1082;&#1080;%20&#1057;&#1090;&#1072;&#1090;&#1080;&#1089;&#1090;&#1080;&#1082;&#1072;%20&#1050;&#1086;&#1090;%20&#1044;&#1080;&#1042;&#1091;&#1072;&#1088;%20&#1084;&#1080;&#1088;&#1086;&#1074;&#1086;&#1081;%20&#1073;&#1072;&#1085;&#1082;.xlsx" TargetMode="External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4.xml"/><Relationship Id="rId2" Type="http://schemas.microsoft.com/office/2011/relationships/chartColorStyle" Target="colors14.xml"/><Relationship Id="rId1" Type="http://schemas.microsoft.com/office/2011/relationships/chartStyle" Target="style14.xml"/><Relationship Id="rId4" Type="http://schemas.openxmlformats.org/officeDocument/2006/relationships/oleObject" Target="file:///E:\0-&#1044;&#1080;&#1044;\&#1040;&#1092;&#1088;&#1080;&#1082;&#1072;\&#1056;&#1080;&#1089;&#1091;&#1085;&#1082;&#1080;%20&#1080;&#1080;%20&#1075;&#1088;&#1072;&#1092;&#1080;&#1082;&#1080;%20&#1057;&#1090;&#1072;&#1090;&#1080;&#1089;&#1090;&#1080;&#1082;&#1072;%20&#1050;&#1086;&#1090;%20&#1044;&#1080;&#1042;&#1091;&#1072;&#1088;%20&#1084;&#1080;&#1088;&#1086;&#1074;&#1086;&#1081;%20&#1073;&#1072;&#1085;&#1082;.xlsx" TargetMode="External"/></Relationships>
</file>

<file path=word/charts/_rels/chart15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5.xml"/><Relationship Id="rId2" Type="http://schemas.microsoft.com/office/2011/relationships/chartColorStyle" Target="colors15.xml"/><Relationship Id="rId1" Type="http://schemas.microsoft.com/office/2011/relationships/chartStyle" Target="style15.xml"/><Relationship Id="rId4" Type="http://schemas.openxmlformats.org/officeDocument/2006/relationships/oleObject" Target="file:///E:\0-&#1044;&#1080;&#1044;\&#1040;&#1092;&#1088;&#1080;&#1082;&#1072;\&#1056;&#1080;&#1089;&#1091;&#1085;&#1082;&#1080;%20&#1080;&#1080;%20&#1075;&#1088;&#1072;&#1092;&#1080;&#1082;&#1080;%20&#1057;&#1090;&#1072;&#1090;&#1080;&#1089;&#1090;&#1080;&#1082;&#1072;%20&#1050;&#1086;&#1090;%20&#1044;&#1080;&#1042;&#1091;&#1072;&#1088;%20&#1084;&#1080;&#1088;&#1086;&#1074;&#1086;&#1081;%20&#1073;&#1072;&#1085;&#1082;.xlsx" TargetMode="External"/></Relationships>
</file>

<file path=word/charts/_rels/chart16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6.xml"/><Relationship Id="rId2" Type="http://schemas.microsoft.com/office/2011/relationships/chartColorStyle" Target="colors16.xml"/><Relationship Id="rId1" Type="http://schemas.microsoft.com/office/2011/relationships/chartStyle" Target="style16.xml"/><Relationship Id="rId4" Type="http://schemas.openxmlformats.org/officeDocument/2006/relationships/oleObject" Target="file:///E:\0-&#1044;&#1080;&#1044;\&#1040;&#1092;&#1088;&#1080;&#1082;&#1072;\&#1056;&#1080;&#1089;&#1091;&#1085;&#1082;&#1080;%20&#1080;&#1080;%20&#1075;&#1088;&#1072;&#1092;&#1080;&#1082;&#1080;%20&#1057;&#1090;&#1072;&#1090;&#1080;&#1089;&#1090;&#1080;&#1082;&#1072;%20&#1050;&#1086;&#1090;%20&#1044;&#1080;&#1042;&#1091;&#1072;&#1088;%20&#1084;&#1080;&#1088;&#1086;&#1074;&#1086;&#1081;%20&#1073;&#1072;&#1085;&#1082;.xlsx" TargetMode="External"/></Relationships>
</file>

<file path=word/charts/_rels/chart17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7.xml"/><Relationship Id="rId2" Type="http://schemas.microsoft.com/office/2011/relationships/chartColorStyle" Target="colors17.xml"/><Relationship Id="rId1" Type="http://schemas.microsoft.com/office/2011/relationships/chartStyle" Target="style17.xml"/><Relationship Id="rId4" Type="http://schemas.openxmlformats.org/officeDocument/2006/relationships/oleObject" Target="file:///E:\0-&#1044;&#1080;&#1044;\&#1040;&#1092;&#1088;&#1080;&#1082;&#1072;\&#1056;&#1080;&#1089;&#1091;&#1085;&#1082;&#1080;%20&#1080;&#1080;%20&#1075;&#1088;&#1072;&#1092;&#1080;&#1082;&#1080;%20&#1057;&#1090;&#1072;&#1090;&#1080;&#1089;&#1090;&#1080;&#1082;&#1072;%20&#1050;&#1086;&#1090;%20&#1044;&#1080;&#1042;&#1091;&#1072;&#1088;%20&#1084;&#1080;&#1088;&#1086;&#1074;&#1086;&#1081;%20&#1073;&#1072;&#1085;&#1082;.xlsx" TargetMode="External"/></Relationships>
</file>

<file path=word/charts/_rels/chart18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8.xml"/><Relationship Id="rId2" Type="http://schemas.microsoft.com/office/2011/relationships/chartColorStyle" Target="colors18.xml"/><Relationship Id="rId1" Type="http://schemas.microsoft.com/office/2011/relationships/chartStyle" Target="style18.xml"/><Relationship Id="rId4" Type="http://schemas.openxmlformats.org/officeDocument/2006/relationships/oleObject" Target="file:///E:\0-&#1044;&#1080;&#1044;\&#1040;&#1092;&#1088;&#1080;&#1082;&#1072;\&#1056;&#1080;&#1089;&#1091;&#1085;&#1082;&#1080;%20&#1080;&#1080;%20&#1075;&#1088;&#1072;&#1092;&#1080;&#1082;&#1080;%20&#1057;&#1090;&#1072;&#1090;&#1080;&#1089;&#1090;&#1080;&#1082;&#1072;%20&#1050;&#1086;&#1090;%20&#1044;&#1080;&#1042;&#1091;&#1072;&#1088;%20&#1084;&#1080;&#1088;&#1086;&#1074;&#1086;&#1081;%20&#1073;&#1072;&#1085;&#1082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Рисунки!$A$21</c:f>
              <c:strCache>
                <c:ptCount val="1"/>
                <c:pt idx="0">
                  <c:v>ВВП на душу населения (в постоянных ценах 2015 г., долл. США)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Рисунки!$B$20:$K$20</c:f>
              <c:numCache>
                <c:formatCode>0</c:formatCode>
                <c:ptCount val="10"/>
                <c:pt idx="0">
                  <c:v>2012</c:v>
                </c:pt>
                <c:pt idx="1">
                  <c:v>2013</c:v>
                </c:pt>
                <c:pt idx="2">
                  <c:v>2014</c:v>
                </c:pt>
                <c:pt idx="3">
                  <c:v>2015</c:v>
                </c:pt>
                <c:pt idx="4">
                  <c:v>2016</c:v>
                </c:pt>
                <c:pt idx="5">
                  <c:v>2017</c:v>
                </c:pt>
                <c:pt idx="6">
                  <c:v>2018</c:v>
                </c:pt>
                <c:pt idx="7">
                  <c:v>2019</c:v>
                </c:pt>
                <c:pt idx="8">
                  <c:v>2020</c:v>
                </c:pt>
                <c:pt idx="9">
                  <c:v>2021</c:v>
                </c:pt>
              </c:numCache>
            </c:numRef>
          </c:cat>
          <c:val>
            <c:numRef>
              <c:f>Рисунки!$B$21:$K$21</c:f>
              <c:numCache>
                <c:formatCode>0.00</c:formatCode>
                <c:ptCount val="10"/>
                <c:pt idx="0">
                  <c:v>1602.9109181589415</c:v>
                </c:pt>
                <c:pt idx="1">
                  <c:v>1739.1551890004393</c:v>
                </c:pt>
                <c:pt idx="2">
                  <c:v>1858.6153471644352</c:v>
                </c:pt>
                <c:pt idx="3">
                  <c:v>1941.5663362781545</c:v>
                </c:pt>
                <c:pt idx="4">
                  <c:v>2027.9397293484401</c:v>
                </c:pt>
                <c:pt idx="5">
                  <c:v>2121.6030090224826</c:v>
                </c:pt>
                <c:pt idx="6">
                  <c:v>2210.325814789066</c:v>
                </c:pt>
                <c:pt idx="7">
                  <c:v>2289.3765210631304</c:v>
                </c:pt>
                <c:pt idx="8">
                  <c:v>2276.8395229531848</c:v>
                </c:pt>
                <c:pt idx="9">
                  <c:v>2377.9734396381627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98D-4250-8161-4C81910CC775}"/>
            </c:ext>
          </c:extLst>
        </c:ser>
        <c:ser>
          <c:idx val="1"/>
          <c:order val="1"/>
          <c:tx>
            <c:strRef>
              <c:f>Рисунки!$A$22</c:f>
              <c:strCache>
                <c:ptCount val="1"/>
                <c:pt idx="0">
                  <c:v>ВВП на одного занятого (по ППС в постоянных ценах 2017 г., долл. США)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Рисунки!$B$20:$K$20</c:f>
              <c:numCache>
                <c:formatCode>0</c:formatCode>
                <c:ptCount val="10"/>
                <c:pt idx="0">
                  <c:v>2012</c:v>
                </c:pt>
                <c:pt idx="1">
                  <c:v>2013</c:v>
                </c:pt>
                <c:pt idx="2">
                  <c:v>2014</c:v>
                </c:pt>
                <c:pt idx="3">
                  <c:v>2015</c:v>
                </c:pt>
                <c:pt idx="4">
                  <c:v>2016</c:v>
                </c:pt>
                <c:pt idx="5">
                  <c:v>2017</c:v>
                </c:pt>
                <c:pt idx="6">
                  <c:v>2018</c:v>
                </c:pt>
                <c:pt idx="7">
                  <c:v>2019</c:v>
                </c:pt>
                <c:pt idx="8">
                  <c:v>2020</c:v>
                </c:pt>
                <c:pt idx="9">
                  <c:v>2021</c:v>
                </c:pt>
              </c:numCache>
            </c:numRef>
          </c:cat>
          <c:val>
            <c:numRef>
              <c:f>Рисунки!$B$22:$K$22</c:f>
              <c:numCache>
                <c:formatCode>0.00</c:formatCode>
                <c:ptCount val="10"/>
                <c:pt idx="0">
                  <c:v>11810.445565173168</c:v>
                </c:pt>
                <c:pt idx="1">
                  <c:v>12522.95451745828</c:v>
                </c:pt>
                <c:pt idx="2">
                  <c:v>13385.265284985917</c:v>
                </c:pt>
                <c:pt idx="3">
                  <c:v>13955.834230976716</c:v>
                </c:pt>
                <c:pt idx="4">
                  <c:v>14549.536512131988</c:v>
                </c:pt>
                <c:pt idx="5">
                  <c:v>15387.104768643605</c:v>
                </c:pt>
                <c:pt idx="6">
                  <c:v>15967.471470935259</c:v>
                </c:pt>
                <c:pt idx="7">
                  <c:v>16466.282540915417</c:v>
                </c:pt>
                <c:pt idx="8">
                  <c:v>16468.857703213493</c:v>
                </c:pt>
                <c:pt idx="9">
                  <c:v>17077.709305533001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98D-4250-8161-4C81910CC77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-886959792"/>
        <c:axId val="-886962512"/>
      </c:barChart>
      <c:catAx>
        <c:axId val="-886959792"/>
        <c:scaling>
          <c:orientation val="minMax"/>
        </c:scaling>
        <c:delete val="0"/>
        <c:axPos val="b"/>
        <c:numFmt formatCode="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-886962512"/>
        <c:crosses val="autoZero"/>
        <c:auto val="1"/>
        <c:lblAlgn val="ctr"/>
        <c:lblOffset val="100"/>
        <c:noMultiLvlLbl val="0"/>
      </c:catAx>
      <c:valAx>
        <c:axId val="-8869625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-88695979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ysClr val="windowText" lastClr="000000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4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Исходные!$A$11</c:f>
              <c:strCache>
                <c:ptCount val="1"/>
                <c:pt idx="0">
                  <c:v>ВНД на душу населения, ППС (в текущих международных долларах)</c:v>
                </c:pt>
              </c:strCache>
            </c:strRef>
          </c:tx>
          <c:spPr>
            <a:ln w="28575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numRef>
              <c:f>Исходные!$B$1:$K$1</c:f>
              <c:numCache>
                <c:formatCode>0</c:formatCode>
                <c:ptCount val="10"/>
                <c:pt idx="0">
                  <c:v>2012</c:v>
                </c:pt>
                <c:pt idx="1">
                  <c:v>2013</c:v>
                </c:pt>
                <c:pt idx="2">
                  <c:v>2014</c:v>
                </c:pt>
                <c:pt idx="3">
                  <c:v>2015</c:v>
                </c:pt>
                <c:pt idx="4">
                  <c:v>2016</c:v>
                </c:pt>
                <c:pt idx="5">
                  <c:v>2017</c:v>
                </c:pt>
                <c:pt idx="6">
                  <c:v>2018</c:v>
                </c:pt>
                <c:pt idx="7">
                  <c:v>2019</c:v>
                </c:pt>
                <c:pt idx="8">
                  <c:v>2020</c:v>
                </c:pt>
                <c:pt idx="9">
                  <c:v>2021</c:v>
                </c:pt>
              </c:numCache>
            </c:numRef>
          </c:cat>
          <c:val>
            <c:numRef>
              <c:f>Исходные!$B$11:$K$11</c:f>
              <c:numCache>
                <c:formatCode>0.00</c:formatCode>
                <c:ptCount val="10"/>
                <c:pt idx="0">
                  <c:v>2490</c:v>
                </c:pt>
                <c:pt idx="1">
                  <c:v>2650</c:v>
                </c:pt>
                <c:pt idx="2">
                  <c:v>4180</c:v>
                </c:pt>
                <c:pt idx="3">
                  <c:v>4480</c:v>
                </c:pt>
                <c:pt idx="4">
                  <c:v>4550</c:v>
                </c:pt>
                <c:pt idx="5">
                  <c:v>4610</c:v>
                </c:pt>
                <c:pt idx="6">
                  <c:v>4880</c:v>
                </c:pt>
                <c:pt idx="7">
                  <c:v>5200</c:v>
                </c:pt>
                <c:pt idx="8">
                  <c:v>5220</c:v>
                </c:pt>
                <c:pt idx="9">
                  <c:v>5670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739-48F3-9629-7ACCEDE2B54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-886961968"/>
        <c:axId val="-886960880"/>
      </c:lineChart>
      <c:catAx>
        <c:axId val="-886961968"/>
        <c:scaling>
          <c:orientation val="minMax"/>
        </c:scaling>
        <c:delete val="0"/>
        <c:axPos val="b"/>
        <c:numFmt formatCode="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-886960880"/>
        <c:crosses val="autoZero"/>
        <c:auto val="1"/>
        <c:lblAlgn val="ctr"/>
        <c:lblOffset val="100"/>
        <c:noMultiLvlLbl val="0"/>
      </c:catAx>
      <c:valAx>
        <c:axId val="-8869608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-88696196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ysClr val="windowText" lastClr="000000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4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Исходные!$A$990</c:f>
              <c:strCache>
                <c:ptCount val="1"/>
                <c:pt idx="0">
                  <c:v>Люди, пользующиеся хотя бы базовыми санитарными услугами, сельское население (% сельского населения)</c:v>
                </c:pt>
              </c:strCache>
            </c:strRef>
          </c:tx>
          <c:spPr>
            <a:ln w="28575" cap="rnd">
              <a:solidFill>
                <a:schemeClr val="tx1"/>
              </a:solidFill>
              <a:prstDash val="dash"/>
              <a:round/>
            </a:ln>
            <a:effectLst/>
          </c:spPr>
          <c:marker>
            <c:symbol val="none"/>
          </c:marker>
          <c:cat>
            <c:numRef>
              <c:f>Исходные!$B$1:$K$1</c:f>
              <c:numCache>
                <c:formatCode>0</c:formatCode>
                <c:ptCount val="10"/>
                <c:pt idx="0">
                  <c:v>2012</c:v>
                </c:pt>
                <c:pt idx="1">
                  <c:v>2013</c:v>
                </c:pt>
                <c:pt idx="2">
                  <c:v>2014</c:v>
                </c:pt>
                <c:pt idx="3">
                  <c:v>2015</c:v>
                </c:pt>
                <c:pt idx="4">
                  <c:v>2016</c:v>
                </c:pt>
                <c:pt idx="5">
                  <c:v>2017</c:v>
                </c:pt>
                <c:pt idx="6">
                  <c:v>2018</c:v>
                </c:pt>
                <c:pt idx="7">
                  <c:v>2019</c:v>
                </c:pt>
                <c:pt idx="8">
                  <c:v>2020</c:v>
                </c:pt>
                <c:pt idx="9">
                  <c:v>2021</c:v>
                </c:pt>
              </c:numCache>
            </c:numRef>
          </c:cat>
          <c:val>
            <c:numRef>
              <c:f>Исходные!$B$990:$K$990</c:f>
              <c:numCache>
                <c:formatCode>0.00</c:formatCode>
                <c:ptCount val="10"/>
                <c:pt idx="0">
                  <c:v>13.99539399</c:v>
                </c:pt>
                <c:pt idx="1">
                  <c:v>14.74174921</c:v>
                </c:pt>
                <c:pt idx="2">
                  <c:v>15.507239999999999</c:v>
                </c:pt>
                <c:pt idx="3">
                  <c:v>16.29186</c:v>
                </c:pt>
                <c:pt idx="4">
                  <c:v>17.09562</c:v>
                </c:pt>
                <c:pt idx="5">
                  <c:v>17.918520000000001</c:v>
                </c:pt>
                <c:pt idx="6">
                  <c:v>18.760549999999999</c:v>
                </c:pt>
                <c:pt idx="7">
                  <c:v>19.62171</c:v>
                </c:pt>
                <c:pt idx="8">
                  <c:v>20.502006860000002</c:v>
                </c:pt>
                <c:pt idx="9">
                  <c:v>20.84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610-4C1C-A6D1-CA4C5DE69E83}"/>
            </c:ext>
          </c:extLst>
        </c:ser>
        <c:ser>
          <c:idx val="1"/>
          <c:order val="1"/>
          <c:tx>
            <c:strRef>
              <c:f>Исходные!$A$991</c:f>
              <c:strCache>
                <c:ptCount val="1"/>
                <c:pt idx="0">
                  <c:v>Люди, пользующиеся хотя бы базовыми услугами санитарии, город (% городского населения)</c:v>
                </c:pt>
              </c:strCache>
            </c:strRef>
          </c:tx>
          <c:spPr>
            <a:ln w="28575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numRef>
              <c:f>Исходные!$B$1:$K$1</c:f>
              <c:numCache>
                <c:formatCode>0</c:formatCode>
                <c:ptCount val="10"/>
                <c:pt idx="0">
                  <c:v>2012</c:v>
                </c:pt>
                <c:pt idx="1">
                  <c:v>2013</c:v>
                </c:pt>
                <c:pt idx="2">
                  <c:v>2014</c:v>
                </c:pt>
                <c:pt idx="3">
                  <c:v>2015</c:v>
                </c:pt>
                <c:pt idx="4">
                  <c:v>2016</c:v>
                </c:pt>
                <c:pt idx="5">
                  <c:v>2017</c:v>
                </c:pt>
                <c:pt idx="6">
                  <c:v>2018</c:v>
                </c:pt>
                <c:pt idx="7">
                  <c:v>2019</c:v>
                </c:pt>
                <c:pt idx="8">
                  <c:v>2020</c:v>
                </c:pt>
                <c:pt idx="9">
                  <c:v>2021</c:v>
                </c:pt>
              </c:numCache>
            </c:numRef>
          </c:cat>
          <c:val>
            <c:numRef>
              <c:f>Исходные!$B$991:$K$991</c:f>
              <c:numCache>
                <c:formatCode>0.00</c:formatCode>
                <c:ptCount val="10"/>
                <c:pt idx="0">
                  <c:v>43.818692660000004</c:v>
                </c:pt>
                <c:pt idx="1">
                  <c:v>44.325497810000002</c:v>
                </c:pt>
                <c:pt idx="2">
                  <c:v>44.835209999999996</c:v>
                </c:pt>
                <c:pt idx="3">
                  <c:v>45.347830000000002</c:v>
                </c:pt>
                <c:pt idx="4">
                  <c:v>45.86336</c:v>
                </c:pt>
                <c:pt idx="5">
                  <c:v>46.381799999999998</c:v>
                </c:pt>
                <c:pt idx="6">
                  <c:v>46.90314</c:v>
                </c:pt>
                <c:pt idx="7">
                  <c:v>47.427390000000003</c:v>
                </c:pt>
                <c:pt idx="8">
                  <c:v>47.701860529999998</c:v>
                </c:pt>
                <c:pt idx="9">
                  <c:v>48.2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610-4C1C-A6D1-CA4C5DE69E8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-886958704"/>
        <c:axId val="-886958160"/>
      </c:lineChart>
      <c:catAx>
        <c:axId val="-886958704"/>
        <c:scaling>
          <c:orientation val="minMax"/>
        </c:scaling>
        <c:delete val="0"/>
        <c:axPos val="b"/>
        <c:numFmt formatCode="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-886958160"/>
        <c:crosses val="autoZero"/>
        <c:auto val="1"/>
        <c:lblAlgn val="ctr"/>
        <c:lblOffset val="100"/>
        <c:noMultiLvlLbl val="0"/>
      </c:catAx>
      <c:valAx>
        <c:axId val="-8869581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-8869587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ysClr val="windowText" lastClr="000000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4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Исходные!$A$993</c:f>
              <c:strCache>
                <c:ptCount val="1"/>
                <c:pt idx="0">
                  <c:v>Люди, пользующиеся безопасно управляемыми услугами питьевого водоснабжения, сельское население </c:v>
                </c:pt>
              </c:strCache>
            </c:strRef>
          </c:tx>
          <c:spPr>
            <a:ln w="28575" cap="rnd">
              <a:solidFill>
                <a:schemeClr val="tx1"/>
              </a:solidFill>
              <a:prstDash val="dash"/>
              <a:round/>
            </a:ln>
            <a:effectLst/>
          </c:spPr>
          <c:marker>
            <c:symbol val="none"/>
          </c:marker>
          <c:cat>
            <c:numRef>
              <c:f>Исходные!$B$1:$K$1</c:f>
              <c:numCache>
                <c:formatCode>0</c:formatCode>
                <c:ptCount val="10"/>
                <c:pt idx="0">
                  <c:v>2012</c:v>
                </c:pt>
                <c:pt idx="1">
                  <c:v>2013</c:v>
                </c:pt>
                <c:pt idx="2">
                  <c:v>2014</c:v>
                </c:pt>
                <c:pt idx="3">
                  <c:v>2015</c:v>
                </c:pt>
                <c:pt idx="4">
                  <c:v>2016</c:v>
                </c:pt>
                <c:pt idx="5">
                  <c:v>2017</c:v>
                </c:pt>
                <c:pt idx="6">
                  <c:v>2018</c:v>
                </c:pt>
                <c:pt idx="7">
                  <c:v>2019</c:v>
                </c:pt>
                <c:pt idx="8">
                  <c:v>2020</c:v>
                </c:pt>
                <c:pt idx="9">
                  <c:v>2021</c:v>
                </c:pt>
              </c:numCache>
            </c:numRef>
          </c:cat>
          <c:val>
            <c:numRef>
              <c:f>Исходные!$B$993:$K$993</c:f>
              <c:numCache>
                <c:formatCode>0.00</c:formatCode>
                <c:ptCount val="10"/>
                <c:pt idx="0">
                  <c:v>15.553374570000001</c:v>
                </c:pt>
                <c:pt idx="1">
                  <c:v>15.431361750000001</c:v>
                </c:pt>
                <c:pt idx="2">
                  <c:v>15.30932</c:v>
                </c:pt>
                <c:pt idx="3">
                  <c:v>15.18726</c:v>
                </c:pt>
                <c:pt idx="4">
                  <c:v>15.06518</c:v>
                </c:pt>
                <c:pt idx="5">
                  <c:v>14.943070000000001</c:v>
                </c:pt>
                <c:pt idx="6">
                  <c:v>14.820930000000001</c:v>
                </c:pt>
                <c:pt idx="7">
                  <c:v>14.69877</c:v>
                </c:pt>
                <c:pt idx="8">
                  <c:v>14.576590830000001</c:v>
                </c:pt>
                <c:pt idx="9">
                  <c:v>14.61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5A0-43F9-AEE5-14727DBEF2C8}"/>
            </c:ext>
          </c:extLst>
        </c:ser>
        <c:ser>
          <c:idx val="1"/>
          <c:order val="1"/>
          <c:tx>
            <c:strRef>
              <c:f>Исходные!$A$994</c:f>
              <c:strCache>
                <c:ptCount val="1"/>
                <c:pt idx="0">
                  <c:v>Люди, пользующиеся безопасно управляемыми услугами питьевого водоснабжения, город </c:v>
                </c:pt>
              </c:strCache>
            </c:strRef>
          </c:tx>
          <c:spPr>
            <a:ln w="28575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numRef>
              <c:f>Исходные!$B$1:$K$1</c:f>
              <c:numCache>
                <c:formatCode>0</c:formatCode>
                <c:ptCount val="10"/>
                <c:pt idx="0">
                  <c:v>2012</c:v>
                </c:pt>
                <c:pt idx="1">
                  <c:v>2013</c:v>
                </c:pt>
                <c:pt idx="2">
                  <c:v>2014</c:v>
                </c:pt>
                <c:pt idx="3">
                  <c:v>2015</c:v>
                </c:pt>
                <c:pt idx="4">
                  <c:v>2016</c:v>
                </c:pt>
                <c:pt idx="5">
                  <c:v>2017</c:v>
                </c:pt>
                <c:pt idx="6">
                  <c:v>2018</c:v>
                </c:pt>
                <c:pt idx="7">
                  <c:v>2019</c:v>
                </c:pt>
                <c:pt idx="8">
                  <c:v>2020</c:v>
                </c:pt>
                <c:pt idx="9">
                  <c:v>2021</c:v>
                </c:pt>
              </c:numCache>
            </c:numRef>
          </c:cat>
          <c:val>
            <c:numRef>
              <c:f>Исходные!$B$994:$K$994</c:f>
              <c:numCache>
                <c:formatCode>0.00</c:formatCode>
                <c:ptCount val="10"/>
                <c:pt idx="0">
                  <c:v>55.42676805</c:v>
                </c:pt>
                <c:pt idx="1">
                  <c:v>55.307391449999997</c:v>
                </c:pt>
                <c:pt idx="2">
                  <c:v>55.188009999999998</c:v>
                </c:pt>
                <c:pt idx="3">
                  <c:v>55.068640000000002</c:v>
                </c:pt>
                <c:pt idx="4">
                  <c:v>54.949260000000002</c:v>
                </c:pt>
                <c:pt idx="5">
                  <c:v>54.829889999999999</c:v>
                </c:pt>
                <c:pt idx="6">
                  <c:v>54.710509999999999</c:v>
                </c:pt>
                <c:pt idx="7">
                  <c:v>54.59113</c:v>
                </c:pt>
                <c:pt idx="8">
                  <c:v>54.47175524</c:v>
                </c:pt>
                <c:pt idx="9">
                  <c:v>54.18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5A0-43F9-AEE5-14727DBEF2C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-886957616"/>
        <c:axId val="-886957072"/>
      </c:lineChart>
      <c:catAx>
        <c:axId val="-886957616"/>
        <c:scaling>
          <c:orientation val="minMax"/>
        </c:scaling>
        <c:delete val="0"/>
        <c:axPos val="b"/>
        <c:numFmt formatCode="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-886957072"/>
        <c:crosses val="autoZero"/>
        <c:auto val="1"/>
        <c:lblAlgn val="ctr"/>
        <c:lblOffset val="100"/>
        <c:noMultiLvlLbl val="0"/>
      </c:catAx>
      <c:valAx>
        <c:axId val="-8869570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-8869576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1.9861026987011247E-2"/>
          <c:y val="0.76360993337371286"/>
          <c:w val="0.95173076923076927"/>
          <c:h val="0.2056208358570563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ysClr val="windowText" lastClr="000000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4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Рисунки!$A$9:$A$13</c:f>
              <c:strCache>
                <c:ptCount val="5"/>
                <c:pt idx="0">
                  <c:v>2-ой квантиль</c:v>
                </c:pt>
                <c:pt idx="1">
                  <c:v>3-ий квантиль</c:v>
                </c:pt>
                <c:pt idx="2">
                  <c:v>4-ый квантиль</c:v>
                </c:pt>
                <c:pt idx="3">
                  <c:v>Беднейший квантиль</c:v>
                </c:pt>
                <c:pt idx="4">
                  <c:v>Богатейший квантиль</c:v>
                </c:pt>
              </c:strCache>
            </c:strRef>
          </c:cat>
          <c:val>
            <c:numRef>
              <c:f>Рисунки!$B$9:$B$13</c:f>
              <c:numCache>
                <c:formatCode>General</c:formatCode>
                <c:ptCount val="5"/>
                <c:pt idx="0">
                  <c:v>7.3368017399999994</c:v>
                </c:pt>
                <c:pt idx="1">
                  <c:v>8.2532785199999985</c:v>
                </c:pt>
                <c:pt idx="2">
                  <c:v>9.6408990600000006</c:v>
                </c:pt>
                <c:pt idx="3">
                  <c:v>6.1854233999999995</c:v>
                </c:pt>
                <c:pt idx="4">
                  <c:v>13.736122199999999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CC9-49F2-AE6F-AB229F8A348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-886963600"/>
        <c:axId val="-1091528624"/>
      </c:barChart>
      <c:catAx>
        <c:axId val="-8869636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-1091528624"/>
        <c:crosses val="autoZero"/>
        <c:auto val="1"/>
        <c:lblAlgn val="ctr"/>
        <c:lblOffset val="100"/>
        <c:noMultiLvlLbl val="0"/>
      </c:catAx>
      <c:valAx>
        <c:axId val="-10915286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-88696360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ysClr val="windowText" lastClr="000000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4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Рисунки!$A$15:$A$19</c:f>
              <c:strCache>
                <c:ptCount val="5"/>
                <c:pt idx="0">
                  <c:v>2-ой квантиль</c:v>
                </c:pt>
                <c:pt idx="1">
                  <c:v>3-ий квантиль</c:v>
                </c:pt>
                <c:pt idx="2">
                  <c:v>4-ый квантиль</c:v>
                </c:pt>
                <c:pt idx="3">
                  <c:v>Беднейший квантиль</c:v>
                </c:pt>
                <c:pt idx="4">
                  <c:v>Богатейший квантиль</c:v>
                </c:pt>
              </c:strCache>
            </c:strRef>
          </c:cat>
          <c:val>
            <c:numRef>
              <c:f>Рисунки!$B$15:$B$19</c:f>
              <c:numCache>
                <c:formatCode>0.00</c:formatCode>
                <c:ptCount val="5"/>
                <c:pt idx="0">
                  <c:v>34.151290000000003</c:v>
                </c:pt>
                <c:pt idx="1">
                  <c:v>31.478819999999999</c:v>
                </c:pt>
                <c:pt idx="2">
                  <c:v>22.666830000000001</c:v>
                </c:pt>
                <c:pt idx="3">
                  <c:v>36.464979999999997</c:v>
                </c:pt>
                <c:pt idx="4">
                  <c:v>11.402509999999999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DBE-4742-A15F-1FD28678B15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-1091527536"/>
        <c:axId val="-1091531888"/>
      </c:barChart>
      <c:catAx>
        <c:axId val="-109152753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-1091531888"/>
        <c:crosses val="autoZero"/>
        <c:auto val="1"/>
        <c:lblAlgn val="ctr"/>
        <c:lblOffset val="100"/>
        <c:noMultiLvlLbl val="0"/>
      </c:catAx>
      <c:valAx>
        <c:axId val="-10915318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-109152753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ysClr val="windowText" lastClr="000000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4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Рисунки!$B$23</c:f>
              <c:strCache>
                <c:ptCount val="1"/>
                <c:pt idx="0">
                  <c:v>2015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Рисунки!$A$24:$A$29</c:f>
              <c:strCache>
                <c:ptCount val="6"/>
                <c:pt idx="0">
                  <c:v>Индекс человеческого капитала (HCI), женщины</c:v>
                </c:pt>
                <c:pt idx="1">
                  <c:v>Индекс человеческого капитала (HCI), женщины, нижняя граница </c:v>
                </c:pt>
                <c:pt idx="2">
                  <c:v>Индекс человеческого капитала (HCI), женщины, верхняя граница </c:v>
                </c:pt>
                <c:pt idx="3">
                  <c:v>Индекс человеческого капитала (HCI), мужчины </c:v>
                </c:pt>
                <c:pt idx="4">
                  <c:v>Индекс человеческого капитала (HCI), мужчины, нижняя граница</c:v>
                </c:pt>
                <c:pt idx="5">
                  <c:v>Индекс человеческого капитала (HCI), мужчины, верхняя граница </c:v>
                </c:pt>
              </c:strCache>
            </c:strRef>
          </c:cat>
          <c:val>
            <c:numRef>
              <c:f>Рисунки!$B$24:$B$29</c:f>
              <c:numCache>
                <c:formatCode>0.00</c:formatCode>
                <c:ptCount val="6"/>
                <c:pt idx="0">
                  <c:v>0.32300000000000001</c:v>
                </c:pt>
                <c:pt idx="1">
                  <c:v>0.30199999999999999</c:v>
                </c:pt>
                <c:pt idx="2">
                  <c:v>0.34200000000000003</c:v>
                </c:pt>
                <c:pt idx="3">
                  <c:v>0.32500000000000001</c:v>
                </c:pt>
                <c:pt idx="4">
                  <c:v>0.30299999999999999</c:v>
                </c:pt>
                <c:pt idx="5">
                  <c:v>0.34499999999999997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D60-42FD-BF2A-24E0C03B5C00}"/>
            </c:ext>
          </c:extLst>
        </c:ser>
        <c:ser>
          <c:idx val="1"/>
          <c:order val="1"/>
          <c:tx>
            <c:strRef>
              <c:f>Рисунки!$C$23</c:f>
              <c:strCache>
                <c:ptCount val="1"/>
                <c:pt idx="0">
                  <c:v>2020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Рисунки!$A$24:$A$29</c:f>
              <c:strCache>
                <c:ptCount val="6"/>
                <c:pt idx="0">
                  <c:v>Индекс человеческого капитала (HCI), женщины</c:v>
                </c:pt>
                <c:pt idx="1">
                  <c:v>Индекс человеческого капитала (HCI), женщины, нижняя граница </c:v>
                </c:pt>
                <c:pt idx="2">
                  <c:v>Индекс человеческого капитала (HCI), женщины, верхняя граница </c:v>
                </c:pt>
                <c:pt idx="3">
                  <c:v>Индекс человеческого капитала (HCI), мужчины </c:v>
                </c:pt>
                <c:pt idx="4">
                  <c:v>Индекс человеческого капитала (HCI), мужчины, нижняя граница</c:v>
                </c:pt>
                <c:pt idx="5">
                  <c:v>Индекс человеческого капитала (HCI), мужчины, верхняя граница </c:v>
                </c:pt>
              </c:strCache>
            </c:strRef>
          </c:cat>
          <c:val>
            <c:numRef>
              <c:f>Рисунки!$C$24:$C$29</c:f>
              <c:numCache>
                <c:formatCode>0.00</c:formatCode>
                <c:ptCount val="6"/>
                <c:pt idx="0">
                  <c:v>0.37777540100000001</c:v>
                </c:pt>
                <c:pt idx="1">
                  <c:v>0.35828015200000002</c:v>
                </c:pt>
                <c:pt idx="2">
                  <c:v>0.39651539899999999</c:v>
                </c:pt>
                <c:pt idx="3">
                  <c:v>0.38248267800000002</c:v>
                </c:pt>
                <c:pt idx="4">
                  <c:v>0.361157805</c:v>
                </c:pt>
                <c:pt idx="5">
                  <c:v>0.40307319200000002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D60-42FD-BF2A-24E0C03B5C0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-1091530800"/>
        <c:axId val="-935901472"/>
      </c:barChart>
      <c:catAx>
        <c:axId val="-109153080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-935901472"/>
        <c:crosses val="autoZero"/>
        <c:auto val="1"/>
        <c:lblAlgn val="ctr"/>
        <c:lblOffset val="100"/>
        <c:noMultiLvlLbl val="0"/>
      </c:catAx>
      <c:valAx>
        <c:axId val="-93590147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-109153080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ysClr val="windowText" lastClr="000000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4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Исходные!$A$825</c:f>
              <c:strCache>
                <c:ptCount val="1"/>
                <c:pt idx="0">
                  <c:v>Смертность детей в возрасте до 5 лет, девочки </c:v>
                </c:pt>
              </c:strCache>
            </c:strRef>
          </c:tx>
          <c:spPr>
            <a:ln w="28575" cap="rnd">
              <a:solidFill>
                <a:schemeClr val="tx1"/>
              </a:solidFill>
              <a:prstDash val="dash"/>
              <a:round/>
            </a:ln>
            <a:effectLst/>
          </c:spPr>
          <c:marker>
            <c:symbol val="none"/>
          </c:marker>
          <c:cat>
            <c:numRef>
              <c:f>Исходные!$B$1:$K$1</c:f>
              <c:numCache>
                <c:formatCode>0</c:formatCode>
                <c:ptCount val="10"/>
                <c:pt idx="0">
                  <c:v>2012</c:v>
                </c:pt>
                <c:pt idx="1">
                  <c:v>2013</c:v>
                </c:pt>
                <c:pt idx="2">
                  <c:v>2014</c:v>
                </c:pt>
                <c:pt idx="3">
                  <c:v>2015</c:v>
                </c:pt>
                <c:pt idx="4">
                  <c:v>2016</c:v>
                </c:pt>
                <c:pt idx="5">
                  <c:v>2017</c:v>
                </c:pt>
                <c:pt idx="6">
                  <c:v>2018</c:v>
                </c:pt>
                <c:pt idx="7">
                  <c:v>2019</c:v>
                </c:pt>
                <c:pt idx="8">
                  <c:v>2020</c:v>
                </c:pt>
                <c:pt idx="9">
                  <c:v>2021</c:v>
                </c:pt>
              </c:numCache>
            </c:numRef>
          </c:cat>
          <c:val>
            <c:numRef>
              <c:f>Исходные!$B$825:$K$825</c:f>
              <c:numCache>
                <c:formatCode>0.00</c:formatCode>
                <c:ptCount val="10"/>
                <c:pt idx="0">
                  <c:v>89.8</c:v>
                </c:pt>
                <c:pt idx="1">
                  <c:v>86.8</c:v>
                </c:pt>
                <c:pt idx="2">
                  <c:v>83.7</c:v>
                </c:pt>
                <c:pt idx="3">
                  <c:v>81</c:v>
                </c:pt>
                <c:pt idx="4">
                  <c:v>78.7</c:v>
                </c:pt>
                <c:pt idx="5">
                  <c:v>76.5</c:v>
                </c:pt>
                <c:pt idx="6">
                  <c:v>74</c:v>
                </c:pt>
                <c:pt idx="7">
                  <c:v>71.2</c:v>
                </c:pt>
                <c:pt idx="8">
                  <c:v>68.900000000000006</c:v>
                </c:pt>
                <c:pt idx="9">
                  <c:v>66.7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BA8-449E-B679-2DDDF56D0BD2}"/>
            </c:ext>
          </c:extLst>
        </c:ser>
        <c:ser>
          <c:idx val="1"/>
          <c:order val="1"/>
          <c:tx>
            <c:strRef>
              <c:f>Исходные!$A$826</c:f>
              <c:strCache>
                <c:ptCount val="1"/>
                <c:pt idx="0">
                  <c:v>Смертность детей в возрасте до 5 лет, мальчики </c:v>
                </c:pt>
              </c:strCache>
            </c:strRef>
          </c:tx>
          <c:spPr>
            <a:ln w="28575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numRef>
              <c:f>Исходные!$B$1:$K$1</c:f>
              <c:numCache>
                <c:formatCode>0</c:formatCode>
                <c:ptCount val="10"/>
                <c:pt idx="0">
                  <c:v>2012</c:v>
                </c:pt>
                <c:pt idx="1">
                  <c:v>2013</c:v>
                </c:pt>
                <c:pt idx="2">
                  <c:v>2014</c:v>
                </c:pt>
                <c:pt idx="3">
                  <c:v>2015</c:v>
                </c:pt>
                <c:pt idx="4">
                  <c:v>2016</c:v>
                </c:pt>
                <c:pt idx="5">
                  <c:v>2017</c:v>
                </c:pt>
                <c:pt idx="6">
                  <c:v>2018</c:v>
                </c:pt>
                <c:pt idx="7">
                  <c:v>2019</c:v>
                </c:pt>
                <c:pt idx="8">
                  <c:v>2020</c:v>
                </c:pt>
                <c:pt idx="9">
                  <c:v>2021</c:v>
                </c:pt>
              </c:numCache>
            </c:numRef>
          </c:cat>
          <c:val>
            <c:numRef>
              <c:f>Исходные!$B$826:$K$826</c:f>
              <c:numCache>
                <c:formatCode>0.00</c:formatCode>
                <c:ptCount val="10"/>
                <c:pt idx="0">
                  <c:v>110</c:v>
                </c:pt>
                <c:pt idx="1">
                  <c:v>106.4</c:v>
                </c:pt>
                <c:pt idx="2">
                  <c:v>102.8</c:v>
                </c:pt>
                <c:pt idx="3">
                  <c:v>99.5</c:v>
                </c:pt>
                <c:pt idx="4">
                  <c:v>97</c:v>
                </c:pt>
                <c:pt idx="5">
                  <c:v>94.3</c:v>
                </c:pt>
                <c:pt idx="6">
                  <c:v>91.2</c:v>
                </c:pt>
                <c:pt idx="7">
                  <c:v>87.9</c:v>
                </c:pt>
                <c:pt idx="8">
                  <c:v>85.2</c:v>
                </c:pt>
                <c:pt idx="9">
                  <c:v>82.5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BA8-449E-B679-2DDDF56D0BD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-935897120"/>
        <c:axId val="-935902016"/>
      </c:lineChart>
      <c:catAx>
        <c:axId val="-935897120"/>
        <c:scaling>
          <c:orientation val="minMax"/>
        </c:scaling>
        <c:delete val="0"/>
        <c:axPos val="b"/>
        <c:numFmt formatCode="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-935902016"/>
        <c:crosses val="autoZero"/>
        <c:auto val="1"/>
        <c:lblAlgn val="ctr"/>
        <c:lblOffset val="100"/>
        <c:noMultiLvlLbl val="0"/>
      </c:catAx>
      <c:valAx>
        <c:axId val="-935902016"/>
        <c:scaling>
          <c:orientation val="minMax"/>
          <c:min val="5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-9358971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ysClr val="windowText" lastClr="000000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4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Исходные!$A$728</c:f>
              <c:strCache>
                <c:ptCount val="1"/>
                <c:pt idx="0">
                  <c:v>Ожидаемая продолжительность жизни при рождении, женщины (лет)</c:v>
                </c:pt>
              </c:strCache>
            </c:strRef>
          </c:tx>
          <c:spPr>
            <a:ln w="28575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numRef>
              <c:f>Исходные!$B$1:$K$1</c:f>
              <c:numCache>
                <c:formatCode>0</c:formatCode>
                <c:ptCount val="10"/>
                <c:pt idx="0">
                  <c:v>2012</c:v>
                </c:pt>
                <c:pt idx="1">
                  <c:v>2013</c:v>
                </c:pt>
                <c:pt idx="2">
                  <c:v>2014</c:v>
                </c:pt>
                <c:pt idx="3">
                  <c:v>2015</c:v>
                </c:pt>
                <c:pt idx="4">
                  <c:v>2016</c:v>
                </c:pt>
                <c:pt idx="5">
                  <c:v>2017</c:v>
                </c:pt>
                <c:pt idx="6">
                  <c:v>2018</c:v>
                </c:pt>
                <c:pt idx="7">
                  <c:v>2019</c:v>
                </c:pt>
                <c:pt idx="8">
                  <c:v>2020</c:v>
                </c:pt>
                <c:pt idx="9">
                  <c:v>2021</c:v>
                </c:pt>
              </c:numCache>
            </c:numRef>
          </c:cat>
          <c:val>
            <c:numRef>
              <c:f>Исходные!$B$728:$K$728</c:f>
              <c:numCache>
                <c:formatCode>0.00</c:formatCode>
                <c:ptCount val="10"/>
                <c:pt idx="0">
                  <c:v>57.338999999999999</c:v>
                </c:pt>
                <c:pt idx="1">
                  <c:v>58.024000000000001</c:v>
                </c:pt>
                <c:pt idx="2">
                  <c:v>58.262999999999998</c:v>
                </c:pt>
                <c:pt idx="3">
                  <c:v>58.947000000000003</c:v>
                </c:pt>
                <c:pt idx="4">
                  <c:v>59.069000000000003</c:v>
                </c:pt>
                <c:pt idx="5">
                  <c:v>59.722999999999999</c:v>
                </c:pt>
                <c:pt idx="6">
                  <c:v>59.94</c:v>
                </c:pt>
                <c:pt idx="7">
                  <c:v>60.59</c:v>
                </c:pt>
                <c:pt idx="8">
                  <c:v>60.350999999999999</c:v>
                </c:pt>
                <c:pt idx="9">
                  <c:v>60.86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92A-4EBF-9E1B-248A6E2070B7}"/>
            </c:ext>
          </c:extLst>
        </c:ser>
        <c:ser>
          <c:idx val="1"/>
          <c:order val="1"/>
          <c:tx>
            <c:strRef>
              <c:f>Исходные!$A$729</c:f>
              <c:strCache>
                <c:ptCount val="1"/>
                <c:pt idx="0">
                  <c:v>Ожидаемая продолжительность жизни при рождении, мужчины (лет)</c:v>
                </c:pt>
              </c:strCache>
            </c:strRef>
          </c:tx>
          <c:spPr>
            <a:ln w="28575" cap="rnd">
              <a:solidFill>
                <a:schemeClr val="tx1"/>
              </a:solidFill>
              <a:prstDash val="dash"/>
              <a:round/>
            </a:ln>
            <a:effectLst/>
          </c:spPr>
          <c:marker>
            <c:symbol val="none"/>
          </c:marker>
          <c:cat>
            <c:numRef>
              <c:f>Исходные!$B$1:$K$1</c:f>
              <c:numCache>
                <c:formatCode>0</c:formatCode>
                <c:ptCount val="10"/>
                <c:pt idx="0">
                  <c:v>2012</c:v>
                </c:pt>
                <c:pt idx="1">
                  <c:v>2013</c:v>
                </c:pt>
                <c:pt idx="2">
                  <c:v>2014</c:v>
                </c:pt>
                <c:pt idx="3">
                  <c:v>2015</c:v>
                </c:pt>
                <c:pt idx="4">
                  <c:v>2016</c:v>
                </c:pt>
                <c:pt idx="5">
                  <c:v>2017</c:v>
                </c:pt>
                <c:pt idx="6">
                  <c:v>2018</c:v>
                </c:pt>
                <c:pt idx="7">
                  <c:v>2019</c:v>
                </c:pt>
                <c:pt idx="8">
                  <c:v>2020</c:v>
                </c:pt>
                <c:pt idx="9">
                  <c:v>2021</c:v>
                </c:pt>
              </c:numCache>
            </c:numRef>
          </c:cat>
          <c:val>
            <c:numRef>
              <c:f>Исходные!$B$729:$K$729</c:f>
              <c:numCache>
                <c:formatCode>0.00</c:formatCode>
                <c:ptCount val="10"/>
                <c:pt idx="0">
                  <c:v>55.073</c:v>
                </c:pt>
                <c:pt idx="1">
                  <c:v>55.581000000000003</c:v>
                </c:pt>
                <c:pt idx="2">
                  <c:v>56.234000000000002</c:v>
                </c:pt>
                <c:pt idx="3">
                  <c:v>56.677</c:v>
                </c:pt>
                <c:pt idx="4">
                  <c:v>57.13</c:v>
                </c:pt>
                <c:pt idx="5">
                  <c:v>57.347999999999999</c:v>
                </c:pt>
                <c:pt idx="6">
                  <c:v>57.845999999999997</c:v>
                </c:pt>
                <c:pt idx="7">
                  <c:v>58.161999999999999</c:v>
                </c:pt>
                <c:pt idx="8">
                  <c:v>57.86</c:v>
                </c:pt>
                <c:pt idx="9">
                  <c:v>58.02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92A-4EBF-9E1B-248A6E2070B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-935900928"/>
        <c:axId val="-935896576"/>
      </c:lineChart>
      <c:catAx>
        <c:axId val="-935900928"/>
        <c:scaling>
          <c:orientation val="minMax"/>
        </c:scaling>
        <c:delete val="0"/>
        <c:axPos val="b"/>
        <c:numFmt formatCode="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-935896576"/>
        <c:crosses val="autoZero"/>
        <c:auto val="1"/>
        <c:lblAlgn val="ctr"/>
        <c:lblOffset val="100"/>
        <c:noMultiLvlLbl val="0"/>
      </c:catAx>
      <c:valAx>
        <c:axId val="-9358965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-9359009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ysClr val="windowText" lastClr="000000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4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таблицы!$A$20</c:f>
              <c:strCache>
                <c:ptCount val="1"/>
                <c:pt idx="0">
                  <c:v>Дети, не посещающие школу, женщины (% девочек младшего школьного возраста)</c:v>
                </c:pt>
              </c:strCache>
            </c:strRef>
          </c:tx>
          <c:spPr>
            <a:ln w="28575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numRef>
              <c:f>таблицы!$B$1:$K$1</c:f>
              <c:numCache>
                <c:formatCode>0</c:formatCode>
                <c:ptCount val="10"/>
                <c:pt idx="0">
                  <c:v>2012</c:v>
                </c:pt>
                <c:pt idx="1">
                  <c:v>2013</c:v>
                </c:pt>
                <c:pt idx="2">
                  <c:v>2014</c:v>
                </c:pt>
                <c:pt idx="3">
                  <c:v>2015</c:v>
                </c:pt>
                <c:pt idx="4">
                  <c:v>2016</c:v>
                </c:pt>
                <c:pt idx="5">
                  <c:v>2017</c:v>
                </c:pt>
                <c:pt idx="6">
                  <c:v>2018</c:v>
                </c:pt>
                <c:pt idx="7">
                  <c:v>2019</c:v>
                </c:pt>
                <c:pt idx="8">
                  <c:v>2020</c:v>
                </c:pt>
                <c:pt idx="9">
                  <c:v>2021</c:v>
                </c:pt>
              </c:numCache>
            </c:numRef>
          </c:cat>
          <c:val>
            <c:numRef>
              <c:f>таблицы!$B$20:$K$20</c:f>
              <c:numCache>
                <c:formatCode>0.00</c:formatCode>
                <c:ptCount val="10"/>
                <c:pt idx="0">
                  <c:v>35.159999999999997</c:v>
                </c:pt>
                <c:pt idx="1">
                  <c:v>34.534111019999997</c:v>
                </c:pt>
                <c:pt idx="2">
                  <c:v>31.599460000000001</c:v>
                </c:pt>
                <c:pt idx="3">
                  <c:v>27.945930000000001</c:v>
                </c:pt>
                <c:pt idx="4">
                  <c:v>17.544720000000002</c:v>
                </c:pt>
                <c:pt idx="5">
                  <c:v>15.13918</c:v>
                </c:pt>
                <c:pt idx="6">
                  <c:v>10.145619999999999</c:v>
                </c:pt>
                <c:pt idx="7">
                  <c:v>8.3875299999999999</c:v>
                </c:pt>
                <c:pt idx="8">
                  <c:v>7.0139498710000003</c:v>
                </c:pt>
                <c:pt idx="9">
                  <c:v>8.0556898120000007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4E1-4AC1-9529-955E3A21BAD6}"/>
            </c:ext>
          </c:extLst>
        </c:ser>
        <c:ser>
          <c:idx val="1"/>
          <c:order val="1"/>
          <c:tx>
            <c:strRef>
              <c:f>таблицы!$A$21</c:f>
              <c:strCache>
                <c:ptCount val="1"/>
                <c:pt idx="0">
                  <c:v>Дети, не посещающие школу, мужчины (% мужчин начального школьного возраста)</c:v>
                </c:pt>
              </c:strCache>
            </c:strRef>
          </c:tx>
          <c:spPr>
            <a:ln w="28575" cap="rnd">
              <a:solidFill>
                <a:schemeClr val="tx1"/>
              </a:solidFill>
              <a:prstDash val="dash"/>
              <a:round/>
            </a:ln>
            <a:effectLst/>
          </c:spPr>
          <c:marker>
            <c:symbol val="none"/>
          </c:marker>
          <c:cat>
            <c:numRef>
              <c:f>таблицы!$B$1:$K$1</c:f>
              <c:numCache>
                <c:formatCode>0</c:formatCode>
                <c:ptCount val="10"/>
                <c:pt idx="0">
                  <c:v>2012</c:v>
                </c:pt>
                <c:pt idx="1">
                  <c:v>2013</c:v>
                </c:pt>
                <c:pt idx="2">
                  <c:v>2014</c:v>
                </c:pt>
                <c:pt idx="3">
                  <c:v>2015</c:v>
                </c:pt>
                <c:pt idx="4">
                  <c:v>2016</c:v>
                </c:pt>
                <c:pt idx="5">
                  <c:v>2017</c:v>
                </c:pt>
                <c:pt idx="6">
                  <c:v>2018</c:v>
                </c:pt>
                <c:pt idx="7">
                  <c:v>2019</c:v>
                </c:pt>
                <c:pt idx="8">
                  <c:v>2020</c:v>
                </c:pt>
                <c:pt idx="9">
                  <c:v>2021</c:v>
                </c:pt>
              </c:numCache>
            </c:numRef>
          </c:cat>
          <c:val>
            <c:numRef>
              <c:f>таблицы!$B$21:$K$21</c:f>
              <c:numCache>
                <c:formatCode>0.00</c:formatCode>
                <c:ptCount val="10"/>
                <c:pt idx="0">
                  <c:v>28.94</c:v>
                </c:pt>
                <c:pt idx="1">
                  <c:v>28.684579849999999</c:v>
                </c:pt>
                <c:pt idx="2">
                  <c:v>22.40221</c:v>
                </c:pt>
                <c:pt idx="3">
                  <c:v>18.601939999999999</c:v>
                </c:pt>
                <c:pt idx="4">
                  <c:v>8.4454899999999995</c:v>
                </c:pt>
                <c:pt idx="5">
                  <c:v>7.3418999999999999</c:v>
                </c:pt>
                <c:pt idx="6">
                  <c:v>2.2467700000000002</c:v>
                </c:pt>
                <c:pt idx="7">
                  <c:v>1.6302700000000001</c:v>
                </c:pt>
                <c:pt idx="8">
                  <c:v>0.28266999100000001</c:v>
                </c:pt>
                <c:pt idx="9">
                  <c:v>2.282870054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4E1-4AC1-9529-955E3A21BAD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-935898752"/>
        <c:axId val="-935902560"/>
      </c:lineChart>
      <c:catAx>
        <c:axId val="-935898752"/>
        <c:scaling>
          <c:orientation val="minMax"/>
        </c:scaling>
        <c:delete val="0"/>
        <c:axPos val="b"/>
        <c:numFmt formatCode="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-935902560"/>
        <c:crosses val="autoZero"/>
        <c:auto val="1"/>
        <c:lblAlgn val="ctr"/>
        <c:lblOffset val="100"/>
        <c:noMultiLvlLbl val="0"/>
      </c:catAx>
      <c:valAx>
        <c:axId val="-9359025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-93589875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ysClr val="windowText" lastClr="000000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4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Исходные!$A$752</c:f>
              <c:strCache>
                <c:ptCount val="1"/>
                <c:pt idx="0">
                  <c:v>Процент окончивших неполную среднюю школу, мужчины (% соответствующей возрастной группы)</c:v>
                </c:pt>
              </c:strCache>
            </c:strRef>
          </c:tx>
          <c:spPr>
            <a:ln w="28575" cap="rnd">
              <a:solidFill>
                <a:schemeClr val="tx1"/>
              </a:solidFill>
              <a:prstDash val="dash"/>
              <a:round/>
            </a:ln>
            <a:effectLst/>
          </c:spPr>
          <c:marker>
            <c:symbol val="none"/>
          </c:marker>
          <c:cat>
            <c:numRef>
              <c:f>Исходные!$B$1:$K$1</c:f>
              <c:numCache>
                <c:formatCode>0</c:formatCode>
                <c:ptCount val="10"/>
                <c:pt idx="0">
                  <c:v>2012</c:v>
                </c:pt>
                <c:pt idx="1">
                  <c:v>2013</c:v>
                </c:pt>
                <c:pt idx="2">
                  <c:v>2014</c:v>
                </c:pt>
                <c:pt idx="3">
                  <c:v>2015</c:v>
                </c:pt>
                <c:pt idx="4">
                  <c:v>2016</c:v>
                </c:pt>
                <c:pt idx="5">
                  <c:v>2017</c:v>
                </c:pt>
                <c:pt idx="6">
                  <c:v>2018</c:v>
                </c:pt>
                <c:pt idx="7">
                  <c:v>2019</c:v>
                </c:pt>
                <c:pt idx="8">
                  <c:v>2020</c:v>
                </c:pt>
                <c:pt idx="9">
                  <c:v>2021</c:v>
                </c:pt>
              </c:numCache>
            </c:numRef>
          </c:cat>
          <c:val>
            <c:numRef>
              <c:f>Исходные!$B$752:$K$752</c:f>
              <c:numCache>
                <c:formatCode>0.00</c:formatCode>
                <c:ptCount val="10"/>
                <c:pt idx="0">
                  <c:v>36.927219389999998</c:v>
                </c:pt>
                <c:pt idx="1">
                  <c:v>41.025749210000001</c:v>
                </c:pt>
                <c:pt idx="2">
                  <c:v>37.523409999999998</c:v>
                </c:pt>
                <c:pt idx="3">
                  <c:v>40.354140000000001</c:v>
                </c:pt>
                <c:pt idx="4">
                  <c:v>45.61665</c:v>
                </c:pt>
                <c:pt idx="5">
                  <c:v>53.456029999999998</c:v>
                </c:pt>
                <c:pt idx="6">
                  <c:v>56.209829999999997</c:v>
                </c:pt>
                <c:pt idx="7">
                  <c:v>58.581139999999998</c:v>
                </c:pt>
                <c:pt idx="8">
                  <c:v>62.9</c:v>
                </c:pt>
                <c:pt idx="9">
                  <c:v>64.788070680000004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8E5-453A-9176-399B1DC46B10}"/>
            </c:ext>
          </c:extLst>
        </c:ser>
        <c:ser>
          <c:idx val="1"/>
          <c:order val="1"/>
          <c:tx>
            <c:strRef>
              <c:f>Исходные!$A$753</c:f>
              <c:strCache>
                <c:ptCount val="1"/>
                <c:pt idx="0">
                  <c:v>Процент окончивших неполную среднюю школу, женщины (% соответствующей возрастной группы)</c:v>
                </c:pt>
              </c:strCache>
            </c:strRef>
          </c:tx>
          <c:spPr>
            <a:ln w="28575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numRef>
              <c:f>Исходные!$B$1:$K$1</c:f>
              <c:numCache>
                <c:formatCode>0</c:formatCode>
                <c:ptCount val="10"/>
                <c:pt idx="0">
                  <c:v>2012</c:v>
                </c:pt>
                <c:pt idx="1">
                  <c:v>2013</c:v>
                </c:pt>
                <c:pt idx="2">
                  <c:v>2014</c:v>
                </c:pt>
                <c:pt idx="3">
                  <c:v>2015</c:v>
                </c:pt>
                <c:pt idx="4">
                  <c:v>2016</c:v>
                </c:pt>
                <c:pt idx="5">
                  <c:v>2017</c:v>
                </c:pt>
                <c:pt idx="6">
                  <c:v>2018</c:v>
                </c:pt>
                <c:pt idx="7">
                  <c:v>2019</c:v>
                </c:pt>
                <c:pt idx="8">
                  <c:v>2020</c:v>
                </c:pt>
                <c:pt idx="9">
                  <c:v>2021</c:v>
                </c:pt>
              </c:numCache>
            </c:numRef>
          </c:cat>
          <c:val>
            <c:numRef>
              <c:f>Исходные!$B$753:$K$753</c:f>
              <c:numCache>
                <c:formatCode>0.00</c:formatCode>
                <c:ptCount val="10"/>
                <c:pt idx="0">
                  <c:v>31.02109909</c:v>
                </c:pt>
                <c:pt idx="1">
                  <c:v>34.129001619999997</c:v>
                </c:pt>
                <c:pt idx="2">
                  <c:v>31.68722</c:v>
                </c:pt>
                <c:pt idx="3">
                  <c:v>33.997869999999999</c:v>
                </c:pt>
                <c:pt idx="4">
                  <c:v>38.631390000000003</c:v>
                </c:pt>
                <c:pt idx="5">
                  <c:v>45.812919999999998</c:v>
                </c:pt>
                <c:pt idx="6">
                  <c:v>49.357599999999998</c:v>
                </c:pt>
                <c:pt idx="7">
                  <c:v>52.584400000000002</c:v>
                </c:pt>
                <c:pt idx="8">
                  <c:v>57.30815887</c:v>
                </c:pt>
                <c:pt idx="9">
                  <c:v>58.762321470000003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8E5-453A-9176-399B1DC46B1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-935900384"/>
        <c:axId val="-935899840"/>
      </c:lineChart>
      <c:catAx>
        <c:axId val="-935900384"/>
        <c:scaling>
          <c:orientation val="minMax"/>
        </c:scaling>
        <c:delete val="0"/>
        <c:axPos val="b"/>
        <c:numFmt formatCode="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-935899840"/>
        <c:crosses val="autoZero"/>
        <c:auto val="1"/>
        <c:lblAlgn val="ctr"/>
        <c:lblOffset val="100"/>
        <c:noMultiLvlLbl val="0"/>
      </c:catAx>
      <c:valAx>
        <c:axId val="-935899840"/>
        <c:scaling>
          <c:orientation val="minMax"/>
          <c:min val="2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-9359003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2.2585470085470086E-2"/>
          <c:y val="0.76683832578590805"/>
          <c:w val="0.94628205128205123"/>
          <c:h val="0.2028126605570358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ysClr val="windowText" lastClr="000000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4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Рисунки!$A$31</c:f>
              <c:strCache>
                <c:ptCount val="1"/>
                <c:pt idx="0">
                  <c:v>Уровень грамотности, взрослая женщина (% женщин в возрасте 15 лет и старше)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Рисунки!$B$30:$D$30</c:f>
              <c:numCache>
                <c:formatCode>0</c:formatCode>
                <c:ptCount val="3"/>
                <c:pt idx="0">
                  <c:v>2012</c:v>
                </c:pt>
                <c:pt idx="1">
                  <c:v>2017</c:v>
                </c:pt>
                <c:pt idx="2">
                  <c:v>2021</c:v>
                </c:pt>
              </c:numCache>
            </c:numRef>
          </c:cat>
          <c:val>
            <c:numRef>
              <c:f>Рисунки!$B$31:$D$31</c:f>
              <c:numCache>
                <c:formatCode>0.00</c:formatCode>
                <c:ptCount val="3"/>
                <c:pt idx="0">
                  <c:v>30.461719510000002</c:v>
                </c:pt>
                <c:pt idx="1">
                  <c:v>36.78425</c:v>
                </c:pt>
                <c:pt idx="2">
                  <c:v>86.741249999999994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449-44C6-A997-2862C5712F80}"/>
            </c:ext>
          </c:extLst>
        </c:ser>
        <c:ser>
          <c:idx val="1"/>
          <c:order val="1"/>
          <c:tx>
            <c:strRef>
              <c:f>Рисунки!$A$32</c:f>
              <c:strCache>
                <c:ptCount val="1"/>
                <c:pt idx="0">
                  <c:v>Уровень грамотности, взрослые мужчины (% мужчин в возрасте 15 лет и старше)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numRef>
              <c:f>Рисунки!$B$30:$D$30</c:f>
              <c:numCache>
                <c:formatCode>0</c:formatCode>
                <c:ptCount val="3"/>
                <c:pt idx="0">
                  <c:v>2012</c:v>
                </c:pt>
                <c:pt idx="1">
                  <c:v>2017</c:v>
                </c:pt>
                <c:pt idx="2">
                  <c:v>2021</c:v>
                </c:pt>
              </c:numCache>
            </c:numRef>
          </c:cat>
          <c:val>
            <c:numRef>
              <c:f>Рисунки!$B$32:$D$32</c:f>
              <c:numCache>
                <c:formatCode>0.00</c:formatCode>
                <c:ptCount val="3"/>
                <c:pt idx="0">
                  <c:v>51.592670439999999</c:v>
                </c:pt>
                <c:pt idx="1">
                  <c:v>50.701900000000002</c:v>
                </c:pt>
                <c:pt idx="2">
                  <c:v>93.141350000000003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449-44C6-A997-2862C5712F80}"/>
            </c:ext>
          </c:extLst>
        </c:ser>
        <c:ser>
          <c:idx val="2"/>
          <c:order val="2"/>
          <c:tx>
            <c:strRef>
              <c:f>Рисунки!$A$33</c:f>
              <c:strCache>
                <c:ptCount val="1"/>
                <c:pt idx="0">
                  <c:v>Уровень грамотности, всего взрослого населения (% людей в возрасте 15 лет и старше)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numRef>
              <c:f>Рисунки!$B$30:$D$30</c:f>
              <c:numCache>
                <c:formatCode>0</c:formatCode>
                <c:ptCount val="3"/>
                <c:pt idx="0">
                  <c:v>2012</c:v>
                </c:pt>
                <c:pt idx="1">
                  <c:v>2017</c:v>
                </c:pt>
                <c:pt idx="2">
                  <c:v>2021</c:v>
                </c:pt>
              </c:numCache>
            </c:numRef>
          </c:cat>
          <c:val>
            <c:numRef>
              <c:f>Рисунки!$B$33:$D$33</c:f>
              <c:numCache>
                <c:formatCode>0.00</c:formatCode>
                <c:ptCount val="3"/>
                <c:pt idx="0">
                  <c:v>40.98162842</c:v>
                </c:pt>
                <c:pt idx="1">
                  <c:v>43.90842</c:v>
                </c:pt>
                <c:pt idx="2">
                  <c:v>89.893420000000006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1449-44C6-A997-2862C5712F8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-935899296"/>
        <c:axId val="-935898208"/>
      </c:barChart>
      <c:catAx>
        <c:axId val="-935899296"/>
        <c:scaling>
          <c:orientation val="minMax"/>
        </c:scaling>
        <c:delete val="0"/>
        <c:axPos val="b"/>
        <c:numFmt formatCode="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-935898208"/>
        <c:crosses val="autoZero"/>
        <c:auto val="1"/>
        <c:lblAlgn val="ctr"/>
        <c:lblOffset val="100"/>
        <c:noMultiLvlLbl val="0"/>
      </c:catAx>
      <c:valAx>
        <c:axId val="-93589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-9358992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ysClr val="windowText" lastClr="000000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4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Исходные!$A$412</c:f>
              <c:strCache>
                <c:ptCount val="1"/>
                <c:pt idx="0">
                  <c:v>Занятость в сельском хозяйстве (% от общей занятости) (моделированная оценка МОТ)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Исходные!$D$1:$K$1</c:f>
              <c:numCache>
                <c:formatCode>0</c:formatCode>
                <c:ptCount val="8"/>
                <c:pt idx="0">
                  <c:v>2014</c:v>
                </c:pt>
                <c:pt idx="1">
                  <c:v>2015</c:v>
                </c:pt>
                <c:pt idx="2">
                  <c:v>2016</c:v>
                </c:pt>
                <c:pt idx="3">
                  <c:v>2017</c:v>
                </c:pt>
                <c:pt idx="4">
                  <c:v>2018</c:v>
                </c:pt>
                <c:pt idx="5">
                  <c:v>2019</c:v>
                </c:pt>
                <c:pt idx="6">
                  <c:v>2020</c:v>
                </c:pt>
                <c:pt idx="7">
                  <c:v>2021</c:v>
                </c:pt>
              </c:numCache>
            </c:numRef>
          </c:cat>
          <c:val>
            <c:numRef>
              <c:f>Исходные!$B$412:$I$412</c:f>
              <c:numCache>
                <c:formatCode>0.00</c:formatCode>
                <c:ptCount val="8"/>
                <c:pt idx="0">
                  <c:v>46.22000122</c:v>
                </c:pt>
                <c:pt idx="1">
                  <c:v>45.16999817</c:v>
                </c:pt>
                <c:pt idx="2">
                  <c:v>44.33</c:v>
                </c:pt>
                <c:pt idx="3">
                  <c:v>43.5</c:v>
                </c:pt>
                <c:pt idx="4">
                  <c:v>42.75</c:v>
                </c:pt>
                <c:pt idx="5">
                  <c:v>41.89</c:v>
                </c:pt>
                <c:pt idx="6">
                  <c:v>41.01</c:v>
                </c:pt>
                <c:pt idx="7">
                  <c:v>40.15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892-4B4D-8C1E-77ABB8737545}"/>
            </c:ext>
          </c:extLst>
        </c:ser>
        <c:ser>
          <c:idx val="1"/>
          <c:order val="1"/>
          <c:tx>
            <c:strRef>
              <c:f>Исходные!$A$413</c:f>
              <c:strCache>
                <c:ptCount val="1"/>
                <c:pt idx="0">
                  <c:v>Занятость женщин в сельском хозяйстве (% занятости женщин) (моделированная оценка МОТ)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numRef>
              <c:f>Исходные!$D$1:$K$1</c:f>
              <c:numCache>
                <c:formatCode>0</c:formatCode>
                <c:ptCount val="8"/>
                <c:pt idx="0">
                  <c:v>2014</c:v>
                </c:pt>
                <c:pt idx="1">
                  <c:v>2015</c:v>
                </c:pt>
                <c:pt idx="2">
                  <c:v>2016</c:v>
                </c:pt>
                <c:pt idx="3">
                  <c:v>2017</c:v>
                </c:pt>
                <c:pt idx="4">
                  <c:v>2018</c:v>
                </c:pt>
                <c:pt idx="5">
                  <c:v>2019</c:v>
                </c:pt>
                <c:pt idx="6">
                  <c:v>2020</c:v>
                </c:pt>
                <c:pt idx="7">
                  <c:v>2021</c:v>
                </c:pt>
              </c:numCache>
            </c:numRef>
          </c:cat>
          <c:val>
            <c:numRef>
              <c:f>Исходные!$B$413:$I$413</c:f>
              <c:numCache>
                <c:formatCode>0.00</c:formatCode>
                <c:ptCount val="8"/>
                <c:pt idx="0">
                  <c:v>40.939998629999998</c:v>
                </c:pt>
                <c:pt idx="1">
                  <c:v>39.979999540000001</c:v>
                </c:pt>
                <c:pt idx="2">
                  <c:v>38.19</c:v>
                </c:pt>
                <c:pt idx="3">
                  <c:v>36.380000000000003</c:v>
                </c:pt>
                <c:pt idx="4">
                  <c:v>34.590000000000003</c:v>
                </c:pt>
                <c:pt idx="5">
                  <c:v>32.69</c:v>
                </c:pt>
                <c:pt idx="6">
                  <c:v>31.95</c:v>
                </c:pt>
                <c:pt idx="7">
                  <c:v>31.04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892-4B4D-8C1E-77ABB8737545}"/>
            </c:ext>
          </c:extLst>
        </c:ser>
        <c:ser>
          <c:idx val="2"/>
          <c:order val="2"/>
          <c:tx>
            <c:strRef>
              <c:f>Исходные!$A$414</c:f>
              <c:strCache>
                <c:ptCount val="1"/>
                <c:pt idx="0">
                  <c:v>Занятость в сельском хозяйстве, мужчины (% занятости мужчин) (моделированная оценка МОТ)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numRef>
              <c:f>Исходные!$D$1:$K$1</c:f>
              <c:numCache>
                <c:formatCode>0</c:formatCode>
                <c:ptCount val="8"/>
                <c:pt idx="0">
                  <c:v>2014</c:v>
                </c:pt>
                <c:pt idx="1">
                  <c:v>2015</c:v>
                </c:pt>
                <c:pt idx="2">
                  <c:v>2016</c:v>
                </c:pt>
                <c:pt idx="3">
                  <c:v>2017</c:v>
                </c:pt>
                <c:pt idx="4">
                  <c:v>2018</c:v>
                </c:pt>
                <c:pt idx="5">
                  <c:v>2019</c:v>
                </c:pt>
                <c:pt idx="6">
                  <c:v>2020</c:v>
                </c:pt>
                <c:pt idx="7">
                  <c:v>2021</c:v>
                </c:pt>
              </c:numCache>
            </c:numRef>
          </c:cat>
          <c:val>
            <c:numRef>
              <c:f>Исходные!$B$414:$I$414</c:f>
              <c:numCache>
                <c:formatCode>0.00</c:formatCode>
                <c:ptCount val="8"/>
                <c:pt idx="0">
                  <c:v>49.63999939</c:v>
                </c:pt>
                <c:pt idx="1">
                  <c:v>48.549999239999998</c:v>
                </c:pt>
                <c:pt idx="2">
                  <c:v>48.4</c:v>
                </c:pt>
                <c:pt idx="3">
                  <c:v>48.32</c:v>
                </c:pt>
                <c:pt idx="4">
                  <c:v>48.37</c:v>
                </c:pt>
                <c:pt idx="5">
                  <c:v>48.32</c:v>
                </c:pt>
                <c:pt idx="6">
                  <c:v>47.41</c:v>
                </c:pt>
                <c:pt idx="7">
                  <c:v>46.62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892-4B4D-8C1E-77ABB873754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-935897664"/>
        <c:axId val="-935896032"/>
      </c:barChart>
      <c:catAx>
        <c:axId val="-935897664"/>
        <c:scaling>
          <c:orientation val="minMax"/>
        </c:scaling>
        <c:delete val="0"/>
        <c:axPos val="b"/>
        <c:numFmt formatCode="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-935896032"/>
        <c:crosses val="autoZero"/>
        <c:auto val="1"/>
        <c:lblAlgn val="ctr"/>
        <c:lblOffset val="100"/>
        <c:noMultiLvlLbl val="0"/>
      </c:catAx>
      <c:valAx>
        <c:axId val="-9358960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-9358976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ysClr val="windowText" lastClr="000000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4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Исходные!$A$415</c:f>
              <c:strCache>
                <c:ptCount val="1"/>
                <c:pt idx="0">
                  <c:v>Занятость в промышленности (% от общей занятости) (моделированная оценка МОТ)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Исходные!$D$1:$K$1</c:f>
              <c:numCache>
                <c:formatCode>0</c:formatCode>
                <c:ptCount val="8"/>
                <c:pt idx="0">
                  <c:v>2014</c:v>
                </c:pt>
                <c:pt idx="1">
                  <c:v>2015</c:v>
                </c:pt>
                <c:pt idx="2">
                  <c:v>2016</c:v>
                </c:pt>
                <c:pt idx="3">
                  <c:v>2017</c:v>
                </c:pt>
                <c:pt idx="4">
                  <c:v>2018</c:v>
                </c:pt>
                <c:pt idx="5">
                  <c:v>2019</c:v>
                </c:pt>
                <c:pt idx="6">
                  <c:v>2020</c:v>
                </c:pt>
                <c:pt idx="7">
                  <c:v>2021</c:v>
                </c:pt>
              </c:numCache>
            </c:numRef>
          </c:cat>
          <c:val>
            <c:numRef>
              <c:f>Исходные!$B$415:$I$415</c:f>
              <c:numCache>
                <c:formatCode>0.00</c:formatCode>
                <c:ptCount val="8"/>
                <c:pt idx="0">
                  <c:v>11.52000046</c:v>
                </c:pt>
                <c:pt idx="1">
                  <c:v>11.81999969</c:v>
                </c:pt>
                <c:pt idx="2">
                  <c:v>11.98</c:v>
                </c:pt>
                <c:pt idx="3">
                  <c:v>12.1</c:v>
                </c:pt>
                <c:pt idx="4">
                  <c:v>12.26</c:v>
                </c:pt>
                <c:pt idx="5">
                  <c:v>12.52</c:v>
                </c:pt>
                <c:pt idx="6">
                  <c:v>12.73</c:v>
                </c:pt>
                <c:pt idx="7">
                  <c:v>12.86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A79-43FD-9375-A3BA91070FBC}"/>
            </c:ext>
          </c:extLst>
        </c:ser>
        <c:ser>
          <c:idx val="1"/>
          <c:order val="1"/>
          <c:tx>
            <c:strRef>
              <c:f>Исходные!$A$416</c:f>
              <c:strCache>
                <c:ptCount val="1"/>
                <c:pt idx="0">
                  <c:v>Занятость в промышленности, женщины (% занятости женщин) (моделированная оценка МОТ)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numRef>
              <c:f>Исходные!$D$1:$K$1</c:f>
              <c:numCache>
                <c:formatCode>0</c:formatCode>
                <c:ptCount val="8"/>
                <c:pt idx="0">
                  <c:v>2014</c:v>
                </c:pt>
                <c:pt idx="1">
                  <c:v>2015</c:v>
                </c:pt>
                <c:pt idx="2">
                  <c:v>2016</c:v>
                </c:pt>
                <c:pt idx="3">
                  <c:v>2017</c:v>
                </c:pt>
                <c:pt idx="4">
                  <c:v>2018</c:v>
                </c:pt>
                <c:pt idx="5">
                  <c:v>2019</c:v>
                </c:pt>
                <c:pt idx="6">
                  <c:v>2020</c:v>
                </c:pt>
                <c:pt idx="7">
                  <c:v>2021</c:v>
                </c:pt>
              </c:numCache>
            </c:numRef>
          </c:cat>
          <c:val>
            <c:numRef>
              <c:f>Исходные!$B$416:$I$416</c:f>
              <c:numCache>
                <c:formatCode>0.00</c:formatCode>
                <c:ptCount val="8"/>
                <c:pt idx="0">
                  <c:v>11.06000042</c:v>
                </c:pt>
                <c:pt idx="1">
                  <c:v>11.380000109999999</c:v>
                </c:pt>
                <c:pt idx="2">
                  <c:v>10.95</c:v>
                </c:pt>
                <c:pt idx="3">
                  <c:v>10.57</c:v>
                </c:pt>
                <c:pt idx="4">
                  <c:v>10.35</c:v>
                </c:pt>
                <c:pt idx="5">
                  <c:v>10.34</c:v>
                </c:pt>
                <c:pt idx="6">
                  <c:v>10.43</c:v>
                </c:pt>
                <c:pt idx="7">
                  <c:v>10.47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A79-43FD-9375-A3BA91070FBC}"/>
            </c:ext>
          </c:extLst>
        </c:ser>
        <c:ser>
          <c:idx val="2"/>
          <c:order val="2"/>
          <c:tx>
            <c:strRef>
              <c:f>Исходные!$A$417</c:f>
              <c:strCache>
                <c:ptCount val="1"/>
                <c:pt idx="0">
                  <c:v>Занятость в промышленности, мужчины (% занятости мужчин) (моделированная оценка МОТ)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numRef>
              <c:f>Исходные!$D$1:$K$1</c:f>
              <c:numCache>
                <c:formatCode>0</c:formatCode>
                <c:ptCount val="8"/>
                <c:pt idx="0">
                  <c:v>2014</c:v>
                </c:pt>
                <c:pt idx="1">
                  <c:v>2015</c:v>
                </c:pt>
                <c:pt idx="2">
                  <c:v>2016</c:v>
                </c:pt>
                <c:pt idx="3">
                  <c:v>2017</c:v>
                </c:pt>
                <c:pt idx="4">
                  <c:v>2018</c:v>
                </c:pt>
                <c:pt idx="5">
                  <c:v>2019</c:v>
                </c:pt>
                <c:pt idx="6">
                  <c:v>2020</c:v>
                </c:pt>
                <c:pt idx="7">
                  <c:v>2021</c:v>
                </c:pt>
              </c:numCache>
            </c:numRef>
          </c:cat>
          <c:val>
            <c:numRef>
              <c:f>Исходные!$B$417:$I$417</c:f>
              <c:numCache>
                <c:formatCode>0.00</c:formatCode>
                <c:ptCount val="8"/>
                <c:pt idx="0">
                  <c:v>11.829999920000001</c:v>
                </c:pt>
                <c:pt idx="1">
                  <c:v>12.100000380000001</c:v>
                </c:pt>
                <c:pt idx="2">
                  <c:v>12.66</c:v>
                </c:pt>
                <c:pt idx="3">
                  <c:v>13.13</c:v>
                </c:pt>
                <c:pt idx="4">
                  <c:v>13.58</c:v>
                </c:pt>
                <c:pt idx="5">
                  <c:v>14.03</c:v>
                </c:pt>
                <c:pt idx="6">
                  <c:v>14.35</c:v>
                </c:pt>
                <c:pt idx="7">
                  <c:v>14.56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CA79-43FD-9375-A3BA91070FB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-935903104"/>
        <c:axId val="-882326016"/>
      </c:barChart>
      <c:catAx>
        <c:axId val="-935903104"/>
        <c:scaling>
          <c:orientation val="minMax"/>
        </c:scaling>
        <c:delete val="0"/>
        <c:axPos val="b"/>
        <c:numFmt formatCode="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-882326016"/>
        <c:crosses val="autoZero"/>
        <c:auto val="1"/>
        <c:lblAlgn val="ctr"/>
        <c:lblOffset val="100"/>
        <c:noMultiLvlLbl val="0"/>
      </c:catAx>
      <c:valAx>
        <c:axId val="-8823260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-9359031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ysClr val="windowText" lastClr="000000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4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Исходные!$A$47</c:f>
              <c:strCache>
                <c:ptCount val="1"/>
                <c:pt idx="0">
                  <c:v>Абоненты мобильной сотовой связи (на 100 человек)</c:v>
                </c:pt>
              </c:strCache>
            </c:strRef>
          </c:tx>
          <c:spPr>
            <a:ln w="28575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numRef>
              <c:f>Исходные!$B$1:$K$1</c:f>
              <c:numCache>
                <c:formatCode>0</c:formatCode>
                <c:ptCount val="10"/>
                <c:pt idx="0">
                  <c:v>2012</c:v>
                </c:pt>
                <c:pt idx="1">
                  <c:v>2013</c:v>
                </c:pt>
                <c:pt idx="2">
                  <c:v>2014</c:v>
                </c:pt>
                <c:pt idx="3">
                  <c:v>2015</c:v>
                </c:pt>
                <c:pt idx="4">
                  <c:v>2016</c:v>
                </c:pt>
                <c:pt idx="5">
                  <c:v>2017</c:v>
                </c:pt>
                <c:pt idx="6">
                  <c:v>2018</c:v>
                </c:pt>
                <c:pt idx="7">
                  <c:v>2019</c:v>
                </c:pt>
                <c:pt idx="8">
                  <c:v>2020</c:v>
                </c:pt>
                <c:pt idx="9">
                  <c:v>2021</c:v>
                </c:pt>
              </c:numCache>
            </c:numRef>
          </c:cat>
          <c:val>
            <c:numRef>
              <c:f>Исходные!$B$47:$K$47</c:f>
              <c:numCache>
                <c:formatCode>0.00</c:formatCode>
                <c:ptCount val="10"/>
                <c:pt idx="0">
                  <c:v>82.230561190000003</c:v>
                </c:pt>
                <c:pt idx="1">
                  <c:v>86.299660500000002</c:v>
                </c:pt>
                <c:pt idx="2">
                  <c:v>96.125429999999994</c:v>
                </c:pt>
                <c:pt idx="3">
                  <c:v>107.6742</c:v>
                </c:pt>
                <c:pt idx="4">
                  <c:v>113.3711</c:v>
                </c:pt>
                <c:pt idx="5">
                  <c:v>127.7657</c:v>
                </c:pt>
                <c:pt idx="6">
                  <c:v>132.61109999999999</c:v>
                </c:pt>
                <c:pt idx="7">
                  <c:v>142.94489999999999</c:v>
                </c:pt>
                <c:pt idx="8">
                  <c:v>149.543339</c:v>
                </c:pt>
                <c:pt idx="9">
                  <c:v>162.1701041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313-4582-857B-DD966541C5E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-882328192"/>
        <c:axId val="-882327648"/>
      </c:lineChart>
      <c:catAx>
        <c:axId val="-882328192"/>
        <c:scaling>
          <c:orientation val="minMax"/>
        </c:scaling>
        <c:delete val="0"/>
        <c:axPos val="b"/>
        <c:numFmt formatCode="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-882327648"/>
        <c:crosses val="autoZero"/>
        <c:auto val="1"/>
        <c:lblAlgn val="ctr"/>
        <c:lblOffset val="100"/>
        <c:noMultiLvlLbl val="0"/>
      </c:catAx>
      <c:valAx>
        <c:axId val="-882327648"/>
        <c:scaling>
          <c:orientation val="minMax"/>
          <c:min val="6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-88232819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ysClr val="window" lastClr="FFFFFF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ysClr val="windowText" lastClr="000000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4">
    <c:autoUpdate val="0"/>
  </c:externalData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Исходные!$A$494</c:f>
              <c:strCache>
                <c:ptCount val="1"/>
                <c:pt idx="0">
                  <c:v>Подписки на фиксированный широкополосный доступ (на 100 человек)</c:v>
                </c:pt>
              </c:strCache>
            </c:strRef>
          </c:tx>
          <c:spPr>
            <a:ln w="28575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numRef>
              <c:f>Исходные!$B$1:$K$1</c:f>
              <c:numCache>
                <c:formatCode>0</c:formatCode>
                <c:ptCount val="10"/>
                <c:pt idx="0">
                  <c:v>2012</c:v>
                </c:pt>
                <c:pt idx="1">
                  <c:v>2013</c:v>
                </c:pt>
                <c:pt idx="2">
                  <c:v>2014</c:v>
                </c:pt>
                <c:pt idx="3">
                  <c:v>2015</c:v>
                </c:pt>
                <c:pt idx="4">
                  <c:v>2016</c:v>
                </c:pt>
                <c:pt idx="5">
                  <c:v>2017</c:v>
                </c:pt>
                <c:pt idx="6">
                  <c:v>2018</c:v>
                </c:pt>
                <c:pt idx="7">
                  <c:v>2019</c:v>
                </c:pt>
                <c:pt idx="8">
                  <c:v>2020</c:v>
                </c:pt>
                <c:pt idx="9">
                  <c:v>2021</c:v>
                </c:pt>
              </c:numCache>
            </c:numRef>
          </c:cat>
          <c:val>
            <c:numRef>
              <c:f>Исходные!$B$494:$K$494</c:f>
              <c:numCache>
                <c:formatCode>0.00</c:formatCode>
                <c:ptCount val="10"/>
                <c:pt idx="0">
                  <c:v>0.209747872</c:v>
                </c:pt>
                <c:pt idx="1">
                  <c:v>0.25047989999999998</c:v>
                </c:pt>
                <c:pt idx="2">
                  <c:v>0.55165900000000001</c:v>
                </c:pt>
                <c:pt idx="3">
                  <c:v>0.464924</c:v>
                </c:pt>
                <c:pt idx="4">
                  <c:v>0.56323699999999999</c:v>
                </c:pt>
                <c:pt idx="5">
                  <c:v>0.57479400000000003</c:v>
                </c:pt>
                <c:pt idx="6">
                  <c:v>0.69003700000000001</c:v>
                </c:pt>
                <c:pt idx="7">
                  <c:v>0.82884599999999997</c:v>
                </c:pt>
                <c:pt idx="8">
                  <c:v>0.97008442900000003</c:v>
                </c:pt>
                <c:pt idx="9">
                  <c:v>1.2192953049999999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7D6-40AC-8BFB-F7876CA387A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-882324384"/>
        <c:axId val="-882329824"/>
      </c:lineChart>
      <c:catAx>
        <c:axId val="-882324384"/>
        <c:scaling>
          <c:orientation val="minMax"/>
        </c:scaling>
        <c:delete val="0"/>
        <c:axPos val="b"/>
        <c:numFmt formatCode="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-882329824"/>
        <c:crosses val="autoZero"/>
        <c:auto val="1"/>
        <c:lblAlgn val="ctr"/>
        <c:lblOffset val="100"/>
        <c:noMultiLvlLbl val="0"/>
      </c:catAx>
      <c:valAx>
        <c:axId val="-8823298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-88232438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ysClr val="windowText" lastClr="000000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4">
    <c:autoUpdate val="0"/>
  </c:externalData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Исходные!$A$652</c:f>
              <c:strCache>
                <c:ptCount val="1"/>
                <c:pt idx="0">
                  <c:v>Физические лица, пользующиеся Интернетом (% населения)</c:v>
                </c:pt>
              </c:strCache>
            </c:strRef>
          </c:tx>
          <c:spPr>
            <a:ln w="28575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numRef>
              <c:f>Исходные!$B$1:$K$1</c:f>
              <c:numCache>
                <c:formatCode>0</c:formatCode>
                <c:ptCount val="10"/>
                <c:pt idx="0">
                  <c:v>2012</c:v>
                </c:pt>
                <c:pt idx="1">
                  <c:v>2013</c:v>
                </c:pt>
                <c:pt idx="2">
                  <c:v>2014</c:v>
                </c:pt>
                <c:pt idx="3">
                  <c:v>2015</c:v>
                </c:pt>
                <c:pt idx="4">
                  <c:v>2016</c:v>
                </c:pt>
                <c:pt idx="5">
                  <c:v>2017</c:v>
                </c:pt>
                <c:pt idx="6">
                  <c:v>2018</c:v>
                </c:pt>
                <c:pt idx="7">
                  <c:v>2019</c:v>
                </c:pt>
                <c:pt idx="8">
                  <c:v>2020</c:v>
                </c:pt>
                <c:pt idx="9">
                  <c:v>2021</c:v>
                </c:pt>
              </c:numCache>
            </c:numRef>
          </c:cat>
          <c:val>
            <c:numRef>
              <c:f>Исходные!$B$652:$K$652</c:f>
              <c:numCache>
                <c:formatCode>0.00</c:formatCode>
                <c:ptCount val="10"/>
                <c:pt idx="0">
                  <c:v>4.4000000000000004</c:v>
                </c:pt>
                <c:pt idx="1">
                  <c:v>6.6</c:v>
                </c:pt>
                <c:pt idx="2">
                  <c:v>10</c:v>
                </c:pt>
                <c:pt idx="3">
                  <c:v>16.7</c:v>
                </c:pt>
                <c:pt idx="4">
                  <c:v>41.207810000000002</c:v>
                </c:pt>
                <c:pt idx="5">
                  <c:v>43.839919999999999</c:v>
                </c:pt>
                <c:pt idx="6">
                  <c:v>37.54654</c:v>
                </c:pt>
                <c:pt idx="7">
                  <c:v>36.28895</c:v>
                </c:pt>
                <c:pt idx="8">
                  <c:v>38.24</c:v>
                </c:pt>
                <c:pt idx="9">
                  <c:v>35.14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014-44A5-84BB-930CE07C618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-882327104"/>
        <c:axId val="-882323840"/>
      </c:lineChart>
      <c:catAx>
        <c:axId val="-882327104"/>
        <c:scaling>
          <c:orientation val="minMax"/>
        </c:scaling>
        <c:delete val="0"/>
        <c:axPos val="b"/>
        <c:numFmt formatCode="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-882323840"/>
        <c:crosses val="autoZero"/>
        <c:auto val="1"/>
        <c:lblAlgn val="ctr"/>
        <c:lblOffset val="100"/>
        <c:noMultiLvlLbl val="0"/>
      </c:catAx>
      <c:valAx>
        <c:axId val="-8823238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-88232710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ysClr val="windowText" lastClr="000000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4">
    <c:autoUpdate val="0"/>
  </c:externalData>
</c:chartSpace>
</file>

<file path=word/charts/chart1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Рисунки!$A$59</c:f>
              <c:strCache>
                <c:ptCount val="1"/>
                <c:pt idx="0">
                  <c:v>Коэффициент бедности на уровне 3,65 доллара в день (ППС 2017 г.) (% населения)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Рисунки!$B$58:$C$58</c:f>
              <c:numCache>
                <c:formatCode>General</c:formatCode>
                <c:ptCount val="2"/>
                <c:pt idx="0">
                  <c:v>2015</c:v>
                </c:pt>
                <c:pt idx="1">
                  <c:v>2021</c:v>
                </c:pt>
              </c:numCache>
            </c:numRef>
          </c:cat>
          <c:val>
            <c:numRef>
              <c:f>Рисунки!$B$59:$C$59</c:f>
              <c:numCache>
                <c:formatCode>0.00</c:formatCode>
                <c:ptCount val="2"/>
                <c:pt idx="0">
                  <c:v>63.2</c:v>
                </c:pt>
                <c:pt idx="1">
                  <c:v>39.6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655-40F7-97F6-D4746442B7ED}"/>
            </c:ext>
          </c:extLst>
        </c:ser>
        <c:ser>
          <c:idx val="1"/>
          <c:order val="1"/>
          <c:tx>
            <c:strRef>
              <c:f>Рисунки!$A$60</c:f>
              <c:strCache>
                <c:ptCount val="1"/>
                <c:pt idx="0">
                  <c:v>Коэффициент бедности на уровне 6,85 долларов в день (ППС 2017 г.) (% населения)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numRef>
              <c:f>Рисунки!$B$58:$C$58</c:f>
              <c:numCache>
                <c:formatCode>General</c:formatCode>
                <c:ptCount val="2"/>
                <c:pt idx="0">
                  <c:v>2015</c:v>
                </c:pt>
                <c:pt idx="1">
                  <c:v>2021</c:v>
                </c:pt>
              </c:numCache>
            </c:numRef>
          </c:cat>
          <c:val>
            <c:numRef>
              <c:f>Рисунки!$B$60:$C$60</c:f>
              <c:numCache>
                <c:formatCode>0.00</c:formatCode>
                <c:ptCount val="2"/>
                <c:pt idx="0">
                  <c:v>87.9</c:v>
                </c:pt>
                <c:pt idx="1">
                  <c:v>75.400000000000006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655-40F7-97F6-D4746442B7E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-882326560"/>
        <c:axId val="-882330912"/>
      </c:barChart>
      <c:catAx>
        <c:axId val="-88232656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-882330912"/>
        <c:crosses val="autoZero"/>
        <c:auto val="1"/>
        <c:lblAlgn val="ctr"/>
        <c:lblOffset val="100"/>
        <c:noMultiLvlLbl val="0"/>
      </c:catAx>
      <c:valAx>
        <c:axId val="-8823309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-88232656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ysClr val="windowText" lastClr="000000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6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7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8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3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4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5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6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7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8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9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0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1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2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3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4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5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6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7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8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5451</Words>
  <Characters>31073</Characters>
  <Application>Microsoft Office Word</Application>
  <DocSecurity>0</DocSecurity>
  <Lines>258</Lines>
  <Paragraphs>72</Paragraphs>
  <ScaleCrop>false</ScaleCrop>
  <Company/>
  <LinksUpToDate>false</LinksUpToDate>
  <CharactersWithSpaces>36452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Mandritsa</dc:creator>
  <cp:keywords/>
  <dc:description/>
  <cp:lastModifiedBy>Igor Mandritsa</cp:lastModifiedBy>
  <cp:revision>1</cp:revision>
  <dcterms:created xsi:type="dcterms:W3CDTF">2026-03-12T04:26:00Z</dcterms:created>
  <dcterms:modified xsi:type="dcterms:W3CDTF">2026-03-12T04:27:00Z</dcterms:modified>
</cp:coreProperties>
</file>