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69B84" w14:textId="7919A307" w:rsidR="00D25C93" w:rsidRPr="00F67FAE" w:rsidRDefault="00000000">
      <w:pPr>
        <w:spacing w:before="360" w:after="280" w:line="440" w:lineRule="exact"/>
        <w:jc w:val="center"/>
        <w:rPr>
          <w:lang w:val="ru-RU"/>
        </w:rPr>
      </w:pPr>
      <w:r w:rsidRPr="00F67FAE">
        <w:rPr>
          <w:rFonts w:ascii="Times New Roman" w:hAnsi="Times New Roman"/>
          <w:b/>
          <w:color w:val="1A5276"/>
          <w:sz w:val="32"/>
          <w:lang w:val="ru-RU"/>
        </w:rPr>
        <w:t>РАЗДЕЛ 2. ТЕОРЕТИКО-МЕТОДОЛОГИЧЕСКИЕ ОСНОВЫ ЦИФРОВОЙ ПЛАТФОРМИЗАЦИИ</w:t>
      </w:r>
      <w:r w:rsidR="003200B4">
        <w:rPr>
          <w:rFonts w:ascii="Times New Roman" w:hAnsi="Times New Roman"/>
          <w:b/>
          <w:color w:val="1A5276"/>
          <w:sz w:val="32"/>
          <w:lang w:val="ru-RU"/>
        </w:rPr>
        <w:t xml:space="preserve"> </w:t>
      </w:r>
      <w:r w:rsidRPr="00F67FAE">
        <w:rPr>
          <w:rFonts w:ascii="Times New Roman" w:hAnsi="Times New Roman"/>
          <w:b/>
          <w:color w:val="1A5276"/>
          <w:sz w:val="32"/>
          <w:lang w:val="ru-RU"/>
        </w:rPr>
        <w:t>КАК МЕХАНИЗМА СТРУКТУРНОЙ ТРАНСФОРМАЦИИ ЭКОНОМИКИ</w:t>
      </w:r>
      <w:r w:rsidRPr="00F67FAE">
        <w:rPr>
          <w:rFonts w:ascii="Times New Roman" w:hAnsi="Times New Roman"/>
          <w:b/>
          <w:color w:val="1A5276"/>
          <w:sz w:val="32"/>
          <w:lang w:val="ru-RU"/>
        </w:rPr>
        <w:br/>
        <w:t>РЕСПУБЛИКИ КОТ-Д'ИВУАР</w:t>
      </w:r>
    </w:p>
    <w:p w14:paraId="4D4E0BE2" w14:textId="77777777" w:rsidR="00D25C93" w:rsidRPr="00F67FAE" w:rsidRDefault="00000000">
      <w:pPr>
        <w:spacing w:before="280" w:after="160" w:line="440" w:lineRule="exact"/>
        <w:rPr>
          <w:lang w:val="ru-RU"/>
        </w:rPr>
      </w:pPr>
      <w:r w:rsidRPr="00F67FAE">
        <w:rPr>
          <w:rFonts w:ascii="Times New Roman" w:hAnsi="Times New Roman"/>
          <w:b/>
          <w:color w:val="1A5276"/>
          <w:sz w:val="28"/>
          <w:lang w:val="ru-RU"/>
        </w:rPr>
        <w:t>2.1. Проект «Берег Восхода» как точка экономического роста:</w:t>
      </w:r>
      <w:r w:rsidRPr="00F67FAE">
        <w:rPr>
          <w:rFonts w:ascii="Times New Roman" w:hAnsi="Times New Roman"/>
          <w:b/>
          <w:color w:val="1A5276"/>
          <w:sz w:val="28"/>
          <w:lang w:val="ru-RU"/>
        </w:rPr>
        <w:br/>
        <w:t>мультисекторальный подход и модель платформизации</w:t>
      </w:r>
    </w:p>
    <w:p w14:paraId="462ABDAF" w14:textId="77777777" w:rsidR="00D25C93" w:rsidRPr="00F67FAE" w:rsidRDefault="00000000">
      <w:pPr>
        <w:spacing w:before="200" w:after="120" w:line="440" w:lineRule="exact"/>
        <w:rPr>
          <w:lang w:val="ru-RU"/>
        </w:rPr>
      </w:pPr>
      <w:r w:rsidRPr="00F67FAE">
        <w:rPr>
          <w:rFonts w:ascii="Times New Roman" w:hAnsi="Times New Roman"/>
          <w:b/>
          <w:i/>
          <w:color w:val="2E4A62"/>
          <w:sz w:val="28"/>
          <w:lang w:val="ru-RU"/>
        </w:rPr>
        <w:t>2.1.1. Теоретические основания концепции «точки экономического роста»</w:t>
      </w:r>
    </w:p>
    <w:p w14:paraId="70BBC195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Концепция полюсов роста — один из наиболее плодотворных конструктов современной экономической науки, позволяющих объяснить асимметрию пространственного развития и проектировать инструменты целенаправленного ускорения экономики. В своих основополагающих работах Ф. </w:t>
      </w:r>
      <w:proofErr w:type="spellStart"/>
      <w:r w:rsidRPr="00F67FAE">
        <w:rPr>
          <w:rFonts w:ascii="Times New Roman" w:hAnsi="Times New Roman"/>
          <w:color w:val="000000"/>
          <w:sz w:val="28"/>
          <w:lang w:val="ru-RU"/>
        </w:rPr>
        <w:t>Перру</w:t>
      </w:r>
      <w:proofErr w:type="spellEnd"/>
      <w:r w:rsidRPr="00F67FAE">
        <w:rPr>
          <w:rFonts w:ascii="Times New Roman" w:hAnsi="Times New Roman"/>
          <w:color w:val="000000"/>
          <w:sz w:val="28"/>
          <w:lang w:val="ru-RU"/>
        </w:rPr>
        <w:t xml:space="preserve"> обосновал феномен «движущих отраслей» (</w:t>
      </w:r>
      <w:r>
        <w:rPr>
          <w:rFonts w:ascii="Times New Roman" w:hAnsi="Times New Roman"/>
          <w:color w:val="000000"/>
          <w:sz w:val="28"/>
        </w:rPr>
        <w:t>industries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</w:t>
      </w:r>
      <w:proofErr w:type="spellStart"/>
      <w:r>
        <w:rPr>
          <w:rFonts w:ascii="Times New Roman" w:hAnsi="Times New Roman"/>
          <w:color w:val="000000"/>
          <w:sz w:val="28"/>
        </w:rPr>
        <w:t>motrices</w:t>
      </w:r>
      <w:proofErr w:type="spellEnd"/>
      <w:r w:rsidRPr="00F67FAE">
        <w:rPr>
          <w:rFonts w:ascii="Times New Roman" w:hAnsi="Times New Roman"/>
          <w:color w:val="000000"/>
          <w:sz w:val="28"/>
          <w:lang w:val="ru-RU"/>
        </w:rPr>
        <w:t>), способных через механизм доминирующих эффектов и «экономического давления» формировать вокруг себя полюса роста, стимулирующие смежные сектора [6]. Этот подход радикально изменил парадигму экономической политики: вместо равномерного распределения ресурсов обоснована стратегия концентрации усилий вокруг «точек», генерирующих диспропорциональный совокупный эффект.</w:t>
      </w:r>
    </w:p>
    <w:p w14:paraId="6DFE5741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Пространственное измерение полюсов роста было разработано Ж.-Р. </w:t>
      </w:r>
      <w:proofErr w:type="spellStart"/>
      <w:r w:rsidRPr="00F67FAE">
        <w:rPr>
          <w:rFonts w:ascii="Times New Roman" w:hAnsi="Times New Roman"/>
          <w:color w:val="000000"/>
          <w:sz w:val="28"/>
          <w:lang w:val="ru-RU"/>
        </w:rPr>
        <w:t>Будвиллем</w:t>
      </w:r>
      <w:proofErr w:type="spellEnd"/>
      <w:r w:rsidRPr="00F67FAE">
        <w:rPr>
          <w:rFonts w:ascii="Times New Roman" w:hAnsi="Times New Roman"/>
          <w:color w:val="000000"/>
          <w:sz w:val="28"/>
          <w:lang w:val="ru-RU"/>
        </w:rPr>
        <w:t xml:space="preserve">, предложившим понятие «региона-двигателя» — географического узла, объединяющего комплекс взаимосвязанных производств с нарастающей отдачей от агломерации. Позднее П. Кругман в рамках «новой экономической географии» формализовал механизмы центростремительных и центробежных сил, объясняющих стихийное формирование экономических кластеров [3]. Согласно его модели, кластеризация возникает вследствие трёх эффектов: доступности рынков сбыта, доступности поставщиков и рынка труда, а также технологических </w:t>
      </w:r>
      <w:r>
        <w:rPr>
          <w:rFonts w:ascii="Times New Roman" w:hAnsi="Times New Roman"/>
          <w:color w:val="000000"/>
          <w:sz w:val="28"/>
        </w:rPr>
        <w:t>spillover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-эффектов. Именно эти три типа </w:t>
      </w:r>
      <w:r w:rsidRPr="00F67FAE">
        <w:rPr>
          <w:rFonts w:ascii="Times New Roman" w:hAnsi="Times New Roman"/>
          <w:color w:val="000000"/>
          <w:sz w:val="28"/>
          <w:lang w:val="ru-RU"/>
        </w:rPr>
        <w:lastRenderedPageBreak/>
        <w:t>эффектов лежат в основе проектирования кластерной архитектуры проекта «Берег Восхода».</w:t>
      </w:r>
    </w:p>
    <w:p w14:paraId="516648A1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Д. </w:t>
      </w:r>
      <w:proofErr w:type="spellStart"/>
      <w:r w:rsidRPr="00F67FAE">
        <w:rPr>
          <w:rFonts w:ascii="Times New Roman" w:hAnsi="Times New Roman"/>
          <w:color w:val="000000"/>
          <w:sz w:val="28"/>
          <w:lang w:val="ru-RU"/>
        </w:rPr>
        <w:t>Родрик</w:t>
      </w:r>
      <w:proofErr w:type="spellEnd"/>
      <w:r w:rsidRPr="00F67FAE">
        <w:rPr>
          <w:rFonts w:ascii="Times New Roman" w:hAnsi="Times New Roman"/>
          <w:color w:val="000000"/>
          <w:sz w:val="28"/>
          <w:lang w:val="ru-RU"/>
        </w:rPr>
        <w:t>, анализируя траектории структурной трансформации в развивающихся экономиках, пришёл к выводу, что устойчивый рост производительности труда и сближение со стандартами развитых стран достижимы только при целенаправленном перемещении ресурсов в обрабатывающие отрасли с высоким потенциалом производительности [5]. При этом ключевую роль играет промышленная политика, создающая «мосты» между традиционным сектором и современным производством. Применительно к Кот-д'Ивуару это означает необходимость не просто расширить переработку какао, но выстроить полноценную промышленную экосистему, в которой аграрный сектор становится одним из нескольких равноценных источников добавленной стоимости.</w:t>
      </w:r>
    </w:p>
    <w:p w14:paraId="5BFD379B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В современной литературе концепция точки роста обогащена цифровым измерением. Согласно работам ОЭСР, Всемирного банка и МВФ, создание цифровых платформ позволяет существенно снижать транзакционные издержки, устранять информационную асимметрию между участниками рынка и обеспечивать координацию распределённых агентов с минимальными затратами [4; 9; 13; 14]. В частности, согласно расчётам МВФ, уменьшение транзакционных издержек на 1 процентный пункт ВВП в развивающихся экономиках соответствует росту инвестиций на 0,3–0,5% ВВП. Для экономики Кот-д'Ивуара, где транзакционные издержки в агропромышленном секторе оцениваются на уровне 12–18% от стоимости конечной продукции, этот эффект представляет собой значительный резерв роста [9; 12].</w:t>
      </w:r>
    </w:p>
    <w:p w14:paraId="1C4B1D76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Синтез теорий полюсов роста, структурной трансформации и цифровой платформизации образует концептуальный каркас, в котором «Берег Восхода» выступает не как отдельный инфраструктурный проект, а как системообразующий институционально-технологический инструмент трансформации экономической модели Кот-д'Ивуара. Ключевая теоретическая инновация данного подхода состоит в том, что цифровая </w:t>
      </w:r>
      <w:r w:rsidRPr="00F67FAE">
        <w:rPr>
          <w:rFonts w:ascii="Times New Roman" w:hAnsi="Times New Roman"/>
          <w:color w:val="000000"/>
          <w:sz w:val="28"/>
          <w:lang w:val="ru-RU"/>
        </w:rPr>
        <w:lastRenderedPageBreak/>
        <w:t>платформа рассматривается не как надстройка над реальными кластерами, а как их несущий координационный каркас.</w:t>
      </w:r>
    </w:p>
    <w:p w14:paraId="08B5FDC7" w14:textId="77777777" w:rsidR="00D25C93" w:rsidRPr="00F67FAE" w:rsidRDefault="00000000">
      <w:pPr>
        <w:spacing w:before="200" w:after="120" w:line="440" w:lineRule="exact"/>
        <w:rPr>
          <w:lang w:val="ru-RU"/>
        </w:rPr>
      </w:pPr>
      <w:r w:rsidRPr="00F67FAE">
        <w:rPr>
          <w:rFonts w:ascii="Times New Roman" w:hAnsi="Times New Roman"/>
          <w:b/>
          <w:i/>
          <w:color w:val="2E4A62"/>
          <w:sz w:val="28"/>
          <w:lang w:val="ru-RU"/>
        </w:rPr>
        <w:t>2.1.2. Прибрежная зона Кот-д'Ивуара: макроэкономическое обоснование приоритетного развития</w:t>
      </w:r>
    </w:p>
    <w:p w14:paraId="48D580D4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Выбор прибрежной зоны в качестве территориального базиса проекта «Берег Восхода» не является произвольным — он продиктован структурой экономического потенциала страны и конфигурацией её инфраструктурных активов. Протяжённость береговой линии Кот-д'Ивуара составляет около 550 км вдоль Гвинейского залива. По данным Агентства национальной статистики Кот-д'Ивуара (</w:t>
      </w:r>
      <w:proofErr w:type="spellStart"/>
      <w:r>
        <w:rPr>
          <w:rFonts w:ascii="Times New Roman" w:hAnsi="Times New Roman"/>
          <w:color w:val="000000"/>
          <w:sz w:val="28"/>
        </w:rPr>
        <w:t>AnStat</w:t>
      </w:r>
      <w:proofErr w:type="spellEnd"/>
      <w:r w:rsidRPr="00F67FAE">
        <w:rPr>
          <w:rFonts w:ascii="Times New Roman" w:hAnsi="Times New Roman"/>
          <w:color w:val="000000"/>
          <w:sz w:val="28"/>
          <w:lang w:val="ru-RU"/>
        </w:rPr>
        <w:t>) и Африканского банка развития, прибрежная зона генерирует более 65% совокупного ВВП страны, концентрируя её ключевые производительные силы [7; 11].</w:t>
      </w:r>
    </w:p>
    <w:p w14:paraId="41BC0E12" w14:textId="77777777" w:rsidR="00D25C93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6946A791" wp14:editId="5697529F">
            <wp:extent cx="5220000" cy="25830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8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A633" w14:textId="77777777" w:rsidR="00D25C93" w:rsidRPr="00F67FAE" w:rsidRDefault="00000000" w:rsidP="003200B4">
      <w:pPr>
        <w:spacing w:after="0" w:line="240" w:lineRule="auto"/>
        <w:jc w:val="center"/>
        <w:rPr>
          <w:lang w:val="ru-RU"/>
        </w:rPr>
      </w:pPr>
      <w:r w:rsidRPr="00F67FAE">
        <w:rPr>
          <w:rFonts w:ascii="Times New Roman" w:hAnsi="Times New Roman"/>
          <w:i/>
          <w:color w:val="555555"/>
          <w:lang w:val="ru-RU"/>
        </w:rPr>
        <w:t>Рисунок 1. Динамика ВВП Республики Кот-д'Ивуар (2011–2025 гг.)</w:t>
      </w:r>
      <w:r w:rsidRPr="00F67FAE">
        <w:rPr>
          <w:rFonts w:ascii="Times New Roman" w:hAnsi="Times New Roman"/>
          <w:i/>
          <w:color w:val="555555"/>
          <w:lang w:val="ru-RU"/>
        </w:rPr>
        <w:br/>
        <w:t>Примечание. Составлено автором по данным Министерства экономики и финансов Кот-д'Ивуара [7] и Африканского банка развития [11].</w:t>
      </w:r>
    </w:p>
    <w:p w14:paraId="2418CE51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Как свидетельствует рисунок 1, ВВП страны вырос с 22,2 трлн франков КФА в 2011 году до 57,6 трлн в 2025 году, преодолев последствия постэлекторального кризиса 2010–2011 гг. Среднегодовые темпы роста в 2012–2024 гг. составили 6,5% — один из наиболее высоких показателей в Западной Африке [7; 11]. Вместе с тем структурная зависимость экономики от сырьевого экспорта не устранена: на какао-бобы, нефть и каучук приходится 45% экспортной выручки [7], а доля несырьевого </w:t>
      </w:r>
      <w:r w:rsidRPr="00F67FAE">
        <w:rPr>
          <w:rFonts w:ascii="Times New Roman" w:hAnsi="Times New Roman"/>
          <w:color w:val="000000"/>
          <w:sz w:val="28"/>
          <w:lang w:val="ru-RU"/>
        </w:rPr>
        <w:lastRenderedPageBreak/>
        <w:t>промышленного производства в ВВП всё ещё остаётся ниже оптимальных значений для страны на данном уровне дохода на душу населения.</w:t>
      </w:r>
    </w:p>
    <w:p w14:paraId="66AFC075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Прибрежная зона обладает рядом уникальных структурных преимуществ. Порт Абиджана — крупнейший в Западной Африке — обрабатывает 80% морских грузопотоков страны и выполняет функции регионального транзитного хаба для не имеющих выхода к морю государств: Буркина-Фасо, Мали, Нигера и Гвинеи [7]. В дистрикте Абиджана расположена штаб-квартира Центрального банка государств Западной Африки (</w:t>
      </w:r>
      <w:r>
        <w:rPr>
          <w:rFonts w:ascii="Times New Roman" w:hAnsi="Times New Roman"/>
          <w:color w:val="000000"/>
          <w:sz w:val="28"/>
        </w:rPr>
        <w:t>BCEAO</w:t>
      </w:r>
      <w:r w:rsidRPr="00F67FAE">
        <w:rPr>
          <w:rFonts w:ascii="Times New Roman" w:hAnsi="Times New Roman"/>
          <w:color w:val="000000"/>
          <w:sz w:val="28"/>
          <w:lang w:val="ru-RU"/>
        </w:rPr>
        <w:t>), здесь сосредоточено 92% банковских активов региона УЕМОА. В прибрежной зоне функционируют 78% обрабатывающих предприятий страны, а доля сектора услуг достигает 69% против 57% в среднем по стране [7].</w:t>
      </w:r>
    </w:p>
    <w:p w14:paraId="7F7729D5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Инфраструктурный базис прибрежной зоны также выгодно отличает её от внутренних регионов. К 2024 году построено 1840 км оптоволоконных каналов связи (из 3207 км Национальной магистрали высокоскоростной связи </w:t>
      </w:r>
      <w:r>
        <w:rPr>
          <w:rFonts w:ascii="Times New Roman" w:hAnsi="Times New Roman"/>
          <w:color w:val="000000"/>
          <w:sz w:val="28"/>
        </w:rPr>
        <w:t>RNHD</w:t>
      </w:r>
      <w:r w:rsidRPr="00F67FAE">
        <w:rPr>
          <w:rFonts w:ascii="Times New Roman" w:hAnsi="Times New Roman"/>
          <w:color w:val="000000"/>
          <w:sz w:val="28"/>
          <w:lang w:val="ru-RU"/>
        </w:rPr>
        <w:t>); покрытие 4</w:t>
      </w:r>
      <w:r>
        <w:rPr>
          <w:rFonts w:ascii="Times New Roman" w:hAnsi="Times New Roman"/>
          <w:color w:val="000000"/>
          <w:sz w:val="28"/>
        </w:rPr>
        <w:t>G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достигает 96,2% территории зоны; проникновение сервисов </w:t>
      </w:r>
      <w:r>
        <w:rPr>
          <w:rFonts w:ascii="Times New Roman" w:hAnsi="Times New Roman"/>
          <w:color w:val="000000"/>
          <w:sz w:val="28"/>
        </w:rPr>
        <w:t>Mobile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Money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охватывает 89% взрослого населения — в сравнении с 67,5% в среднем по стране [8]. Такие параметры создают «цифровую подложку» — необходимое, но не достаточное условие для развёртывания интегрированной платформенной экосистемы [8; 14].</w:t>
      </w:r>
    </w:p>
    <w:p w14:paraId="198CCEB6" w14:textId="77777777" w:rsidR="00D25C93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6497BA7" wp14:editId="4AAD54E0">
            <wp:extent cx="5111468" cy="26672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6980" cy="267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D92F" w14:textId="77777777" w:rsidR="00D25C93" w:rsidRPr="00F67FAE" w:rsidRDefault="00000000" w:rsidP="003200B4">
      <w:pPr>
        <w:spacing w:after="0" w:line="240" w:lineRule="auto"/>
        <w:jc w:val="center"/>
        <w:rPr>
          <w:lang w:val="ru-RU"/>
        </w:rPr>
      </w:pPr>
      <w:r w:rsidRPr="00F67FAE">
        <w:rPr>
          <w:rFonts w:ascii="Times New Roman" w:hAnsi="Times New Roman"/>
          <w:i/>
          <w:color w:val="555555"/>
          <w:lang w:val="ru-RU"/>
        </w:rPr>
        <w:t>Рисунок 2. Секторальная структура ВВП Кот-д'Ивуара: сравнение 2011 и 2025 гг.</w:t>
      </w:r>
      <w:r w:rsidRPr="00F67FAE">
        <w:rPr>
          <w:rFonts w:ascii="Times New Roman" w:hAnsi="Times New Roman"/>
          <w:i/>
          <w:color w:val="555555"/>
          <w:lang w:val="ru-RU"/>
        </w:rPr>
        <w:br/>
        <w:t>Примечание. Составлено автором по данным [7; 11].</w:t>
      </w:r>
    </w:p>
    <w:p w14:paraId="21674B2C" w14:textId="77777777" w:rsidR="00F67FAE" w:rsidRDefault="00000000">
      <w:pPr>
        <w:spacing w:after="0" w:line="440" w:lineRule="exact"/>
        <w:ind w:firstLine="709"/>
        <w:jc w:val="both"/>
        <w:rPr>
          <w:rFonts w:ascii="Times New Roman" w:hAnsi="Times New Roman"/>
          <w:color w:val="000000"/>
          <w:sz w:val="28"/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lastRenderedPageBreak/>
        <w:t xml:space="preserve">Рисунок 2 демонстрирует, что структурная трансформация экономики Кот-д'Ивуара в 2011–2025 гг. происходит, однако носит умеренный характер. Доля агропромышленного комплекса в ВВП сократилась с 26,8% до 21,3%, обрабатывающая промышленность выросла с 15,1% до 18,4%, финансовый сектор — с 10,7% до 12,4%. </w:t>
      </w:r>
    </w:p>
    <w:p w14:paraId="1EB2BB57" w14:textId="224A8F4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Вместе с тем для перехода к статусу страны со средним доходом выше среднего и реализации национальной стратегии «</w:t>
      </w:r>
      <w:proofErr w:type="spellStart"/>
      <w:r w:rsidRPr="00F67FAE">
        <w:rPr>
          <w:rFonts w:ascii="Times New Roman" w:hAnsi="Times New Roman"/>
          <w:color w:val="000000"/>
          <w:sz w:val="28"/>
          <w:lang w:val="ru-RU"/>
        </w:rPr>
        <w:t>Эмержанс</w:t>
      </w:r>
      <w:proofErr w:type="spellEnd"/>
      <w:r w:rsidRPr="00F67FAE">
        <w:rPr>
          <w:rFonts w:ascii="Times New Roman" w:hAnsi="Times New Roman"/>
          <w:color w:val="000000"/>
          <w:sz w:val="28"/>
          <w:lang w:val="ru-RU"/>
        </w:rPr>
        <w:t>» этих темпов структурной трансформации явно недостаточно: необходим качественный скачок, а не постепенная эволюция.</w:t>
      </w:r>
    </w:p>
    <w:p w14:paraId="49C9B539" w14:textId="77777777" w:rsidR="00D25C93" w:rsidRPr="00F67FAE" w:rsidRDefault="00000000">
      <w:pPr>
        <w:spacing w:after="0" w:line="440" w:lineRule="exact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Таблица 1. Ключевые макроэкономические показатели Республики Кот-д'Ивуар (2011–2025 гг.)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1077"/>
        <w:gridCol w:w="1077"/>
        <w:gridCol w:w="1077"/>
        <w:gridCol w:w="1077"/>
        <w:gridCol w:w="1077"/>
      </w:tblGrid>
      <w:tr w:rsidR="00D25C93" w14:paraId="508E2EBF" w14:textId="77777777">
        <w:trPr>
          <w:jc w:val="center"/>
        </w:trPr>
        <w:tc>
          <w:tcPr>
            <w:tcW w:w="3685" w:type="dxa"/>
            <w:shd w:val="clear" w:color="auto" w:fill="1A5276"/>
          </w:tcPr>
          <w:p w14:paraId="5A3A2386" w14:textId="77777777" w:rsidR="00D25C93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Показатель</w:t>
            </w:r>
            <w:proofErr w:type="spellEnd"/>
          </w:p>
        </w:tc>
        <w:tc>
          <w:tcPr>
            <w:tcW w:w="1077" w:type="dxa"/>
            <w:shd w:val="clear" w:color="auto" w:fill="1A5276"/>
          </w:tcPr>
          <w:p w14:paraId="0371A107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2011</w:t>
            </w:r>
          </w:p>
        </w:tc>
        <w:tc>
          <w:tcPr>
            <w:tcW w:w="1077" w:type="dxa"/>
            <w:shd w:val="clear" w:color="auto" w:fill="1A5276"/>
          </w:tcPr>
          <w:p w14:paraId="393B38C0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2016</w:t>
            </w:r>
          </w:p>
        </w:tc>
        <w:tc>
          <w:tcPr>
            <w:tcW w:w="1077" w:type="dxa"/>
            <w:shd w:val="clear" w:color="auto" w:fill="1A5276"/>
          </w:tcPr>
          <w:p w14:paraId="2FFCE1DC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2020</w:t>
            </w:r>
          </w:p>
        </w:tc>
        <w:tc>
          <w:tcPr>
            <w:tcW w:w="1077" w:type="dxa"/>
            <w:shd w:val="clear" w:color="auto" w:fill="1A5276"/>
          </w:tcPr>
          <w:p w14:paraId="13719309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2024</w:t>
            </w:r>
          </w:p>
        </w:tc>
        <w:tc>
          <w:tcPr>
            <w:tcW w:w="1077" w:type="dxa"/>
            <w:shd w:val="clear" w:color="auto" w:fill="1A5276"/>
          </w:tcPr>
          <w:p w14:paraId="07227925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2025*</w:t>
            </w:r>
          </w:p>
        </w:tc>
      </w:tr>
      <w:tr w:rsidR="00D25C93" w14:paraId="11732CC6" w14:textId="77777777">
        <w:trPr>
          <w:jc w:val="center"/>
        </w:trPr>
        <w:tc>
          <w:tcPr>
            <w:tcW w:w="3685" w:type="dxa"/>
            <w:shd w:val="clear" w:color="auto" w:fill="FFFFFF"/>
          </w:tcPr>
          <w:p w14:paraId="79A438F7" w14:textId="77777777" w:rsidR="00D25C93" w:rsidRDefault="00000000">
            <w:r>
              <w:rPr>
                <w:rFonts w:ascii="Times New Roman" w:hAnsi="Times New Roman"/>
                <w:sz w:val="20"/>
              </w:rPr>
              <w:t>ВВП, трлн франков КФА</w:t>
            </w:r>
          </w:p>
        </w:tc>
        <w:tc>
          <w:tcPr>
            <w:tcW w:w="1077" w:type="dxa"/>
            <w:shd w:val="clear" w:color="auto" w:fill="FFFFFF"/>
          </w:tcPr>
          <w:p w14:paraId="2C2A44EE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22,2</w:t>
            </w:r>
          </w:p>
        </w:tc>
        <w:tc>
          <w:tcPr>
            <w:tcW w:w="1077" w:type="dxa"/>
            <w:shd w:val="clear" w:color="auto" w:fill="FFFFFF"/>
          </w:tcPr>
          <w:p w14:paraId="6CA33932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33,6</w:t>
            </w:r>
          </w:p>
        </w:tc>
        <w:tc>
          <w:tcPr>
            <w:tcW w:w="1077" w:type="dxa"/>
            <w:shd w:val="clear" w:color="auto" w:fill="FFFFFF"/>
          </w:tcPr>
          <w:p w14:paraId="4CD63218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39,8</w:t>
            </w:r>
          </w:p>
        </w:tc>
        <w:tc>
          <w:tcPr>
            <w:tcW w:w="1077" w:type="dxa"/>
            <w:shd w:val="clear" w:color="auto" w:fill="FFFFFF"/>
          </w:tcPr>
          <w:p w14:paraId="504C912B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55,4</w:t>
            </w:r>
          </w:p>
        </w:tc>
        <w:tc>
          <w:tcPr>
            <w:tcW w:w="1077" w:type="dxa"/>
            <w:shd w:val="clear" w:color="auto" w:fill="FFFFFF"/>
          </w:tcPr>
          <w:p w14:paraId="2469FF48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57,6</w:t>
            </w:r>
          </w:p>
        </w:tc>
      </w:tr>
      <w:tr w:rsidR="00D25C93" w14:paraId="125F463E" w14:textId="77777777">
        <w:trPr>
          <w:jc w:val="center"/>
        </w:trPr>
        <w:tc>
          <w:tcPr>
            <w:tcW w:w="3685" w:type="dxa"/>
            <w:shd w:val="clear" w:color="auto" w:fill="EBF5FB"/>
          </w:tcPr>
          <w:p w14:paraId="0A896394" w14:textId="77777777" w:rsidR="00D25C93" w:rsidRDefault="00000000">
            <w:r>
              <w:rPr>
                <w:rFonts w:ascii="Times New Roman" w:hAnsi="Times New Roman"/>
                <w:sz w:val="20"/>
              </w:rPr>
              <w:t>Темп роста ВВП, %</w:t>
            </w:r>
          </w:p>
        </w:tc>
        <w:tc>
          <w:tcPr>
            <w:tcW w:w="1077" w:type="dxa"/>
            <w:shd w:val="clear" w:color="auto" w:fill="EBF5FB"/>
          </w:tcPr>
          <w:p w14:paraId="53BDC85B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–6,6</w:t>
            </w:r>
          </w:p>
        </w:tc>
        <w:tc>
          <w:tcPr>
            <w:tcW w:w="1077" w:type="dxa"/>
            <w:shd w:val="clear" w:color="auto" w:fill="EBF5FB"/>
          </w:tcPr>
          <w:p w14:paraId="32BC2F9D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6,0</w:t>
            </w:r>
          </w:p>
        </w:tc>
        <w:tc>
          <w:tcPr>
            <w:tcW w:w="1077" w:type="dxa"/>
            <w:shd w:val="clear" w:color="auto" w:fill="EBF5FB"/>
          </w:tcPr>
          <w:p w14:paraId="787B6ABB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–2,2</w:t>
            </w:r>
          </w:p>
        </w:tc>
        <w:tc>
          <w:tcPr>
            <w:tcW w:w="1077" w:type="dxa"/>
            <w:shd w:val="clear" w:color="auto" w:fill="EBF5FB"/>
          </w:tcPr>
          <w:p w14:paraId="31BA79D3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8,2</w:t>
            </w:r>
          </w:p>
        </w:tc>
        <w:tc>
          <w:tcPr>
            <w:tcW w:w="1077" w:type="dxa"/>
            <w:shd w:val="clear" w:color="auto" w:fill="EBF5FB"/>
          </w:tcPr>
          <w:p w14:paraId="59E07116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6,5</w:t>
            </w:r>
          </w:p>
        </w:tc>
      </w:tr>
      <w:tr w:rsidR="00D25C93" w14:paraId="34CB06F7" w14:textId="77777777">
        <w:trPr>
          <w:jc w:val="center"/>
        </w:trPr>
        <w:tc>
          <w:tcPr>
            <w:tcW w:w="3685" w:type="dxa"/>
            <w:shd w:val="clear" w:color="auto" w:fill="FFFFFF"/>
          </w:tcPr>
          <w:p w14:paraId="6C16658E" w14:textId="77777777" w:rsidR="00D25C93" w:rsidRDefault="00000000">
            <w:r w:rsidRPr="00F67FAE">
              <w:rPr>
                <w:rFonts w:ascii="Times New Roman" w:hAnsi="Times New Roman"/>
                <w:sz w:val="20"/>
                <w:lang w:val="ru-RU"/>
              </w:rPr>
              <w:t xml:space="preserve">ВВП на душу населения, тыс. </w:t>
            </w:r>
            <w:r>
              <w:rPr>
                <w:rFonts w:ascii="Times New Roman" w:hAnsi="Times New Roman"/>
                <w:sz w:val="20"/>
              </w:rPr>
              <w:t>CFA</w:t>
            </w:r>
          </w:p>
        </w:tc>
        <w:tc>
          <w:tcPr>
            <w:tcW w:w="1077" w:type="dxa"/>
            <w:shd w:val="clear" w:color="auto" w:fill="FFFFFF"/>
          </w:tcPr>
          <w:p w14:paraId="3242D8CC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817</w:t>
            </w:r>
          </w:p>
        </w:tc>
        <w:tc>
          <w:tcPr>
            <w:tcW w:w="1077" w:type="dxa"/>
            <w:shd w:val="clear" w:color="auto" w:fill="FFFFFF"/>
          </w:tcPr>
          <w:p w14:paraId="4983C647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1 219</w:t>
            </w:r>
          </w:p>
        </w:tc>
        <w:tc>
          <w:tcPr>
            <w:tcW w:w="1077" w:type="dxa"/>
            <w:shd w:val="clear" w:color="auto" w:fill="FFFFFF"/>
          </w:tcPr>
          <w:p w14:paraId="5F5A6629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1 464</w:t>
            </w:r>
          </w:p>
        </w:tc>
        <w:tc>
          <w:tcPr>
            <w:tcW w:w="1077" w:type="dxa"/>
            <w:shd w:val="clear" w:color="auto" w:fill="FFFFFF"/>
          </w:tcPr>
          <w:p w14:paraId="2A0E20F7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1 663</w:t>
            </w:r>
          </w:p>
        </w:tc>
        <w:tc>
          <w:tcPr>
            <w:tcW w:w="1077" w:type="dxa"/>
            <w:shd w:val="clear" w:color="auto" w:fill="FFFFFF"/>
          </w:tcPr>
          <w:p w14:paraId="7B13770C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1 772</w:t>
            </w:r>
          </w:p>
        </w:tc>
      </w:tr>
      <w:tr w:rsidR="00D25C93" w14:paraId="5DC92398" w14:textId="77777777">
        <w:trPr>
          <w:jc w:val="center"/>
        </w:trPr>
        <w:tc>
          <w:tcPr>
            <w:tcW w:w="3685" w:type="dxa"/>
            <w:shd w:val="clear" w:color="auto" w:fill="EBF5FB"/>
          </w:tcPr>
          <w:p w14:paraId="6BD6F217" w14:textId="77777777" w:rsidR="00D25C93" w:rsidRDefault="00000000">
            <w:r>
              <w:rPr>
                <w:rFonts w:ascii="Times New Roman" w:hAnsi="Times New Roman"/>
                <w:sz w:val="20"/>
              </w:rPr>
              <w:t>Инфляция, %</w:t>
            </w:r>
          </w:p>
        </w:tc>
        <w:tc>
          <w:tcPr>
            <w:tcW w:w="1077" w:type="dxa"/>
            <w:shd w:val="clear" w:color="auto" w:fill="EBF5FB"/>
          </w:tcPr>
          <w:p w14:paraId="30125DAF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4,9</w:t>
            </w:r>
          </w:p>
        </w:tc>
        <w:tc>
          <w:tcPr>
            <w:tcW w:w="1077" w:type="dxa"/>
            <w:shd w:val="clear" w:color="auto" w:fill="EBF5FB"/>
          </w:tcPr>
          <w:p w14:paraId="4BA0C9D5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1,0</w:t>
            </w:r>
          </w:p>
        </w:tc>
        <w:tc>
          <w:tcPr>
            <w:tcW w:w="1077" w:type="dxa"/>
            <w:shd w:val="clear" w:color="auto" w:fill="EBF5FB"/>
          </w:tcPr>
          <w:p w14:paraId="726BC040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2,4</w:t>
            </w:r>
          </w:p>
        </w:tc>
        <w:tc>
          <w:tcPr>
            <w:tcW w:w="1077" w:type="dxa"/>
            <w:shd w:val="clear" w:color="auto" w:fill="EBF5FB"/>
          </w:tcPr>
          <w:p w14:paraId="2ABB4938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3,5</w:t>
            </w:r>
          </w:p>
        </w:tc>
        <w:tc>
          <w:tcPr>
            <w:tcW w:w="1077" w:type="dxa"/>
            <w:shd w:val="clear" w:color="auto" w:fill="EBF5FB"/>
          </w:tcPr>
          <w:p w14:paraId="6DF4A775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3,0</w:t>
            </w:r>
          </w:p>
        </w:tc>
      </w:tr>
      <w:tr w:rsidR="00D25C93" w14:paraId="6FBC0BC9" w14:textId="77777777">
        <w:trPr>
          <w:jc w:val="center"/>
        </w:trPr>
        <w:tc>
          <w:tcPr>
            <w:tcW w:w="3685" w:type="dxa"/>
            <w:shd w:val="clear" w:color="auto" w:fill="FFFFFF"/>
          </w:tcPr>
          <w:p w14:paraId="0867743C" w14:textId="77777777" w:rsidR="00D25C93" w:rsidRDefault="00000000">
            <w:r>
              <w:rPr>
                <w:rFonts w:ascii="Times New Roman" w:hAnsi="Times New Roman"/>
                <w:sz w:val="20"/>
              </w:rPr>
              <w:t>Инвестиции, % ВВП</w:t>
            </w:r>
          </w:p>
        </w:tc>
        <w:tc>
          <w:tcPr>
            <w:tcW w:w="1077" w:type="dxa"/>
            <w:shd w:val="clear" w:color="auto" w:fill="FFFFFF"/>
          </w:tcPr>
          <w:p w14:paraId="03E2D880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14,1</w:t>
            </w:r>
          </w:p>
        </w:tc>
        <w:tc>
          <w:tcPr>
            <w:tcW w:w="1077" w:type="dxa"/>
            <w:shd w:val="clear" w:color="auto" w:fill="FFFFFF"/>
          </w:tcPr>
          <w:p w14:paraId="30984A8B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18,9</w:t>
            </w:r>
          </w:p>
        </w:tc>
        <w:tc>
          <w:tcPr>
            <w:tcW w:w="1077" w:type="dxa"/>
            <w:shd w:val="clear" w:color="auto" w:fill="FFFFFF"/>
          </w:tcPr>
          <w:p w14:paraId="5D707822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19,8</w:t>
            </w:r>
          </w:p>
        </w:tc>
        <w:tc>
          <w:tcPr>
            <w:tcW w:w="1077" w:type="dxa"/>
            <w:shd w:val="clear" w:color="auto" w:fill="FFFFFF"/>
          </w:tcPr>
          <w:p w14:paraId="3EBD8EB0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23,1</w:t>
            </w:r>
          </w:p>
        </w:tc>
        <w:tc>
          <w:tcPr>
            <w:tcW w:w="1077" w:type="dxa"/>
            <w:shd w:val="clear" w:color="auto" w:fill="FFFFFF"/>
          </w:tcPr>
          <w:p w14:paraId="0917C3B7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23,7</w:t>
            </w:r>
          </w:p>
        </w:tc>
      </w:tr>
      <w:tr w:rsidR="00D25C93" w14:paraId="2E601CE4" w14:textId="77777777">
        <w:trPr>
          <w:jc w:val="center"/>
        </w:trPr>
        <w:tc>
          <w:tcPr>
            <w:tcW w:w="3685" w:type="dxa"/>
            <w:shd w:val="clear" w:color="auto" w:fill="EBF5FB"/>
          </w:tcPr>
          <w:p w14:paraId="1C1D02BA" w14:textId="77777777" w:rsidR="00D25C93" w:rsidRDefault="00000000">
            <w:r>
              <w:rPr>
                <w:rFonts w:ascii="Times New Roman" w:hAnsi="Times New Roman"/>
                <w:sz w:val="20"/>
              </w:rPr>
              <w:t>Гос. долг, % ВВП</w:t>
            </w:r>
          </w:p>
        </w:tc>
        <w:tc>
          <w:tcPr>
            <w:tcW w:w="1077" w:type="dxa"/>
            <w:shd w:val="clear" w:color="auto" w:fill="EBF5FB"/>
          </w:tcPr>
          <w:p w14:paraId="1FFE51D8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69,0</w:t>
            </w:r>
          </w:p>
        </w:tc>
        <w:tc>
          <w:tcPr>
            <w:tcW w:w="1077" w:type="dxa"/>
            <w:shd w:val="clear" w:color="auto" w:fill="EBF5FB"/>
          </w:tcPr>
          <w:p w14:paraId="7A968EC0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45,0</w:t>
            </w:r>
          </w:p>
        </w:tc>
        <w:tc>
          <w:tcPr>
            <w:tcW w:w="1077" w:type="dxa"/>
            <w:shd w:val="clear" w:color="auto" w:fill="EBF5FB"/>
          </w:tcPr>
          <w:p w14:paraId="7CEF604B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52,0</w:t>
            </w:r>
          </w:p>
        </w:tc>
        <w:tc>
          <w:tcPr>
            <w:tcW w:w="1077" w:type="dxa"/>
            <w:shd w:val="clear" w:color="auto" w:fill="EBF5FB"/>
          </w:tcPr>
          <w:p w14:paraId="064E29E4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59,5</w:t>
            </w:r>
          </w:p>
        </w:tc>
        <w:tc>
          <w:tcPr>
            <w:tcW w:w="1077" w:type="dxa"/>
            <w:shd w:val="clear" w:color="auto" w:fill="EBF5FB"/>
          </w:tcPr>
          <w:p w14:paraId="7FA9C10D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57,0</w:t>
            </w:r>
          </w:p>
        </w:tc>
      </w:tr>
      <w:tr w:rsidR="00D25C93" w14:paraId="71D37A8B" w14:textId="77777777">
        <w:trPr>
          <w:jc w:val="center"/>
        </w:trPr>
        <w:tc>
          <w:tcPr>
            <w:tcW w:w="3685" w:type="dxa"/>
            <w:shd w:val="clear" w:color="auto" w:fill="FFFFFF"/>
          </w:tcPr>
          <w:p w14:paraId="38411266" w14:textId="77777777" w:rsidR="00D25C93" w:rsidRPr="00F67FAE" w:rsidRDefault="00000000">
            <w:pPr>
              <w:rPr>
                <w:lang w:val="ru-RU"/>
              </w:rPr>
            </w:pPr>
            <w:r w:rsidRPr="00F67FAE">
              <w:rPr>
                <w:rFonts w:ascii="Times New Roman" w:hAnsi="Times New Roman"/>
                <w:sz w:val="20"/>
                <w:lang w:val="ru-RU"/>
              </w:rPr>
              <w:t>Доля сырьевого экспорта, % от всего экспорта</w:t>
            </w:r>
          </w:p>
        </w:tc>
        <w:tc>
          <w:tcPr>
            <w:tcW w:w="1077" w:type="dxa"/>
            <w:shd w:val="clear" w:color="auto" w:fill="FFFFFF"/>
          </w:tcPr>
          <w:p w14:paraId="336B960B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52</w:t>
            </w:r>
          </w:p>
        </w:tc>
        <w:tc>
          <w:tcPr>
            <w:tcW w:w="1077" w:type="dxa"/>
            <w:shd w:val="clear" w:color="auto" w:fill="FFFFFF"/>
          </w:tcPr>
          <w:p w14:paraId="4167E64F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48</w:t>
            </w:r>
          </w:p>
        </w:tc>
        <w:tc>
          <w:tcPr>
            <w:tcW w:w="1077" w:type="dxa"/>
            <w:shd w:val="clear" w:color="auto" w:fill="FFFFFF"/>
          </w:tcPr>
          <w:p w14:paraId="49FB3506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46</w:t>
            </w:r>
          </w:p>
        </w:tc>
        <w:tc>
          <w:tcPr>
            <w:tcW w:w="1077" w:type="dxa"/>
            <w:shd w:val="clear" w:color="auto" w:fill="FFFFFF"/>
          </w:tcPr>
          <w:p w14:paraId="452DF63B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45</w:t>
            </w:r>
          </w:p>
        </w:tc>
        <w:tc>
          <w:tcPr>
            <w:tcW w:w="1077" w:type="dxa"/>
            <w:shd w:val="clear" w:color="auto" w:fill="FFFFFF"/>
          </w:tcPr>
          <w:p w14:paraId="0F4C011D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44</w:t>
            </w:r>
          </w:p>
        </w:tc>
      </w:tr>
    </w:tbl>
    <w:p w14:paraId="59110B80" w14:textId="77777777" w:rsidR="00D25C93" w:rsidRDefault="00D25C93"/>
    <w:p w14:paraId="7DF301A4" w14:textId="77777777" w:rsidR="00D25C93" w:rsidRPr="00F67FAE" w:rsidRDefault="00000000">
      <w:pPr>
        <w:spacing w:after="0" w:line="440" w:lineRule="exact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*прогнозные данные.</w:t>
      </w:r>
      <w:r w:rsidRPr="00F67FAE">
        <w:rPr>
          <w:rFonts w:ascii="Times New Roman" w:hAnsi="Times New Roman"/>
          <w:color w:val="000000"/>
          <w:sz w:val="28"/>
          <w:lang w:val="ru-RU"/>
        </w:rPr>
        <w:br/>
        <w:t>Источник: Министерство экономики и финансов Кот-д'Ивуара [7]; Африканский банк развития [11].</w:t>
      </w:r>
    </w:p>
    <w:p w14:paraId="6E92F01B" w14:textId="77777777" w:rsidR="00D25C93" w:rsidRPr="00F67FAE" w:rsidRDefault="00D25C93">
      <w:pPr>
        <w:spacing w:after="0" w:line="440" w:lineRule="exact"/>
        <w:ind w:firstLine="709"/>
        <w:jc w:val="both"/>
        <w:rPr>
          <w:lang w:val="ru-RU"/>
        </w:rPr>
      </w:pPr>
    </w:p>
    <w:p w14:paraId="16121BA5" w14:textId="3F8AC4BD" w:rsidR="00D25C93" w:rsidRPr="00F67FAE" w:rsidRDefault="00000000">
      <w:pPr>
        <w:spacing w:before="200" w:after="120" w:line="440" w:lineRule="exact"/>
        <w:rPr>
          <w:lang w:val="ru-RU"/>
        </w:rPr>
      </w:pPr>
      <w:r w:rsidRPr="00F67FAE">
        <w:rPr>
          <w:rFonts w:ascii="Times New Roman" w:hAnsi="Times New Roman"/>
          <w:b/>
          <w:i/>
          <w:color w:val="2E4A62"/>
          <w:sz w:val="28"/>
          <w:lang w:val="ru-RU"/>
        </w:rPr>
        <w:t>2.1.3. «Какао-ловушка»: почему строительство 100 заводов по переработке</w:t>
      </w:r>
      <w:r w:rsidR="00F67FAE">
        <w:rPr>
          <w:rFonts w:ascii="Times New Roman" w:hAnsi="Times New Roman"/>
          <w:b/>
          <w:i/>
          <w:color w:val="2E4A62"/>
          <w:sz w:val="28"/>
          <w:lang w:val="ru-RU"/>
        </w:rPr>
        <w:t xml:space="preserve"> </w:t>
      </w:r>
      <w:r w:rsidRPr="00F67FAE">
        <w:rPr>
          <w:rFonts w:ascii="Times New Roman" w:hAnsi="Times New Roman"/>
          <w:b/>
          <w:i/>
          <w:color w:val="2E4A62"/>
          <w:sz w:val="28"/>
          <w:lang w:val="ru-RU"/>
        </w:rPr>
        <w:t>не является стратегическим решением</w:t>
      </w:r>
    </w:p>
    <w:p w14:paraId="4FBB48B4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Одним из наиболее распространённых упрощённых представлений об экономической трансформации Кот-д'Ивуара является тезис о том, что достаточно масштабно развить переработку какао — и страна совершит структурный скачок. Кот-д'Ивуар производит 40–45% мирового объёма какао-бобов; казалось бы, их глубокая переработка внутри страны должна кратно увеличить добавленную стоимость и задать новую динамику ВВП. Именно этот нарратив лежит в основе многих программных документов и инвестиционных предложений [7; 12]. Однако строгий количественный </w:t>
      </w:r>
      <w:r w:rsidRPr="00F67FAE">
        <w:rPr>
          <w:rFonts w:ascii="Times New Roman" w:hAnsi="Times New Roman"/>
          <w:color w:val="000000"/>
          <w:sz w:val="28"/>
          <w:lang w:val="ru-RU"/>
        </w:rPr>
        <w:lastRenderedPageBreak/>
        <w:t>анализ свидетельствует: даже при полной реализации потенциала переработки какао этот сектор не способен обеспечить структурный скачок экономики. Назовём это явление «какао-ловушкой».</w:t>
      </w:r>
    </w:p>
    <w:p w14:paraId="5EE11155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Проведём формальный расчёт максимальной добавленной стоимости при полной переработке всего производимого объёма какао-бобов. Годовое производство какао в стране составляет </w:t>
      </w:r>
      <w:r>
        <w:rPr>
          <w:rFonts w:ascii="Times New Roman" w:hAnsi="Times New Roman"/>
          <w:color w:val="000000"/>
          <w:sz w:val="28"/>
        </w:rPr>
        <w:t>Q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= 2,2 млн тонн. Средняя переработочная маржа на 1 тонну (разница между стоимостью конечного продукта — шоколада, какао-масла, какао-порошка — и стоимостью сырого боба) составляет </w:t>
      </w:r>
      <w:r>
        <w:rPr>
          <w:rFonts w:ascii="Times New Roman" w:hAnsi="Times New Roman"/>
          <w:color w:val="000000"/>
          <w:sz w:val="28"/>
        </w:rPr>
        <w:t>m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≈ 400 </w:t>
      </w:r>
      <w:r>
        <w:rPr>
          <w:rFonts w:ascii="Times New Roman" w:hAnsi="Times New Roman"/>
          <w:color w:val="000000"/>
          <w:sz w:val="28"/>
        </w:rPr>
        <w:t>USD</w:t>
      </w:r>
      <w:r w:rsidRPr="00F67FAE">
        <w:rPr>
          <w:rFonts w:ascii="Times New Roman" w:hAnsi="Times New Roman"/>
          <w:color w:val="000000"/>
          <w:sz w:val="28"/>
          <w:lang w:val="ru-RU"/>
        </w:rPr>
        <w:t>/т [7; 12]. Тогда максимальная добавленная стоимость сектора:</w:t>
      </w:r>
    </w:p>
    <w:p w14:paraId="7B62D1F3" w14:textId="0D00BFBF" w:rsidR="00D25C93" w:rsidRPr="00F67FAE" w:rsidRDefault="00F67FAE">
      <w:pPr>
        <w:spacing w:before="80" w:after="80" w:line="440" w:lineRule="exact"/>
        <w:jc w:val="center"/>
        <w:rPr>
          <w:lang w:val="ru-RU"/>
        </w:rPr>
      </w:pPr>
      <m:oMath>
        <m:r>
          <w:rPr>
            <w:rFonts w:ascii="Cambria Math" w:hAnsi="Cambria Math"/>
            <w:sz w:val="28"/>
          </w:rPr>
          <m:t>V</m:t>
        </m:r>
        <m:sSub>
          <m:sSubPr>
            <m:ctrlPr>
              <w:rPr>
                <w:rFonts w:ascii="Cambria Math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A</m:t>
            </m:r>
            <m:ctrlPr>
              <w:rPr>
                <w:rFonts w:ascii="Cambria Math" w:hAnsi="Cambria Math"/>
                <w:i/>
                <w:sz w:val="28"/>
              </w:rPr>
            </m:ctrlPr>
          </m:e>
          <m:sub>
            <m:r>
              <w:rPr>
                <w:rFonts w:ascii="Cambria Math" w:hAnsi="Cambria Math"/>
                <w:sz w:val="28"/>
              </w:rPr>
              <m:t>m</m:t>
            </m:r>
          </m:sub>
        </m:sSub>
        <m:r>
          <w:rPr>
            <w:rFonts w:ascii="Cambria Math" w:hAnsi="Cambria Math"/>
            <w:sz w:val="28"/>
          </w:rPr>
          <m:t>ax</m:t>
        </m:r>
        <m:r>
          <w:rPr>
            <w:rFonts w:ascii="Cambria Math" w:hAnsi="Cambria Math"/>
            <w:sz w:val="28"/>
            <w:lang w:val="ru-RU"/>
          </w:rPr>
          <m:t>=</m:t>
        </m:r>
        <m:r>
          <w:rPr>
            <w:rFonts w:ascii="Cambria Math" w:hAnsi="Cambria Math"/>
            <w:sz w:val="28"/>
          </w:rPr>
          <m:t>Q</m:t>
        </m:r>
        <m:r>
          <w:rPr>
            <w:rFonts w:ascii="Cambria Math" w:hAnsi="Cambria Math"/>
            <w:sz w:val="28"/>
            <w:lang w:val="ru-RU"/>
          </w:rPr>
          <m:t>×</m:t>
        </m:r>
        <m:r>
          <w:rPr>
            <w:rFonts w:ascii="Cambria Math" w:hAnsi="Cambria Math"/>
            <w:sz w:val="28"/>
          </w:rPr>
          <m:t>m</m:t>
        </m:r>
        <m:r>
          <w:rPr>
            <w:rFonts w:ascii="Cambria Math" w:hAnsi="Cambria Math"/>
            <w:sz w:val="28"/>
            <w:lang w:val="ru-RU"/>
          </w:rPr>
          <m:t>=2200000т×400</m:t>
        </m:r>
        <m:r>
          <w:rPr>
            <w:rFonts w:ascii="Cambria Math" w:hAnsi="Cambria Math"/>
            <w:sz w:val="28"/>
          </w:rPr>
          <m:t>USD</m:t>
        </m:r>
        <m:r>
          <m:rPr>
            <m:lit/>
          </m:rPr>
          <w:rPr>
            <w:rFonts w:ascii="Cambria Math" w:hAnsi="Cambria Math"/>
            <w:sz w:val="28"/>
            <w:lang w:val="ru-RU"/>
          </w:rPr>
          <m:t>/</m:t>
        </m:r>
        <m:r>
          <w:rPr>
            <w:rFonts w:ascii="Cambria Math" w:hAnsi="Cambria Math"/>
            <w:sz w:val="28"/>
            <w:lang w:val="ru-RU"/>
          </w:rPr>
          <m:t>т=880000000</m:t>
        </m:r>
        <m:r>
          <w:rPr>
            <w:rFonts w:ascii="Cambria Math" w:hAnsi="Cambria Math"/>
            <w:sz w:val="28"/>
          </w:rPr>
          <m:t>USD</m:t>
        </m:r>
        <m:r>
          <w:rPr>
            <w:rFonts w:ascii="Cambria Math" w:hAnsi="Cambria Math"/>
            <w:sz w:val="28"/>
            <w:lang w:val="ru-RU"/>
          </w:rPr>
          <m:t>≈0,88млрд</m:t>
        </m:r>
        <m:r>
          <w:rPr>
            <w:rFonts w:ascii="Cambria Math" w:hAnsi="Cambria Math"/>
            <w:sz w:val="28"/>
          </w:rPr>
          <m:t>USD</m:t>
        </m:r>
      </m:oMath>
      <w:r w:rsidRPr="00F67FAE">
        <w:rPr>
          <w:rFonts w:ascii="Times New Roman" w:hAnsi="Times New Roman"/>
          <w:sz w:val="24"/>
          <w:lang w:val="ru-RU"/>
        </w:rPr>
        <w:t xml:space="preserve">  (2.1)</w:t>
      </w:r>
    </w:p>
    <w:p w14:paraId="191D62F2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При номинальном ВВП Кот-д'Ивуара ≈ 88 млрд </w:t>
      </w:r>
      <w:r>
        <w:rPr>
          <w:rFonts w:ascii="Times New Roman" w:hAnsi="Times New Roman"/>
          <w:color w:val="000000"/>
          <w:sz w:val="28"/>
        </w:rPr>
        <w:t>USD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(2024) это соотношение составляет менее 1%:</w:t>
      </w:r>
    </w:p>
    <w:p w14:paraId="1769A792" w14:textId="23ACE3DC" w:rsidR="00D25C93" w:rsidRPr="00F67FAE" w:rsidRDefault="00F67FAE">
      <w:pPr>
        <w:spacing w:before="80" w:after="80" w:line="440" w:lineRule="exact"/>
        <w:jc w:val="center"/>
        <w:rPr>
          <w:lang w:val="ru-RU"/>
        </w:rPr>
      </w:pPr>
      <m:oMath>
        <m:r>
          <w:rPr>
            <w:rFonts w:ascii="Cambria Math" w:hAnsi="Cambria Math"/>
            <w:sz w:val="28"/>
          </w:rPr>
          <m:t>V</m:t>
        </m:r>
        <m:sSub>
          <m:sSubPr>
            <m:ctrlPr>
              <w:rPr>
                <w:rFonts w:ascii="Cambria Math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A</m:t>
            </m:r>
            <m:ctrlPr>
              <w:rPr>
                <w:rFonts w:ascii="Cambria Math" w:hAnsi="Cambria Math"/>
                <w:i/>
                <w:sz w:val="28"/>
              </w:rPr>
            </m:ctrlPr>
          </m:e>
          <m:sub>
            <m:r>
              <w:rPr>
                <w:rFonts w:ascii="Cambria Math" w:hAnsi="Cambria Math"/>
                <w:sz w:val="28"/>
              </w:rPr>
              <m:t>m</m:t>
            </m:r>
          </m:sub>
        </m:sSub>
        <m:r>
          <w:rPr>
            <w:rFonts w:ascii="Cambria Math" w:hAnsi="Cambria Math"/>
            <w:sz w:val="28"/>
          </w:rPr>
          <m:t>ax</m:t>
        </m:r>
        <m:r>
          <m:rPr>
            <m:lit/>
          </m:rPr>
          <w:rPr>
            <w:rFonts w:ascii="Cambria Math" w:hAnsi="Cambria Math"/>
            <w:sz w:val="28"/>
            <w:lang w:val="ru-RU"/>
          </w:rPr>
          <m:t>/</m:t>
        </m:r>
        <m:r>
          <w:rPr>
            <w:rFonts w:ascii="Cambria Math" w:hAnsi="Cambria Math"/>
            <w:sz w:val="28"/>
          </w:rPr>
          <m:t>GDP</m:t>
        </m:r>
        <m:r>
          <w:rPr>
            <w:rFonts w:ascii="Cambria Math" w:hAnsi="Cambria Math"/>
            <w:sz w:val="28"/>
            <w:lang w:val="ru-RU"/>
          </w:rPr>
          <m:t>=0,88млрд</m:t>
        </m:r>
        <m:r>
          <m:rPr>
            <m:lit/>
          </m:rPr>
          <w:rPr>
            <w:rFonts w:ascii="Cambria Math" w:hAnsi="Cambria Math"/>
            <w:sz w:val="28"/>
            <w:lang w:val="ru-RU"/>
          </w:rPr>
          <m:t>/</m:t>
        </m:r>
        <m:r>
          <w:rPr>
            <w:rFonts w:ascii="Cambria Math" w:hAnsi="Cambria Math"/>
            <w:sz w:val="28"/>
            <w:lang w:val="ru-RU"/>
          </w:rPr>
          <m:t>88млрд≈1,0%</m:t>
        </m:r>
      </m:oMath>
      <w:r w:rsidRPr="00F67FAE">
        <w:rPr>
          <w:rFonts w:ascii="Times New Roman" w:hAnsi="Times New Roman"/>
          <w:sz w:val="24"/>
          <w:lang w:val="ru-RU"/>
        </w:rPr>
        <w:t xml:space="preserve">  (2.2)</w:t>
      </w:r>
    </w:p>
    <w:p w14:paraId="4B4E54B8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Иными словами, даже если построить не 10, не 50, а ровно 100 заводов и переработать внутри страны каждое зерно урожая, эффект для ВВП не превысит 1,0–1,5 процентного пункта. Это принципиально важный вывод: при целевом приросте ВВП в 5–7 процентных пунктов сверх базового тренда моноотраслевая стратегия покрывает лишь 14–20% от поставленной цели. Стратегическая ставка исключительно на какао — это ловушка, сковывающая амбиции страны.</w:t>
      </w:r>
    </w:p>
    <w:p w14:paraId="1714F807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Важно понимать и ресурсную сторону этого расчёта. Строительство 100 заводов по переработке какао средней мощностью 22 000 т/год потребует капитальных затрат в размере ≈ 2,5–3,0 млрд </w:t>
      </w:r>
      <w:r>
        <w:rPr>
          <w:rFonts w:ascii="Times New Roman" w:hAnsi="Times New Roman"/>
          <w:color w:val="000000"/>
          <w:sz w:val="28"/>
        </w:rPr>
        <w:t>USD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. Возврат на инвестиции при добавленной стоимости 0,88 млрд </w:t>
      </w:r>
      <w:r>
        <w:rPr>
          <w:rFonts w:ascii="Times New Roman" w:hAnsi="Times New Roman"/>
          <w:color w:val="000000"/>
          <w:sz w:val="28"/>
        </w:rPr>
        <w:t>USD</w:t>
      </w:r>
      <w:r w:rsidRPr="00F67FAE">
        <w:rPr>
          <w:rFonts w:ascii="Times New Roman" w:hAnsi="Times New Roman"/>
          <w:color w:val="000000"/>
          <w:sz w:val="28"/>
          <w:lang w:val="ru-RU"/>
        </w:rPr>
        <w:t>/год и сроке окупаемости 7–10 лет составит:</w:t>
      </w:r>
    </w:p>
    <w:p w14:paraId="1A7BEE93" w14:textId="0968879D" w:rsidR="00D25C93" w:rsidRPr="00F67FAE" w:rsidRDefault="00F67FAE">
      <w:pPr>
        <w:spacing w:before="80" w:after="80" w:line="440" w:lineRule="exact"/>
        <w:jc w:val="center"/>
        <w:rPr>
          <w:lang w:val="ru-RU"/>
        </w:rPr>
      </w:pPr>
      <m:oMath>
        <m:r>
          <w:rPr>
            <w:rFonts w:ascii="Cambria Math" w:hAnsi="Cambria Math"/>
            <w:sz w:val="28"/>
            <w:lang w:val="fr-FR"/>
          </w:rPr>
          <m:t>RO</m:t>
        </m:r>
        <m:sSub>
          <m:sSubPr>
            <m:ctrlPr>
              <w:rPr>
                <w:rFonts w:ascii="Cambria Math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fr-FR"/>
              </w:rPr>
              <m:t>I</m:t>
            </m:r>
            <m:ctrlPr>
              <w:rPr>
                <w:rFonts w:ascii="Cambria Math" w:hAnsi="Cambria Math"/>
                <w:i/>
                <w:sz w:val="28"/>
                <w:lang w:val="fr-FR"/>
              </w:rPr>
            </m:ctrlPr>
          </m:e>
          <m:sub>
            <m:r>
              <w:rPr>
                <w:rFonts w:ascii="Cambria Math" w:hAnsi="Cambria Math"/>
                <w:sz w:val="28"/>
                <w:lang w:val="fr-FR"/>
              </w:rPr>
              <m:t>c</m:t>
            </m:r>
          </m:sub>
        </m:sSub>
        <m:r>
          <w:rPr>
            <w:rFonts w:ascii="Cambria Math" w:hAnsi="Cambria Math"/>
            <w:sz w:val="28"/>
            <w:lang w:val="fr-FR"/>
          </w:rPr>
          <m:t>ocoa</m:t>
        </m:r>
        <m:r>
          <w:rPr>
            <w:rFonts w:ascii="Cambria Math" w:hAnsi="Cambria Math"/>
            <w:sz w:val="28"/>
            <w:lang w:val="ru-RU"/>
          </w:rPr>
          <m:t>=</m:t>
        </m:r>
        <m:r>
          <w:rPr>
            <w:rFonts w:ascii="Cambria Math" w:hAnsi="Cambria Math"/>
            <w:sz w:val="28"/>
            <w:lang w:val="fr-FR"/>
          </w:rPr>
          <m:t>V</m:t>
        </m:r>
        <m:sSub>
          <m:sSubPr>
            <m:ctrlPr>
              <w:rPr>
                <w:rFonts w:ascii="Cambria Math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fr-FR"/>
              </w:rPr>
              <m:t>A</m:t>
            </m:r>
            <m:ctrlPr>
              <w:rPr>
                <w:rFonts w:ascii="Cambria Math" w:hAnsi="Cambria Math"/>
                <w:i/>
                <w:sz w:val="28"/>
                <w:lang w:val="fr-FR"/>
              </w:rPr>
            </m:ctrlPr>
          </m:e>
          <m:sub>
            <m:r>
              <w:rPr>
                <w:rFonts w:ascii="Cambria Math" w:hAnsi="Cambria Math"/>
                <w:sz w:val="28"/>
                <w:lang w:val="fr-FR"/>
              </w:rPr>
              <m:t>m</m:t>
            </m:r>
          </m:sub>
        </m:sSub>
        <m:r>
          <w:rPr>
            <w:rFonts w:ascii="Cambria Math" w:hAnsi="Cambria Math"/>
            <w:sz w:val="28"/>
            <w:lang w:val="fr-FR"/>
          </w:rPr>
          <m:t>ax</m:t>
        </m:r>
        <m:r>
          <m:rPr>
            <m:lit/>
          </m:rPr>
          <w:rPr>
            <w:rFonts w:ascii="Cambria Math" w:hAnsi="Cambria Math"/>
            <w:sz w:val="28"/>
            <w:lang w:val="ru-RU"/>
          </w:rPr>
          <m:t>/</m:t>
        </m:r>
        <m:r>
          <w:rPr>
            <w:rFonts w:ascii="Cambria Math" w:hAnsi="Cambria Math"/>
            <w:sz w:val="28"/>
            <w:lang w:val="fr-FR"/>
          </w:rPr>
          <m:t>CAPE</m:t>
        </m:r>
        <m:sSub>
          <m:sSubPr>
            <m:ctrlPr>
              <w:rPr>
                <w:rFonts w:ascii="Cambria Math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lang w:val="fr-FR"/>
              </w:rPr>
              <m:t>X</m:t>
            </m:r>
            <m:ctrlPr>
              <w:rPr>
                <w:rFonts w:ascii="Cambria Math" w:hAnsi="Cambria Math"/>
                <w:i/>
                <w:sz w:val="28"/>
                <w:lang w:val="fr-FR"/>
              </w:rPr>
            </m:ctrlPr>
          </m:e>
          <m:sub>
            <m:r>
              <w:rPr>
                <w:rFonts w:ascii="Cambria Math" w:hAnsi="Cambria Math"/>
                <w:sz w:val="28"/>
                <w:lang w:val="fr-FR"/>
              </w:rPr>
              <m:t>c</m:t>
            </m:r>
          </m:sub>
        </m:sSub>
        <m:r>
          <w:rPr>
            <w:rFonts w:ascii="Cambria Math" w:hAnsi="Cambria Math"/>
            <w:sz w:val="28"/>
            <w:lang w:val="fr-FR"/>
          </w:rPr>
          <m:t>ocoa</m:t>
        </m:r>
        <m:r>
          <w:rPr>
            <w:rFonts w:ascii="Cambria Math" w:hAnsi="Cambria Math"/>
            <w:sz w:val="28"/>
            <w:lang w:val="ru-RU"/>
          </w:rPr>
          <m:t>=0,88</m:t>
        </m:r>
        <m:r>
          <m:rPr>
            <m:lit/>
          </m:rPr>
          <w:rPr>
            <w:rFonts w:ascii="Cambria Math" w:hAnsi="Cambria Math"/>
            <w:sz w:val="28"/>
            <w:lang w:val="ru-RU"/>
          </w:rPr>
          <m:t>/</m:t>
        </m:r>
        <m:r>
          <w:rPr>
            <w:rFonts w:ascii="Cambria Math" w:hAnsi="Cambria Math"/>
            <w:sz w:val="28"/>
            <w:lang w:val="ru-RU"/>
          </w:rPr>
          <m:t>2,75≈32%</m:t>
        </m:r>
      </m:oMath>
      <w:r w:rsidRPr="00F67FAE">
        <w:rPr>
          <w:rFonts w:ascii="Times New Roman" w:hAnsi="Times New Roman"/>
          <w:sz w:val="24"/>
          <w:lang w:val="ru-RU"/>
        </w:rPr>
        <w:t xml:space="preserve">  (2.3)</w:t>
      </w:r>
    </w:p>
    <w:p w14:paraId="1F7C4290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Это приемлемый показатель для отдельного предприятия, но крайне низкий для национальной стратегической инициативы, претендующей на </w:t>
      </w:r>
      <w:r w:rsidRPr="00F67FAE">
        <w:rPr>
          <w:rFonts w:ascii="Times New Roman" w:hAnsi="Times New Roman"/>
          <w:color w:val="000000"/>
          <w:sz w:val="28"/>
          <w:lang w:val="ru-RU"/>
        </w:rPr>
        <w:lastRenderedPageBreak/>
        <w:t xml:space="preserve">трансформацию всей структуры экономики. Для сравнения: в рамках платформенной модели «Берег Восхода» </w:t>
      </w:r>
      <w:r>
        <w:rPr>
          <w:rFonts w:ascii="Times New Roman" w:hAnsi="Times New Roman"/>
          <w:color w:val="000000"/>
          <w:sz w:val="28"/>
        </w:rPr>
        <w:t>ROI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платформенных инвестиций составляет:</w:t>
      </w:r>
    </w:p>
    <w:p w14:paraId="7D125AE3" w14:textId="769DBE3C" w:rsidR="00D25C93" w:rsidRPr="00F67FAE" w:rsidRDefault="00F67FAE">
      <w:pPr>
        <w:spacing w:before="80" w:after="80" w:line="440" w:lineRule="exact"/>
        <w:jc w:val="center"/>
        <w:rPr>
          <w:lang w:val="ru-RU"/>
        </w:rPr>
      </w:pPr>
      <m:oMath>
        <m:r>
          <w:rPr>
            <w:rFonts w:ascii="Cambria Math" w:hAnsi="Cambria Math"/>
            <w:sz w:val="28"/>
          </w:rPr>
          <m:t>RO</m:t>
        </m:r>
        <m:sSub>
          <m:sSubPr>
            <m:ctrlPr>
              <w:rPr>
                <w:rFonts w:ascii="Cambria Math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I</m:t>
            </m:r>
            <m:ctrlPr>
              <w:rPr>
                <w:rFonts w:ascii="Cambria Math" w:hAnsi="Cambria Math"/>
                <w:i/>
                <w:sz w:val="28"/>
              </w:rPr>
            </m:ctrlPr>
          </m:e>
          <m:sub>
            <m:r>
              <w:rPr>
                <w:rFonts w:ascii="Cambria Math" w:hAnsi="Cambria Math"/>
                <w:sz w:val="28"/>
              </w:rPr>
              <m:t>p</m:t>
            </m:r>
          </m:sub>
        </m:sSub>
        <m:r>
          <w:rPr>
            <w:rFonts w:ascii="Cambria Math" w:hAnsi="Cambria Math"/>
            <w:sz w:val="28"/>
          </w:rPr>
          <m:t>latform</m:t>
        </m:r>
        <m:r>
          <w:rPr>
            <w:rFonts w:ascii="Cambria Math" w:hAnsi="Cambria Math"/>
            <w:sz w:val="28"/>
            <w:lang w:val="ru-RU"/>
          </w:rPr>
          <m:t>=</m:t>
        </m:r>
        <m:r>
          <w:rPr>
            <w:rFonts w:ascii="Cambria Math" w:hAnsi="Cambria Math"/>
            <w:sz w:val="28"/>
          </w:rPr>
          <m:t>ΔGDPᴛ</m:t>
        </m:r>
        <m:r>
          <w:rPr>
            <w:rFonts w:ascii="Cambria Math" w:hAnsi="Cambria Math"/>
            <w:sz w:val="28"/>
            <w:lang w:val="ru-RU"/>
          </w:rPr>
          <m:t>ₒₜ</m:t>
        </m:r>
        <m:r>
          <m:rPr>
            <m:lit/>
          </m:rPr>
          <w:rPr>
            <w:rFonts w:ascii="Cambria Math" w:hAnsi="Cambria Math"/>
            <w:sz w:val="28"/>
            <w:lang w:val="ru-RU"/>
          </w:rPr>
          <m:t>/</m:t>
        </m:r>
        <m:r>
          <w:rPr>
            <w:rFonts w:ascii="Cambria Math" w:hAnsi="Cambria Math"/>
            <w:sz w:val="28"/>
          </w:rPr>
          <m:t>CAPEXᴛ</m:t>
        </m:r>
        <m:r>
          <w:rPr>
            <w:rFonts w:ascii="Cambria Math" w:hAnsi="Cambria Math"/>
            <w:sz w:val="28"/>
            <w:lang w:val="ru-RU"/>
          </w:rPr>
          <m:t>ₒₜ=11,7</m:t>
        </m:r>
        <m:r>
          <m:rPr>
            <m:lit/>
          </m:rPr>
          <w:rPr>
            <w:rFonts w:ascii="Cambria Math" w:hAnsi="Cambria Math"/>
            <w:sz w:val="28"/>
            <w:lang w:val="ru-RU"/>
          </w:rPr>
          <m:t>/</m:t>
        </m:r>
        <m:r>
          <w:rPr>
            <w:rFonts w:ascii="Cambria Math" w:hAnsi="Cambria Math"/>
            <w:sz w:val="28"/>
            <w:lang w:val="ru-RU"/>
          </w:rPr>
          <m:t>7,5≈156%</m:t>
        </m:r>
      </m:oMath>
      <w:r w:rsidRPr="00F67FAE">
        <w:rPr>
          <w:rFonts w:ascii="Times New Roman" w:hAnsi="Times New Roman"/>
          <w:sz w:val="24"/>
          <w:lang w:val="ru-RU"/>
        </w:rPr>
        <w:t xml:space="preserve">  (2.4)</w:t>
      </w:r>
    </w:p>
    <w:p w14:paraId="4435A8BB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Разница в эффективности — почти пятикратная. Это и есть количественное обоснование мультисекторального подхода.</w:t>
      </w:r>
    </w:p>
    <w:p w14:paraId="5996E7EC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Рисунок 3 наглядно иллюстрирует феномен «какао-ловушки». Левая панель показывает, что добавленная стоимость от переработки какао нарастает линейно с числом заводов, однако жёстко ограничена верхней планкой ≈ 0,88 млрд </w:t>
      </w:r>
      <w:r>
        <w:rPr>
          <w:rFonts w:ascii="Times New Roman" w:hAnsi="Times New Roman"/>
          <w:color w:val="000000"/>
          <w:sz w:val="28"/>
        </w:rPr>
        <w:t>USD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при исчерпании сырьевой базы. Правая панель сравнивает совокупный экономический эффект двух стратегий: 100 заводов по переработке какао дают 0,88 млрд </w:t>
      </w:r>
      <w:r>
        <w:rPr>
          <w:rFonts w:ascii="Times New Roman" w:hAnsi="Times New Roman"/>
          <w:color w:val="000000"/>
          <w:sz w:val="28"/>
        </w:rPr>
        <w:t>USD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добавленной стоимости, тогда как платформенная модель «Берег Восхода» генерирует 11,7 млрд </w:t>
      </w:r>
      <w:r>
        <w:rPr>
          <w:rFonts w:ascii="Times New Roman" w:hAnsi="Times New Roman"/>
          <w:color w:val="000000"/>
          <w:sz w:val="28"/>
        </w:rPr>
        <w:t>USD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— в 13,3 раза больше.</w:t>
      </w:r>
    </w:p>
    <w:p w14:paraId="0D4C2859" w14:textId="77777777" w:rsidR="00D25C93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3907CE3" wp14:editId="5913CC8E">
            <wp:extent cx="5400000" cy="25859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8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891E" w14:textId="77777777" w:rsidR="00D25C93" w:rsidRPr="00F67FAE" w:rsidRDefault="00000000" w:rsidP="003200B4">
      <w:pPr>
        <w:spacing w:after="0" w:line="240" w:lineRule="auto"/>
        <w:jc w:val="center"/>
        <w:rPr>
          <w:lang w:val="ru-RU"/>
        </w:rPr>
      </w:pPr>
      <w:r w:rsidRPr="00F67FAE">
        <w:rPr>
          <w:rFonts w:ascii="Times New Roman" w:hAnsi="Times New Roman"/>
          <w:i/>
          <w:color w:val="555555"/>
          <w:lang w:val="ru-RU"/>
        </w:rPr>
        <w:t>Рисунок 3. «Какао-ловушка»: ограниченность моноотраслевой стратегии и преимущество платформенного подхода</w:t>
      </w:r>
      <w:r w:rsidRPr="00F67FAE">
        <w:rPr>
          <w:rFonts w:ascii="Times New Roman" w:hAnsi="Times New Roman"/>
          <w:i/>
          <w:color w:val="555555"/>
          <w:lang w:val="ru-RU"/>
        </w:rPr>
        <w:br/>
        <w:t>Примечание. Авторские расчёты. Данные об объёме производства какао и марже переработки — [7; 12].</w:t>
      </w:r>
    </w:p>
    <w:p w14:paraId="51FD12DF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Следует подчеркнуть, что отказ от форсированной переработки какао никоим образом не ставится под сомнение. Глубокая переработка сырья необходима и экономически оправдана — она является обязательным элементом кластера агропереработки в составе «Берег Восхода». Критика направлена против сведения всей экономической стратегии к одному этому </w:t>
      </w:r>
      <w:r w:rsidRPr="00F67FAE">
        <w:rPr>
          <w:rFonts w:ascii="Times New Roman" w:hAnsi="Times New Roman"/>
          <w:color w:val="000000"/>
          <w:sz w:val="28"/>
          <w:lang w:val="ru-RU"/>
        </w:rPr>
        <w:lastRenderedPageBreak/>
        <w:t xml:space="preserve">направлению. Тезис «100 заводов спасут экономику» — политически привлекательный, но аналитически несостоятельный. Необходима принципиально иная модель: </w:t>
      </w:r>
      <w:proofErr w:type="spellStart"/>
      <w:r w:rsidRPr="00F67FAE">
        <w:rPr>
          <w:rFonts w:ascii="Times New Roman" w:hAnsi="Times New Roman"/>
          <w:color w:val="000000"/>
          <w:sz w:val="28"/>
          <w:lang w:val="ru-RU"/>
        </w:rPr>
        <w:t>многокластерная</w:t>
      </w:r>
      <w:proofErr w:type="spellEnd"/>
      <w:r w:rsidRPr="00F67FAE">
        <w:rPr>
          <w:rFonts w:ascii="Times New Roman" w:hAnsi="Times New Roman"/>
          <w:color w:val="000000"/>
          <w:sz w:val="28"/>
          <w:lang w:val="ru-RU"/>
        </w:rPr>
        <w:t>, платформенно-координируемая, институционально устойчивая.</w:t>
      </w:r>
    </w:p>
    <w:p w14:paraId="74C9E015" w14:textId="77777777" w:rsidR="00D25C93" w:rsidRPr="00F67FAE" w:rsidRDefault="00000000">
      <w:pPr>
        <w:spacing w:after="0" w:line="440" w:lineRule="exact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Таблица 2. Сравнительный анализ моноотраслевой и </w:t>
      </w:r>
      <w:proofErr w:type="spellStart"/>
      <w:r w:rsidRPr="00F67FAE">
        <w:rPr>
          <w:rFonts w:ascii="Times New Roman" w:hAnsi="Times New Roman"/>
          <w:color w:val="000000"/>
          <w:sz w:val="28"/>
          <w:lang w:val="ru-RU"/>
        </w:rPr>
        <w:t>мультисекторальной</w:t>
      </w:r>
      <w:proofErr w:type="spellEnd"/>
      <w:r w:rsidRPr="00F67FAE">
        <w:rPr>
          <w:rFonts w:ascii="Times New Roman" w:hAnsi="Times New Roman"/>
          <w:color w:val="000000"/>
          <w:sz w:val="28"/>
          <w:lang w:val="ru-RU"/>
        </w:rPr>
        <w:t xml:space="preserve"> стратегий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D25C93" w14:paraId="5814436A" w14:textId="77777777">
        <w:trPr>
          <w:jc w:val="center"/>
        </w:trPr>
        <w:tc>
          <w:tcPr>
            <w:tcW w:w="3118" w:type="dxa"/>
            <w:shd w:val="clear" w:color="auto" w:fill="1A5276"/>
          </w:tcPr>
          <w:p w14:paraId="7FA6751E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Параметр</w:t>
            </w:r>
          </w:p>
        </w:tc>
        <w:tc>
          <w:tcPr>
            <w:tcW w:w="3118" w:type="dxa"/>
            <w:shd w:val="clear" w:color="auto" w:fill="1A5276"/>
          </w:tcPr>
          <w:p w14:paraId="2FE80AE4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Стратегия «100 заводов какао»</w:t>
            </w:r>
          </w:p>
        </w:tc>
        <w:tc>
          <w:tcPr>
            <w:tcW w:w="3118" w:type="dxa"/>
            <w:shd w:val="clear" w:color="auto" w:fill="1A5276"/>
          </w:tcPr>
          <w:p w14:paraId="73F6A491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Платформа «Берег Восхода»</w:t>
            </w:r>
          </w:p>
        </w:tc>
      </w:tr>
      <w:tr w:rsidR="00D25C93" w14:paraId="29BD2457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1C6B1359" w14:textId="77777777" w:rsidR="00D25C93" w:rsidRDefault="00000000">
            <w:r>
              <w:rPr>
                <w:rFonts w:ascii="Times New Roman" w:hAnsi="Times New Roman"/>
                <w:sz w:val="20"/>
              </w:rPr>
              <w:t>Прирост добавленной стоимости</w:t>
            </w:r>
          </w:p>
        </w:tc>
        <w:tc>
          <w:tcPr>
            <w:tcW w:w="3118" w:type="dxa"/>
            <w:shd w:val="clear" w:color="auto" w:fill="FFFFFF"/>
          </w:tcPr>
          <w:p w14:paraId="52D20F01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≤ 0,88 млрд USD</w:t>
            </w:r>
          </w:p>
        </w:tc>
        <w:tc>
          <w:tcPr>
            <w:tcW w:w="3118" w:type="dxa"/>
            <w:shd w:val="clear" w:color="auto" w:fill="FFFFFF"/>
          </w:tcPr>
          <w:p w14:paraId="5F9672C0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≈ 11,7 млрд USD</w:t>
            </w:r>
          </w:p>
        </w:tc>
      </w:tr>
      <w:tr w:rsidR="00D25C93" w14:paraId="27313AB5" w14:textId="77777777">
        <w:trPr>
          <w:jc w:val="center"/>
        </w:trPr>
        <w:tc>
          <w:tcPr>
            <w:tcW w:w="3118" w:type="dxa"/>
            <w:shd w:val="clear" w:color="auto" w:fill="EBF5FB"/>
          </w:tcPr>
          <w:p w14:paraId="5827E95B" w14:textId="77777777" w:rsidR="00D25C93" w:rsidRDefault="00000000">
            <w:r>
              <w:rPr>
                <w:rFonts w:ascii="Times New Roman" w:hAnsi="Times New Roman"/>
                <w:sz w:val="20"/>
              </w:rPr>
              <w:t>Доля в ВВП</w:t>
            </w:r>
          </w:p>
        </w:tc>
        <w:tc>
          <w:tcPr>
            <w:tcW w:w="3118" w:type="dxa"/>
            <w:shd w:val="clear" w:color="auto" w:fill="EBF5FB"/>
          </w:tcPr>
          <w:p w14:paraId="0E303A67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≤ 1,0%</w:t>
            </w:r>
          </w:p>
        </w:tc>
        <w:tc>
          <w:tcPr>
            <w:tcW w:w="3118" w:type="dxa"/>
            <w:shd w:val="clear" w:color="auto" w:fill="EBF5FB"/>
          </w:tcPr>
          <w:p w14:paraId="6B3D3BEF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≈ 13,6%</w:t>
            </w:r>
          </w:p>
        </w:tc>
      </w:tr>
      <w:tr w:rsidR="00D25C93" w14:paraId="4610AA37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26A60766" w14:textId="77777777" w:rsidR="00D25C93" w:rsidRDefault="00000000">
            <w:r>
              <w:rPr>
                <w:rFonts w:ascii="Times New Roman" w:hAnsi="Times New Roman"/>
                <w:sz w:val="20"/>
              </w:rPr>
              <w:t>Суммарный CAPEX</w:t>
            </w:r>
          </w:p>
        </w:tc>
        <w:tc>
          <w:tcPr>
            <w:tcW w:w="3118" w:type="dxa"/>
            <w:shd w:val="clear" w:color="auto" w:fill="FFFFFF"/>
          </w:tcPr>
          <w:p w14:paraId="4A769F22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≈ 2,5–3,0 млрд USD</w:t>
            </w:r>
          </w:p>
        </w:tc>
        <w:tc>
          <w:tcPr>
            <w:tcW w:w="3118" w:type="dxa"/>
            <w:shd w:val="clear" w:color="auto" w:fill="FFFFFF"/>
          </w:tcPr>
          <w:p w14:paraId="43C3B557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≈ 7–8 млрд USD</w:t>
            </w:r>
          </w:p>
        </w:tc>
      </w:tr>
      <w:tr w:rsidR="00D25C93" w14:paraId="7BB5352D" w14:textId="77777777">
        <w:trPr>
          <w:jc w:val="center"/>
        </w:trPr>
        <w:tc>
          <w:tcPr>
            <w:tcW w:w="3118" w:type="dxa"/>
            <w:shd w:val="clear" w:color="auto" w:fill="EBF5FB"/>
          </w:tcPr>
          <w:p w14:paraId="085ED122" w14:textId="77777777" w:rsidR="00D25C93" w:rsidRDefault="00000000">
            <w:r>
              <w:rPr>
                <w:rFonts w:ascii="Times New Roman" w:hAnsi="Times New Roman"/>
                <w:sz w:val="20"/>
              </w:rPr>
              <w:t>ROI стратегии</w:t>
            </w:r>
          </w:p>
        </w:tc>
        <w:tc>
          <w:tcPr>
            <w:tcW w:w="3118" w:type="dxa"/>
            <w:shd w:val="clear" w:color="auto" w:fill="EBF5FB"/>
          </w:tcPr>
          <w:p w14:paraId="3889ADF7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≈ 32%</w:t>
            </w:r>
          </w:p>
        </w:tc>
        <w:tc>
          <w:tcPr>
            <w:tcW w:w="3118" w:type="dxa"/>
            <w:shd w:val="clear" w:color="auto" w:fill="EBF5FB"/>
          </w:tcPr>
          <w:p w14:paraId="14E3A171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≈ 156%</w:t>
            </w:r>
          </w:p>
        </w:tc>
      </w:tr>
      <w:tr w:rsidR="00D25C93" w:rsidRPr="00454D39" w14:paraId="451EC850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71C60A56" w14:textId="77777777" w:rsidR="00D25C93" w:rsidRDefault="00000000">
            <w:r>
              <w:rPr>
                <w:rFonts w:ascii="Times New Roman" w:hAnsi="Times New Roman"/>
                <w:sz w:val="20"/>
              </w:rPr>
              <w:t>Охват секторов</w:t>
            </w:r>
          </w:p>
        </w:tc>
        <w:tc>
          <w:tcPr>
            <w:tcW w:w="3118" w:type="dxa"/>
            <w:shd w:val="clear" w:color="auto" w:fill="FFFFFF"/>
          </w:tcPr>
          <w:p w14:paraId="55878358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 (агро)</w:t>
            </w:r>
          </w:p>
        </w:tc>
        <w:tc>
          <w:tcPr>
            <w:tcW w:w="3118" w:type="dxa"/>
            <w:shd w:val="clear" w:color="auto" w:fill="FFFFFF"/>
          </w:tcPr>
          <w:p w14:paraId="4AC6BBC8" w14:textId="77777777" w:rsidR="00D25C93" w:rsidRPr="00F67FAE" w:rsidRDefault="00000000">
            <w:pPr>
              <w:jc w:val="center"/>
              <w:rPr>
                <w:lang w:val="ru-RU"/>
              </w:rPr>
            </w:pPr>
            <w:r w:rsidRPr="00F67FAE">
              <w:rPr>
                <w:rFonts w:ascii="Times New Roman" w:hAnsi="Times New Roman"/>
                <w:sz w:val="20"/>
                <w:lang w:val="ru-RU"/>
              </w:rPr>
              <w:t>5 (</w:t>
            </w:r>
            <w:proofErr w:type="spellStart"/>
            <w:r w:rsidRPr="00F67FAE">
              <w:rPr>
                <w:rFonts w:ascii="Times New Roman" w:hAnsi="Times New Roman"/>
                <w:sz w:val="20"/>
                <w:lang w:val="ru-RU"/>
              </w:rPr>
              <w:t>агро</w:t>
            </w:r>
            <w:proofErr w:type="spellEnd"/>
            <w:r w:rsidRPr="00F67FAE">
              <w:rPr>
                <w:rFonts w:ascii="Times New Roman" w:hAnsi="Times New Roman"/>
                <w:sz w:val="20"/>
                <w:lang w:val="ru-RU"/>
              </w:rPr>
              <w:t>, логистика, пром., цифра, туризм)</w:t>
            </w:r>
          </w:p>
        </w:tc>
      </w:tr>
      <w:tr w:rsidR="00D25C93" w14:paraId="20D6EEF6" w14:textId="77777777">
        <w:trPr>
          <w:jc w:val="center"/>
        </w:trPr>
        <w:tc>
          <w:tcPr>
            <w:tcW w:w="3118" w:type="dxa"/>
            <w:shd w:val="clear" w:color="auto" w:fill="EBF5FB"/>
          </w:tcPr>
          <w:p w14:paraId="48F78B0A" w14:textId="77777777" w:rsidR="00D25C93" w:rsidRDefault="00000000">
            <w:proofErr w:type="spellStart"/>
            <w:r>
              <w:rPr>
                <w:rFonts w:ascii="Times New Roman" w:hAnsi="Times New Roman"/>
                <w:sz w:val="20"/>
              </w:rPr>
              <w:t>Устойчивость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к </w:t>
            </w:r>
            <w:proofErr w:type="spellStart"/>
            <w:r>
              <w:rPr>
                <w:rFonts w:ascii="Times New Roman" w:hAnsi="Times New Roman"/>
                <w:sz w:val="20"/>
              </w:rPr>
              <w:t>шокам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цен</w:t>
            </w:r>
            <w:proofErr w:type="spellEnd"/>
          </w:p>
        </w:tc>
        <w:tc>
          <w:tcPr>
            <w:tcW w:w="3118" w:type="dxa"/>
            <w:shd w:val="clear" w:color="auto" w:fill="EBF5FB"/>
          </w:tcPr>
          <w:p w14:paraId="5B9DE0A3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Низкая</w:t>
            </w:r>
          </w:p>
        </w:tc>
        <w:tc>
          <w:tcPr>
            <w:tcW w:w="3118" w:type="dxa"/>
            <w:shd w:val="clear" w:color="auto" w:fill="EBF5FB"/>
          </w:tcPr>
          <w:p w14:paraId="52BFBD88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Высокая (диверсификация)</w:t>
            </w:r>
          </w:p>
        </w:tc>
      </w:tr>
      <w:tr w:rsidR="00D25C93" w14:paraId="28D24CE6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709A2410" w14:textId="77777777" w:rsidR="00D25C93" w:rsidRDefault="00000000">
            <w:r>
              <w:rPr>
                <w:rFonts w:ascii="Times New Roman" w:hAnsi="Times New Roman"/>
                <w:sz w:val="20"/>
              </w:rPr>
              <w:t>Технологический spillover</w:t>
            </w:r>
          </w:p>
        </w:tc>
        <w:tc>
          <w:tcPr>
            <w:tcW w:w="3118" w:type="dxa"/>
            <w:shd w:val="clear" w:color="auto" w:fill="FFFFFF"/>
          </w:tcPr>
          <w:p w14:paraId="64666BB4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Минимальный</w:t>
            </w:r>
          </w:p>
        </w:tc>
        <w:tc>
          <w:tcPr>
            <w:tcW w:w="3118" w:type="dxa"/>
            <w:shd w:val="clear" w:color="auto" w:fill="FFFFFF"/>
          </w:tcPr>
          <w:p w14:paraId="483EB5D3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Высокий (платформенный эффект)</w:t>
            </w:r>
          </w:p>
        </w:tc>
      </w:tr>
      <w:tr w:rsidR="00D25C93" w14:paraId="7C90D522" w14:textId="77777777">
        <w:trPr>
          <w:jc w:val="center"/>
        </w:trPr>
        <w:tc>
          <w:tcPr>
            <w:tcW w:w="3118" w:type="dxa"/>
            <w:shd w:val="clear" w:color="auto" w:fill="EBF5FB"/>
          </w:tcPr>
          <w:p w14:paraId="26DCE6F4" w14:textId="77777777" w:rsidR="00D25C93" w:rsidRDefault="00000000">
            <w:r>
              <w:rPr>
                <w:rFonts w:ascii="Times New Roman" w:hAnsi="Times New Roman"/>
                <w:sz w:val="20"/>
              </w:rPr>
              <w:t>ESG-соответствие</w:t>
            </w:r>
          </w:p>
        </w:tc>
        <w:tc>
          <w:tcPr>
            <w:tcW w:w="3118" w:type="dxa"/>
            <w:shd w:val="clear" w:color="auto" w:fill="EBF5FB"/>
          </w:tcPr>
          <w:p w14:paraId="0394D87D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Частичное</w:t>
            </w:r>
          </w:p>
        </w:tc>
        <w:tc>
          <w:tcPr>
            <w:tcW w:w="3118" w:type="dxa"/>
            <w:shd w:val="clear" w:color="auto" w:fill="EBF5FB"/>
          </w:tcPr>
          <w:p w14:paraId="0041EF95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Полное (трейсабилити цепочек)</w:t>
            </w:r>
          </w:p>
        </w:tc>
      </w:tr>
      <w:tr w:rsidR="00D25C93" w14:paraId="02A38F35" w14:textId="77777777">
        <w:trPr>
          <w:jc w:val="center"/>
        </w:trPr>
        <w:tc>
          <w:tcPr>
            <w:tcW w:w="3118" w:type="dxa"/>
            <w:shd w:val="clear" w:color="auto" w:fill="FFFFFF"/>
          </w:tcPr>
          <w:p w14:paraId="5B4D676C" w14:textId="77777777" w:rsidR="00D25C93" w:rsidRDefault="00000000">
            <w:r>
              <w:rPr>
                <w:rFonts w:ascii="Times New Roman" w:hAnsi="Times New Roman"/>
                <w:sz w:val="20"/>
              </w:rPr>
              <w:t>Горизонт окупаемости</w:t>
            </w:r>
          </w:p>
        </w:tc>
        <w:tc>
          <w:tcPr>
            <w:tcW w:w="3118" w:type="dxa"/>
            <w:shd w:val="clear" w:color="auto" w:fill="FFFFFF"/>
          </w:tcPr>
          <w:p w14:paraId="43857C04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7–10 лет</w:t>
            </w:r>
          </w:p>
        </w:tc>
        <w:tc>
          <w:tcPr>
            <w:tcW w:w="3118" w:type="dxa"/>
            <w:shd w:val="clear" w:color="auto" w:fill="FFFFFF"/>
          </w:tcPr>
          <w:p w14:paraId="72F380DD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8–12 лет</w:t>
            </w:r>
          </w:p>
        </w:tc>
      </w:tr>
      <w:tr w:rsidR="00D25C93" w14:paraId="216026FA" w14:textId="77777777">
        <w:trPr>
          <w:jc w:val="center"/>
        </w:trPr>
        <w:tc>
          <w:tcPr>
            <w:tcW w:w="3118" w:type="dxa"/>
            <w:shd w:val="clear" w:color="auto" w:fill="EBF5FB"/>
          </w:tcPr>
          <w:p w14:paraId="57B98D8A" w14:textId="77777777" w:rsidR="00D25C93" w:rsidRDefault="00000000">
            <w:r>
              <w:rPr>
                <w:rFonts w:ascii="Times New Roman" w:hAnsi="Times New Roman"/>
                <w:sz w:val="20"/>
              </w:rPr>
              <w:t>Мультипликатор занятости</w:t>
            </w:r>
          </w:p>
        </w:tc>
        <w:tc>
          <w:tcPr>
            <w:tcW w:w="3118" w:type="dxa"/>
            <w:shd w:val="clear" w:color="auto" w:fill="EBF5FB"/>
          </w:tcPr>
          <w:p w14:paraId="0477C433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1:3</w:t>
            </w:r>
          </w:p>
        </w:tc>
        <w:tc>
          <w:tcPr>
            <w:tcW w:w="3118" w:type="dxa"/>
            <w:shd w:val="clear" w:color="auto" w:fill="EBF5FB"/>
          </w:tcPr>
          <w:p w14:paraId="01AE9393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1:7–9 (по всем кластерам)</w:t>
            </w:r>
          </w:p>
        </w:tc>
      </w:tr>
    </w:tbl>
    <w:p w14:paraId="00C3FD9F" w14:textId="77777777" w:rsidR="00D25C93" w:rsidRDefault="00D25C93"/>
    <w:p w14:paraId="79E57B19" w14:textId="77777777" w:rsidR="00D25C93" w:rsidRPr="00F67FAE" w:rsidRDefault="00000000">
      <w:pPr>
        <w:spacing w:after="0" w:line="440" w:lineRule="exact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Источник: авторские расчёты на основе данных [7; 9; 11; 12].</w:t>
      </w:r>
    </w:p>
    <w:p w14:paraId="73B07314" w14:textId="77777777" w:rsidR="00D25C93" w:rsidRPr="00F67FAE" w:rsidRDefault="00D25C93">
      <w:pPr>
        <w:spacing w:after="0" w:line="440" w:lineRule="exact"/>
        <w:ind w:firstLine="709"/>
        <w:jc w:val="both"/>
        <w:rPr>
          <w:lang w:val="ru-RU"/>
        </w:rPr>
      </w:pPr>
    </w:p>
    <w:p w14:paraId="533BBB87" w14:textId="77777777" w:rsidR="00D25C93" w:rsidRPr="00F67FAE" w:rsidRDefault="00000000">
      <w:pPr>
        <w:spacing w:before="200" w:after="120" w:line="440" w:lineRule="exact"/>
        <w:rPr>
          <w:lang w:val="ru-RU"/>
        </w:rPr>
      </w:pPr>
      <w:r w:rsidRPr="00F67FAE">
        <w:rPr>
          <w:rFonts w:ascii="Times New Roman" w:hAnsi="Times New Roman"/>
          <w:b/>
          <w:i/>
          <w:color w:val="2E4A62"/>
          <w:sz w:val="28"/>
          <w:lang w:val="ru-RU"/>
        </w:rPr>
        <w:t>2.1.4. Архитектура цифровой платформы «Берег Восхода»:</w:t>
      </w:r>
      <w:r w:rsidRPr="00F67FAE">
        <w:rPr>
          <w:rFonts w:ascii="Times New Roman" w:hAnsi="Times New Roman"/>
          <w:b/>
          <w:i/>
          <w:color w:val="2E4A62"/>
          <w:sz w:val="28"/>
          <w:lang w:val="ru-RU"/>
        </w:rPr>
        <w:br/>
        <w:t>теоретическое обоснование и функциональная модель</w:t>
      </w:r>
    </w:p>
    <w:p w14:paraId="35960E39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Понятие «цифровая платформа» в контексте данного исследования используется в строгом экономическом смысле, отличном от его технологической интерпретации. Мы определяем платформу как многостороннюю цифровую экосистему, создающую ценность за счёт снижения транзакционных издержек взаимодействия между производителями, посредниками, финансовыми агентами и регуляторами, координации кластерного развития и генерации сетевых внешних эффектов [4; 9; 14]. Платформа в данном понимании является не техническим инструментом, а институциональным механизмом организации экономического пространства.</w:t>
      </w:r>
    </w:p>
    <w:p w14:paraId="58AC74ED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Цифровая платформа «Берег Восхода» строится на шести функциональных модулях, взаимодействие которых порождает системный </w:t>
      </w:r>
      <w:r w:rsidRPr="00F67FAE">
        <w:rPr>
          <w:rFonts w:ascii="Times New Roman" w:hAnsi="Times New Roman"/>
          <w:color w:val="000000"/>
          <w:sz w:val="28"/>
          <w:lang w:val="ru-RU"/>
        </w:rPr>
        <w:lastRenderedPageBreak/>
        <w:t>эффект, несводимый к сумме отдельных воздействий каждого модуля. Функция платформы в общем виде записывается следующим образом:</w:t>
      </w:r>
    </w:p>
    <w:p w14:paraId="6B0E883A" w14:textId="51FFE1AD" w:rsidR="00D25C93" w:rsidRPr="00F67FAE" w:rsidRDefault="003200B4">
      <w:pPr>
        <w:spacing w:before="80" w:after="80" w:line="440" w:lineRule="exact"/>
        <w:jc w:val="center"/>
        <w:rPr>
          <w:lang w:val="ru-RU"/>
        </w:rPr>
      </w:pPr>
      <m:oMath>
        <m:r>
          <w:rPr>
            <w:rFonts w:ascii="Cambria Math" w:hAnsi="Cambria Math"/>
            <w:sz w:val="28"/>
          </w:rPr>
          <m:t>P</m:t>
        </m:r>
        <m:r>
          <w:rPr>
            <w:rFonts w:ascii="Cambria Math" w:hAnsi="Cambria Math"/>
            <w:sz w:val="28"/>
            <w:lang w:val="ru-RU"/>
          </w:rPr>
          <m:t>=</m:t>
        </m:r>
        <m:r>
          <w:rPr>
            <w:rFonts w:ascii="Cambria Math" w:hAnsi="Cambria Math"/>
            <w:sz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</w:rPr>
              <m:t>C</m:t>
            </m:r>
            <m:r>
              <w:rPr>
                <w:rFonts w:ascii="Cambria Math" w:hAnsi="Cambria Math"/>
                <w:sz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</w:rPr>
              <m:t>F</m:t>
            </m:r>
            <m:r>
              <w:rPr>
                <w:rFonts w:ascii="Cambria Math" w:hAnsi="Cambria Math"/>
                <w:sz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</w:rPr>
              <m:t>T</m:t>
            </m:r>
            <m:r>
              <w:rPr>
                <w:rFonts w:ascii="Cambria Math" w:hAnsi="Cambria Math"/>
                <w:sz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</w:rPr>
              <m:t>L</m:t>
            </m:r>
            <m:r>
              <w:rPr>
                <w:rFonts w:ascii="Cambria Math" w:hAnsi="Cambria Math"/>
                <w:sz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</w:rPr>
              <m:t>D</m:t>
            </m:r>
            <m:r>
              <w:rPr>
                <w:rFonts w:ascii="Cambria Math" w:hAnsi="Cambria Math"/>
                <w:sz w:val="28"/>
                <w:lang w:val="ru-RU"/>
              </w:rPr>
              <m:t>,</m:t>
            </m:r>
            <m:r>
              <w:rPr>
                <w:rFonts w:ascii="Cambria Math" w:hAnsi="Cambria Math"/>
                <w:sz w:val="28"/>
              </w:rPr>
              <m:t>G</m:t>
            </m:r>
          </m:e>
        </m:d>
      </m:oMath>
      <w:r w:rsidRPr="00F67FAE">
        <w:rPr>
          <w:rFonts w:ascii="Times New Roman" w:hAnsi="Times New Roman"/>
          <w:sz w:val="24"/>
          <w:lang w:val="ru-RU"/>
        </w:rPr>
        <w:t xml:space="preserve">  (2.5)</w:t>
      </w:r>
    </w:p>
    <w:p w14:paraId="278D1AFF" w14:textId="77777777" w:rsidR="00D25C93" w:rsidRPr="00F67FAE" w:rsidRDefault="00000000">
      <w:pPr>
        <w:spacing w:after="0" w:line="440" w:lineRule="exact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где:</w:t>
      </w:r>
      <w:r w:rsidRPr="00F67FAE">
        <w:rPr>
          <w:rFonts w:ascii="Times New Roman" w:hAnsi="Times New Roman"/>
          <w:color w:val="000000"/>
          <w:sz w:val="28"/>
          <w:lang w:val="ru-RU"/>
        </w:rPr>
        <w:br/>
      </w:r>
      <w:r>
        <w:rPr>
          <w:rFonts w:ascii="Times New Roman" w:hAnsi="Times New Roman"/>
          <w:color w:val="000000"/>
          <w:sz w:val="28"/>
        </w:rPr>
        <w:t>C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— </w:t>
      </w:r>
      <w:r>
        <w:rPr>
          <w:rFonts w:ascii="Times New Roman" w:hAnsi="Times New Roman"/>
          <w:color w:val="000000"/>
          <w:sz w:val="28"/>
        </w:rPr>
        <w:t>Contract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Management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(модуль управления контрактами);</w:t>
      </w:r>
      <w:r w:rsidRPr="00F67FAE">
        <w:rPr>
          <w:rFonts w:ascii="Times New Roman" w:hAnsi="Times New Roman"/>
          <w:color w:val="000000"/>
          <w:sz w:val="28"/>
          <w:lang w:val="ru-RU"/>
        </w:rPr>
        <w:br/>
      </w:r>
      <w:r>
        <w:rPr>
          <w:rFonts w:ascii="Times New Roman" w:hAnsi="Times New Roman"/>
          <w:color w:val="000000"/>
          <w:sz w:val="28"/>
        </w:rPr>
        <w:t>F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— </w:t>
      </w:r>
      <w:r>
        <w:rPr>
          <w:rFonts w:ascii="Times New Roman" w:hAnsi="Times New Roman"/>
          <w:color w:val="000000"/>
          <w:sz w:val="28"/>
        </w:rPr>
        <w:t>Finance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&amp; </w:t>
      </w:r>
      <w:r>
        <w:rPr>
          <w:rFonts w:ascii="Times New Roman" w:hAnsi="Times New Roman"/>
          <w:color w:val="000000"/>
          <w:sz w:val="28"/>
        </w:rPr>
        <w:t>Fintech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(финансовое посредничество и смарт-финансирование);</w:t>
      </w:r>
      <w:r w:rsidRPr="00F67FAE">
        <w:rPr>
          <w:rFonts w:ascii="Times New Roman" w:hAnsi="Times New Roman"/>
          <w:color w:val="000000"/>
          <w:sz w:val="28"/>
          <w:lang w:val="ru-RU"/>
        </w:rPr>
        <w:br/>
      </w:r>
      <w:r>
        <w:rPr>
          <w:rFonts w:ascii="Times New Roman" w:hAnsi="Times New Roman"/>
          <w:color w:val="000000"/>
          <w:sz w:val="28"/>
        </w:rPr>
        <w:t>T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— </w:t>
      </w:r>
      <w:r>
        <w:rPr>
          <w:rFonts w:ascii="Times New Roman" w:hAnsi="Times New Roman"/>
          <w:color w:val="000000"/>
          <w:sz w:val="28"/>
        </w:rPr>
        <w:t>Traceability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(блокчейн-прослеживаемость цепочек поставок);</w:t>
      </w:r>
      <w:r w:rsidRPr="00F67FAE">
        <w:rPr>
          <w:rFonts w:ascii="Times New Roman" w:hAnsi="Times New Roman"/>
          <w:color w:val="000000"/>
          <w:sz w:val="28"/>
          <w:lang w:val="ru-RU"/>
        </w:rPr>
        <w:br/>
      </w:r>
      <w:r>
        <w:rPr>
          <w:rFonts w:ascii="Times New Roman" w:hAnsi="Times New Roman"/>
          <w:color w:val="000000"/>
          <w:sz w:val="28"/>
        </w:rPr>
        <w:t>L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— </w:t>
      </w:r>
      <w:r>
        <w:rPr>
          <w:rFonts w:ascii="Times New Roman" w:hAnsi="Times New Roman"/>
          <w:color w:val="000000"/>
          <w:sz w:val="28"/>
        </w:rPr>
        <w:t>Logistics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Coordination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(координация логистики и грузопотоков);</w:t>
      </w:r>
      <w:r w:rsidRPr="00F67FAE">
        <w:rPr>
          <w:rFonts w:ascii="Times New Roman" w:hAnsi="Times New Roman"/>
          <w:color w:val="000000"/>
          <w:sz w:val="28"/>
          <w:lang w:val="ru-RU"/>
        </w:rPr>
        <w:br/>
      </w:r>
      <w:r>
        <w:rPr>
          <w:rFonts w:ascii="Times New Roman" w:hAnsi="Times New Roman"/>
          <w:color w:val="000000"/>
          <w:sz w:val="28"/>
        </w:rPr>
        <w:t>D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— </w:t>
      </w:r>
      <w:r>
        <w:rPr>
          <w:rFonts w:ascii="Times New Roman" w:hAnsi="Times New Roman"/>
          <w:color w:val="000000"/>
          <w:sz w:val="28"/>
        </w:rPr>
        <w:t>Data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&amp; </w:t>
      </w:r>
      <w:r>
        <w:rPr>
          <w:rFonts w:ascii="Times New Roman" w:hAnsi="Times New Roman"/>
          <w:color w:val="000000"/>
          <w:sz w:val="28"/>
        </w:rPr>
        <w:t>AI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Analytics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(аналитика данных и предиктивное управление);</w:t>
      </w:r>
      <w:r w:rsidRPr="00F67FAE">
        <w:rPr>
          <w:rFonts w:ascii="Times New Roman" w:hAnsi="Times New Roman"/>
          <w:color w:val="000000"/>
          <w:sz w:val="28"/>
          <w:lang w:val="ru-RU"/>
        </w:rPr>
        <w:br/>
      </w:r>
      <w:r>
        <w:rPr>
          <w:rFonts w:ascii="Times New Roman" w:hAnsi="Times New Roman"/>
          <w:color w:val="000000"/>
          <w:sz w:val="28"/>
        </w:rPr>
        <w:t>G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— </w:t>
      </w:r>
      <w:r>
        <w:rPr>
          <w:rFonts w:ascii="Times New Roman" w:hAnsi="Times New Roman"/>
          <w:color w:val="000000"/>
          <w:sz w:val="28"/>
        </w:rPr>
        <w:t>Governance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&amp; </w:t>
      </w:r>
      <w:r>
        <w:rPr>
          <w:rFonts w:ascii="Times New Roman" w:hAnsi="Times New Roman"/>
          <w:color w:val="000000"/>
          <w:sz w:val="28"/>
        </w:rPr>
        <w:t>Compliance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(регуляторный и институциональный модуль).</w:t>
      </w:r>
    </w:p>
    <w:p w14:paraId="6B518146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Каждый модуль снижает транзакционные издержки в конкретном домене взаимодействия. Совокупный эффект платформы на транзакционные издержки описывается следующим образом:</w:t>
      </w:r>
    </w:p>
    <w:p w14:paraId="30D95610" w14:textId="06E45AD6" w:rsidR="00D25C93" w:rsidRPr="00F67FAE" w:rsidRDefault="00F67FAE">
      <w:pPr>
        <w:spacing w:before="80" w:after="80" w:line="440" w:lineRule="exact"/>
        <w:jc w:val="center"/>
        <w:rPr>
          <w:lang w:val="ru-RU"/>
        </w:rPr>
      </w:pPr>
      <m:oMath>
        <m:r>
          <w:rPr>
            <w:rFonts w:ascii="Cambria Math" w:hAnsi="Cambria Math"/>
            <w:sz w:val="28"/>
          </w:rPr>
          <m:t>ΔT</m:t>
        </m:r>
        <m:sSub>
          <m:sSubPr>
            <m:ctrlPr>
              <w:rPr>
                <w:rFonts w:ascii="Cambria Math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C</m:t>
            </m:r>
            <m:ctrlPr>
              <w:rPr>
                <w:rFonts w:ascii="Cambria Math" w:hAnsi="Cambria Math"/>
                <w:i/>
                <w:sz w:val="28"/>
              </w:rPr>
            </m:ctrlPr>
          </m:e>
          <m:sub>
            <m:r>
              <w:rPr>
                <w:rFonts w:ascii="Cambria Math" w:hAnsi="Cambria Math"/>
                <w:sz w:val="28"/>
              </w:rPr>
              <m:t>t</m:t>
            </m:r>
          </m:sub>
        </m:sSub>
        <m:r>
          <w:rPr>
            <w:rFonts w:ascii="Cambria Math" w:hAnsi="Cambria Math"/>
            <w:sz w:val="28"/>
          </w:rPr>
          <m:t>otal</m:t>
        </m:r>
        <m:r>
          <w:rPr>
            <w:rFonts w:ascii="Cambria Math" w:hAnsi="Cambria Math"/>
            <w:sz w:val="28"/>
            <w:lang w:val="ru-RU"/>
          </w:rPr>
          <m:t>=</m:t>
        </m:r>
        <m:r>
          <w:rPr>
            <w:rFonts w:ascii="Cambria Math" w:hAnsi="Cambria Math"/>
            <w:sz w:val="28"/>
          </w:rPr>
          <m:t>Σᵢαᵢ</m:t>
        </m:r>
        <m:r>
          <w:rPr>
            <w:rFonts w:ascii="Cambria Math" w:hAnsi="Cambria Math"/>
            <w:sz w:val="28"/>
            <w:lang w:val="ru-RU"/>
          </w:rPr>
          <m:t>×</m:t>
        </m:r>
        <m:r>
          <w:rPr>
            <w:rFonts w:ascii="Cambria Math" w:hAnsi="Cambria Math"/>
            <w:sz w:val="28"/>
          </w:rPr>
          <m:t>T</m:t>
        </m:r>
        <m:sSub>
          <m:sSubPr>
            <m:ctrlPr>
              <w:rPr>
                <w:rFonts w:ascii="Cambria Math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C</m:t>
            </m:r>
            <m:ctrlPr>
              <w:rPr>
                <w:rFonts w:ascii="Cambria Math" w:hAnsi="Cambria Math"/>
                <w:i/>
                <w:sz w:val="28"/>
              </w:rPr>
            </m:ctrlPr>
          </m:e>
          <m:sub>
            <m:r>
              <w:rPr>
                <w:rFonts w:ascii="Cambria Math" w:hAnsi="Cambria Math"/>
                <w:sz w:val="28"/>
              </w:rPr>
              <m:t>i</m:t>
            </m:r>
          </m:sub>
        </m:sSub>
        <m:r>
          <w:rPr>
            <w:rFonts w:ascii="Cambria Math" w:hAnsi="Cambria Math"/>
            <w:sz w:val="28"/>
            <w:lang w:val="ru-RU"/>
          </w:rPr>
          <m:t>,0×</m:t>
        </m:r>
        <m:d>
          <m:dPr>
            <m:ctrlPr>
              <w:rPr>
                <w:rFonts w:ascii="Cambria Math" w:hAnsi="Cambria Math"/>
                <w:i/>
                <w:sz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  <w:lang w:val="ru-RU"/>
              </w:rPr>
              <m:t>1-</m:t>
            </m:r>
            <m:r>
              <w:rPr>
                <w:rFonts w:ascii="Cambria Math" w:hAnsi="Cambria Math"/>
                <w:sz w:val="28"/>
              </w:rPr>
              <m:t>eᵢ</m:t>
            </m:r>
          </m:e>
        </m:d>
      </m:oMath>
      <w:r w:rsidRPr="00F67FAE">
        <w:rPr>
          <w:rFonts w:ascii="Times New Roman" w:hAnsi="Times New Roman"/>
          <w:sz w:val="24"/>
          <w:lang w:val="ru-RU"/>
        </w:rPr>
        <w:t xml:space="preserve">  (2.6)</w:t>
      </w:r>
    </w:p>
    <w:p w14:paraId="1CC77291" w14:textId="77777777" w:rsidR="00D25C93" w:rsidRPr="00F67FAE" w:rsidRDefault="00000000">
      <w:pPr>
        <w:spacing w:after="0" w:line="440" w:lineRule="exact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где:</w:t>
      </w:r>
      <w:r w:rsidRPr="00F67FAE">
        <w:rPr>
          <w:rFonts w:ascii="Times New Roman" w:hAnsi="Times New Roman"/>
          <w:color w:val="000000"/>
          <w:sz w:val="28"/>
          <w:lang w:val="ru-RU"/>
        </w:rPr>
        <w:br/>
      </w:r>
      <w:r>
        <w:rPr>
          <w:rFonts w:ascii="Times New Roman" w:hAnsi="Times New Roman"/>
          <w:color w:val="000000"/>
          <w:sz w:val="28"/>
        </w:rPr>
        <w:t>TC</w:t>
      </w:r>
      <w:r w:rsidRPr="00F67FAE">
        <w:rPr>
          <w:rFonts w:ascii="Times New Roman" w:hAnsi="Times New Roman"/>
          <w:color w:val="000000"/>
          <w:sz w:val="28"/>
          <w:lang w:val="ru-RU"/>
        </w:rPr>
        <w:t>_</w:t>
      </w:r>
      <w:proofErr w:type="spellStart"/>
      <w:r>
        <w:rPr>
          <w:rFonts w:ascii="Times New Roman" w:hAnsi="Times New Roman"/>
          <w:color w:val="000000"/>
          <w:sz w:val="28"/>
        </w:rPr>
        <w:t>i</w:t>
      </w:r>
      <w:proofErr w:type="spellEnd"/>
      <w:r w:rsidRPr="00F67FAE">
        <w:rPr>
          <w:rFonts w:ascii="Times New Roman" w:hAnsi="Times New Roman"/>
          <w:color w:val="000000"/>
          <w:sz w:val="28"/>
          <w:lang w:val="ru-RU"/>
        </w:rPr>
        <w:t xml:space="preserve">,0 — базовый уровень транзакционных издержек в секторе </w:t>
      </w:r>
      <w:proofErr w:type="spellStart"/>
      <w:r>
        <w:rPr>
          <w:rFonts w:ascii="Times New Roman" w:hAnsi="Times New Roman"/>
          <w:color w:val="000000"/>
          <w:sz w:val="28"/>
        </w:rPr>
        <w:t>i</w:t>
      </w:r>
      <w:proofErr w:type="spellEnd"/>
      <w:r w:rsidRPr="00F67FAE">
        <w:rPr>
          <w:rFonts w:ascii="Times New Roman" w:hAnsi="Times New Roman"/>
          <w:color w:val="000000"/>
          <w:sz w:val="28"/>
          <w:lang w:val="ru-RU"/>
        </w:rPr>
        <w:t xml:space="preserve"> до внедрения платформы;</w:t>
      </w:r>
      <w:r w:rsidRPr="00F67FAE">
        <w:rPr>
          <w:rFonts w:ascii="Times New Roman" w:hAnsi="Times New Roman"/>
          <w:color w:val="000000"/>
          <w:sz w:val="28"/>
          <w:lang w:val="ru-RU"/>
        </w:rPr>
        <w:br/>
      </w:r>
      <w:r>
        <w:rPr>
          <w:rFonts w:ascii="Times New Roman" w:hAnsi="Times New Roman"/>
          <w:color w:val="000000"/>
          <w:sz w:val="28"/>
        </w:rPr>
        <w:t>αᵢ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— весовой коэффициент сектора </w:t>
      </w:r>
      <w:proofErr w:type="spellStart"/>
      <w:r>
        <w:rPr>
          <w:rFonts w:ascii="Times New Roman" w:hAnsi="Times New Roman"/>
          <w:color w:val="000000"/>
          <w:sz w:val="28"/>
        </w:rPr>
        <w:t>i</w:t>
      </w:r>
      <w:proofErr w:type="spellEnd"/>
      <w:r w:rsidRPr="00F67FAE">
        <w:rPr>
          <w:rFonts w:ascii="Times New Roman" w:hAnsi="Times New Roman"/>
          <w:color w:val="000000"/>
          <w:sz w:val="28"/>
          <w:lang w:val="ru-RU"/>
        </w:rPr>
        <w:t xml:space="preserve"> в совокупных транзакционных издержках;</w:t>
      </w:r>
      <w:r w:rsidRPr="00F67FAE">
        <w:rPr>
          <w:rFonts w:ascii="Times New Roman" w:hAnsi="Times New Roman"/>
          <w:color w:val="000000"/>
          <w:sz w:val="28"/>
          <w:lang w:val="ru-RU"/>
        </w:rPr>
        <w:br/>
      </w:r>
      <w:r>
        <w:rPr>
          <w:rFonts w:ascii="Times New Roman" w:hAnsi="Times New Roman"/>
          <w:color w:val="000000"/>
          <w:sz w:val="28"/>
        </w:rPr>
        <w:t>eᵢ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— коэффициент эффективности платформенного снижения издержек в секторе </w:t>
      </w:r>
      <w:proofErr w:type="spellStart"/>
      <w:r>
        <w:rPr>
          <w:rFonts w:ascii="Times New Roman" w:hAnsi="Times New Roman"/>
          <w:color w:val="000000"/>
          <w:sz w:val="28"/>
        </w:rPr>
        <w:t>i</w:t>
      </w:r>
      <w:proofErr w:type="spellEnd"/>
      <w:r w:rsidRPr="00F67FAE">
        <w:rPr>
          <w:rFonts w:ascii="Times New Roman" w:hAnsi="Times New Roman"/>
          <w:color w:val="000000"/>
          <w:sz w:val="28"/>
          <w:lang w:val="ru-RU"/>
        </w:rPr>
        <w:t xml:space="preserve"> (0 </w:t>
      </w:r>
      <w:proofErr w:type="gramStart"/>
      <w:r w:rsidRPr="00F67FAE">
        <w:rPr>
          <w:rFonts w:ascii="Times New Roman" w:hAnsi="Times New Roman"/>
          <w:color w:val="000000"/>
          <w:sz w:val="28"/>
          <w:lang w:val="ru-RU"/>
        </w:rPr>
        <w:t xml:space="preserve">&lt; </w:t>
      </w:r>
      <w:r>
        <w:rPr>
          <w:rFonts w:ascii="Times New Roman" w:hAnsi="Times New Roman"/>
          <w:color w:val="000000"/>
          <w:sz w:val="28"/>
        </w:rPr>
        <w:t>eᵢ</w:t>
      </w:r>
      <w:proofErr w:type="gramEnd"/>
      <w:r w:rsidRPr="00F67FAE">
        <w:rPr>
          <w:rFonts w:ascii="Times New Roman" w:hAnsi="Times New Roman"/>
          <w:color w:val="000000"/>
          <w:sz w:val="28"/>
          <w:lang w:val="ru-RU"/>
        </w:rPr>
        <w:t xml:space="preserve"> ≤ 1).</w:t>
      </w:r>
    </w:p>
    <w:p w14:paraId="2A82D47B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По оценкам автора на основе данных ОЭСР и Всемирного банка, значения </w:t>
      </w:r>
      <w:r>
        <w:rPr>
          <w:rFonts w:ascii="Times New Roman" w:hAnsi="Times New Roman"/>
          <w:color w:val="000000"/>
          <w:sz w:val="28"/>
        </w:rPr>
        <w:t>eᵢ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для ключевых секторов составляют: в агропереработке — 0,35–0,40 (снижение издержек посредничества и контрактования); в логистике — 0,25–0,30 (оптимизация маршрутов и грузопотоков); в финансовом секторе — 0,45–0,50 (снижение издержек финансового посредничества через </w:t>
      </w:r>
      <w:r>
        <w:rPr>
          <w:rFonts w:ascii="Times New Roman" w:hAnsi="Times New Roman"/>
          <w:color w:val="000000"/>
          <w:sz w:val="28"/>
        </w:rPr>
        <w:t>Mobile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Money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и смарт-контракты) [4; 9; 13].</w:t>
      </w:r>
    </w:p>
    <w:p w14:paraId="781E482C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Принципиально важным свойством платформы является генерация сетевого внешнего эффекта (</w:t>
      </w:r>
      <w:r>
        <w:rPr>
          <w:rFonts w:ascii="Times New Roman" w:hAnsi="Times New Roman"/>
          <w:color w:val="000000"/>
          <w:sz w:val="28"/>
        </w:rPr>
        <w:t>network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externality</w:t>
      </w:r>
      <w:r w:rsidRPr="00F67FAE">
        <w:rPr>
          <w:rFonts w:ascii="Times New Roman" w:hAnsi="Times New Roman"/>
          <w:color w:val="000000"/>
          <w:sz w:val="28"/>
          <w:lang w:val="ru-RU"/>
        </w:rPr>
        <w:t>). Согласно закону Меткалфа, ценность сети нарастает пропорционально квадрату числа участников:</w:t>
      </w:r>
    </w:p>
    <w:p w14:paraId="3CC3C9DA" w14:textId="57EF87DB" w:rsidR="00D25C93" w:rsidRPr="00F67FAE" w:rsidRDefault="00F67FAE">
      <w:pPr>
        <w:spacing w:before="80" w:after="80" w:line="440" w:lineRule="exact"/>
        <w:jc w:val="center"/>
        <w:rPr>
          <w:lang w:val="ru-RU"/>
        </w:rPr>
      </w:pPr>
      <m:oMath>
        <m:r>
          <w:rPr>
            <w:rFonts w:ascii="Cambria Math" w:hAnsi="Cambria Math"/>
            <w:sz w:val="28"/>
          </w:rPr>
          <w:lastRenderedPageBreak/>
          <m:t>V</m:t>
        </m:r>
        <m:d>
          <m:dPr>
            <m:ctrlPr>
              <w:rPr>
                <w:rFonts w:ascii="Cambria Math" w:hAnsi="Cambria Math"/>
                <w:i/>
                <w:sz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</w:rPr>
              <m:t>n</m:t>
            </m:r>
          </m:e>
        </m:d>
        <m:r>
          <w:rPr>
            <w:rFonts w:ascii="Cambria Math" w:hAnsi="Cambria Math"/>
            <w:sz w:val="28"/>
            <w:lang w:val="ru-RU"/>
          </w:rPr>
          <m:t>=</m:t>
        </m:r>
        <m:r>
          <w:rPr>
            <w:rFonts w:ascii="Cambria Math" w:hAnsi="Cambria Math"/>
            <w:sz w:val="28"/>
          </w:rPr>
          <m:t>β</m:t>
        </m:r>
        <m:r>
          <w:rPr>
            <w:rFonts w:ascii="Cambria Math" w:hAnsi="Cambria Math"/>
            <w:sz w:val="28"/>
            <w:lang w:val="ru-RU"/>
          </w:rPr>
          <m:t>×</m:t>
        </m:r>
        <m:sSup>
          <m:sSupPr>
            <m:ctrlPr>
              <w:rPr>
                <w:rFonts w:ascii="Cambria Math" w:hAnsi="Cambria Math"/>
                <w:i/>
                <w:sz w:val="28"/>
                <w:lang w:val="ru-RU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n</m:t>
            </m:r>
          </m:e>
          <m:sup>
            <m:r>
              <w:rPr>
                <w:rFonts w:ascii="Cambria Math" w:hAnsi="Cambria Math"/>
                <w:sz w:val="28"/>
                <w:lang w:val="ru-RU"/>
              </w:rPr>
              <m:t>2</m:t>
            </m:r>
          </m:sup>
        </m:sSup>
      </m:oMath>
      <w:r w:rsidRPr="00F67FAE">
        <w:rPr>
          <w:rFonts w:ascii="Times New Roman" w:hAnsi="Times New Roman"/>
          <w:sz w:val="24"/>
          <w:lang w:val="ru-RU"/>
        </w:rPr>
        <w:t xml:space="preserve">  (2.7)</w:t>
      </w:r>
    </w:p>
    <w:p w14:paraId="087CCB19" w14:textId="77777777" w:rsidR="00F67FAE" w:rsidRDefault="00000000">
      <w:pPr>
        <w:spacing w:after="0" w:line="440" w:lineRule="exact"/>
        <w:jc w:val="both"/>
        <w:rPr>
          <w:rFonts w:ascii="Times New Roman" w:hAnsi="Times New Roman"/>
          <w:color w:val="000000"/>
          <w:sz w:val="28"/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где </w:t>
      </w:r>
      <w:r>
        <w:rPr>
          <w:rFonts w:ascii="Times New Roman" w:hAnsi="Times New Roman"/>
          <w:color w:val="000000"/>
          <w:sz w:val="28"/>
        </w:rPr>
        <w:t>n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— число активных участников платформы (предприятий, фермерских кооперативов, логистических агентов, банков и т.д.); </w:t>
      </w:r>
    </w:p>
    <w:p w14:paraId="3E23926D" w14:textId="5F101EDC" w:rsidR="00D25C93" w:rsidRPr="00F67FAE" w:rsidRDefault="00000000">
      <w:pPr>
        <w:spacing w:after="0" w:line="440" w:lineRule="exact"/>
        <w:jc w:val="both"/>
        <w:rPr>
          <w:lang w:val="ru-RU"/>
        </w:rPr>
      </w:pPr>
      <w:r>
        <w:rPr>
          <w:rFonts w:ascii="Times New Roman" w:hAnsi="Times New Roman"/>
          <w:color w:val="000000"/>
          <w:sz w:val="28"/>
        </w:rPr>
        <w:t>β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— параметр, отражающий среднюю ценность одной связи.</w:t>
      </w:r>
    </w:p>
    <w:p w14:paraId="75B53E74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Для платформы «Берег Восхода» при планируемом охвате </w:t>
      </w:r>
      <w:r>
        <w:rPr>
          <w:rFonts w:ascii="Times New Roman" w:hAnsi="Times New Roman"/>
          <w:color w:val="000000"/>
          <w:sz w:val="28"/>
        </w:rPr>
        <w:t>n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≈ 12 000 участников в горизонте 2035 года (по аналогии с опытом платформ Африки — </w:t>
      </w:r>
      <w:r>
        <w:rPr>
          <w:rFonts w:ascii="Times New Roman" w:hAnsi="Times New Roman"/>
          <w:color w:val="000000"/>
          <w:sz w:val="28"/>
        </w:rPr>
        <w:t>OCP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Platform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, </w:t>
      </w:r>
      <w:proofErr w:type="spellStart"/>
      <w:r>
        <w:rPr>
          <w:rFonts w:ascii="Times New Roman" w:hAnsi="Times New Roman"/>
          <w:color w:val="000000"/>
          <w:sz w:val="28"/>
        </w:rPr>
        <w:t>TradeDepot</w:t>
      </w:r>
      <w:proofErr w:type="spellEnd"/>
      <w:r w:rsidRPr="00F67FAE">
        <w:rPr>
          <w:rFonts w:ascii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hAnsi="Times New Roman"/>
          <w:color w:val="000000"/>
          <w:sz w:val="28"/>
        </w:rPr>
        <w:t>M</w:t>
      </w:r>
      <w:r w:rsidRPr="00F67FAE">
        <w:rPr>
          <w:rFonts w:ascii="Times New Roman" w:hAnsi="Times New Roman"/>
          <w:color w:val="000000"/>
          <w:sz w:val="28"/>
          <w:lang w:val="ru-RU"/>
        </w:rPr>
        <w:t>-</w:t>
      </w:r>
      <w:r>
        <w:rPr>
          <w:rFonts w:ascii="Times New Roman" w:hAnsi="Times New Roman"/>
          <w:color w:val="000000"/>
          <w:sz w:val="28"/>
        </w:rPr>
        <w:t>Pesa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для агробизнеса) сетевой эффект многократно умножит первичный эффект снижения транзакционных издержек. Именно этот нелинейный механизм является главным преимуществом платформенной модели перед линейным наращиванием промышленных мощностей [4; 13].</w:t>
      </w:r>
    </w:p>
    <w:p w14:paraId="4529E6B2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Функция полного платформенного мультипликатора включает три составляющих: базовый инвестиционный мультипликатор, мультипликатор снижения транзакционных издержек и коэффициент сетевого внешнего эффекта:</w:t>
      </w:r>
    </w:p>
    <w:p w14:paraId="73840C8F" w14:textId="2AE3A17E" w:rsidR="00D25C93" w:rsidRPr="00F67FAE" w:rsidRDefault="00000000">
      <w:pPr>
        <w:spacing w:before="80" w:after="80" w:line="440" w:lineRule="exact"/>
        <w:jc w:val="center"/>
        <w:rPr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  <m:ctrlPr>
              <w:rPr>
                <w:rFonts w:ascii="Cambria Math" w:hAnsi="Cambria Math"/>
                <w:i/>
                <w:sz w:val="28"/>
              </w:rPr>
            </m:ctrlPr>
          </m:e>
          <m:sub>
            <m:r>
              <w:rPr>
                <w:rFonts w:ascii="Cambria Math" w:hAnsi="Cambria Math"/>
                <w:sz w:val="28"/>
              </w:rPr>
              <m:t>p</m:t>
            </m:r>
          </m:sub>
        </m:sSub>
        <m:r>
          <w:rPr>
            <w:rFonts w:ascii="Cambria Math" w:hAnsi="Cambria Math"/>
            <w:sz w:val="28"/>
          </w:rPr>
          <m:t>latform</m:t>
        </m:r>
        <m:r>
          <w:rPr>
            <w:rFonts w:ascii="Cambria Math" w:hAnsi="Cambria Math"/>
            <w:sz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</w:rPr>
              <m:t>i</m:t>
            </m:r>
          </m:sub>
        </m:sSub>
        <m:r>
          <w:rPr>
            <w:rFonts w:ascii="Cambria Math" w:hAnsi="Cambria Math"/>
            <w:sz w:val="28"/>
          </w:rPr>
          <m:t>nvest</m:t>
        </m:r>
        <m:r>
          <w:rPr>
            <w:rFonts w:ascii="Cambria Math" w:hAnsi="Cambria Math"/>
            <w:sz w:val="28"/>
            <w:lang w:val="ru-RU"/>
          </w:rPr>
          <m:t>×</m:t>
        </m:r>
        <m:d>
          <m:dPr>
            <m:ctrlPr>
              <w:rPr>
                <w:rFonts w:ascii="Cambria Math" w:hAnsi="Cambria Math"/>
                <w:i/>
                <w:sz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  <w:lang w:val="ru-RU"/>
              </w:rPr>
              <m:t>1+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T</m:t>
                </m:r>
              </m:sub>
            </m:sSub>
            <m:r>
              <w:rPr>
                <w:rFonts w:ascii="Cambria Math" w:hAnsi="Cambria Math"/>
                <w:sz w:val="28"/>
              </w:rPr>
              <m:t>C</m:t>
            </m:r>
          </m:e>
        </m:d>
        <m:r>
          <w:rPr>
            <w:rFonts w:ascii="Cambria Math" w:hAnsi="Cambria Math"/>
            <w:sz w:val="28"/>
            <w:lang w:val="ru-RU"/>
          </w:rPr>
          <m:t>×</m:t>
        </m:r>
        <m:d>
          <m:dPr>
            <m:ctrlPr>
              <w:rPr>
                <w:rFonts w:ascii="Cambria Math" w:hAnsi="Cambria Math"/>
                <w:i/>
                <w:sz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  <w:lang w:val="ru-RU"/>
              </w:rPr>
              <m:t>1+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</w:rPr>
              <m:t>etwork</m:t>
            </m:r>
          </m:e>
        </m:d>
      </m:oMath>
      <w:r w:rsidR="00F67FAE" w:rsidRPr="00F67FAE">
        <w:rPr>
          <w:rFonts w:ascii="Times New Roman" w:hAnsi="Times New Roman"/>
          <w:sz w:val="24"/>
          <w:lang w:val="ru-RU"/>
        </w:rPr>
        <w:t xml:space="preserve">  (2.8)</w:t>
      </w:r>
    </w:p>
    <w:p w14:paraId="2BE2B83F" w14:textId="77777777" w:rsidR="00D25C93" w:rsidRPr="00F67FAE" w:rsidRDefault="00000000">
      <w:pPr>
        <w:spacing w:after="0" w:line="440" w:lineRule="exact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где:</w:t>
      </w:r>
      <w:r w:rsidRPr="00F67FAE">
        <w:rPr>
          <w:rFonts w:ascii="Times New Roman" w:hAnsi="Times New Roman"/>
          <w:color w:val="000000"/>
          <w:sz w:val="28"/>
          <w:lang w:val="ru-RU"/>
        </w:rPr>
        <w:br/>
      </w:r>
      <w:r>
        <w:rPr>
          <w:rFonts w:ascii="Times New Roman" w:hAnsi="Times New Roman"/>
          <w:color w:val="000000"/>
          <w:sz w:val="28"/>
        </w:rPr>
        <w:t>k</w:t>
      </w:r>
      <w:r w:rsidRPr="00F67FAE">
        <w:rPr>
          <w:rFonts w:ascii="Times New Roman" w:hAnsi="Times New Roman"/>
          <w:color w:val="000000"/>
          <w:sz w:val="28"/>
          <w:lang w:val="ru-RU"/>
        </w:rPr>
        <w:t>_</w:t>
      </w:r>
      <w:r>
        <w:rPr>
          <w:rFonts w:ascii="Times New Roman" w:hAnsi="Times New Roman"/>
          <w:color w:val="000000"/>
          <w:sz w:val="28"/>
        </w:rPr>
        <w:t>invest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— классический инвестиционный мультипликатор Кейнса;</w:t>
      </w:r>
      <w:r w:rsidRPr="00F67FAE">
        <w:rPr>
          <w:rFonts w:ascii="Times New Roman" w:hAnsi="Times New Roman"/>
          <w:color w:val="000000"/>
          <w:sz w:val="28"/>
          <w:lang w:val="ru-RU"/>
        </w:rPr>
        <w:br/>
      </w:r>
      <w:r>
        <w:rPr>
          <w:rFonts w:ascii="Times New Roman" w:hAnsi="Times New Roman"/>
          <w:color w:val="000000"/>
          <w:sz w:val="28"/>
        </w:rPr>
        <w:t>δ</w:t>
      </w:r>
      <w:r w:rsidRPr="00F67FAE">
        <w:rPr>
          <w:rFonts w:ascii="Times New Roman" w:hAnsi="Times New Roman"/>
          <w:color w:val="000000"/>
          <w:sz w:val="28"/>
          <w:lang w:val="ru-RU"/>
        </w:rPr>
        <w:t>_</w:t>
      </w:r>
      <w:r>
        <w:rPr>
          <w:rFonts w:ascii="Times New Roman" w:hAnsi="Times New Roman"/>
          <w:color w:val="000000"/>
          <w:sz w:val="28"/>
        </w:rPr>
        <w:t>TC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— относительный прирост добавленной стоимости за счёт снижения транзакционных издержек;</w:t>
      </w:r>
      <w:r w:rsidRPr="00F67FAE">
        <w:rPr>
          <w:rFonts w:ascii="Times New Roman" w:hAnsi="Times New Roman"/>
          <w:color w:val="000000"/>
          <w:sz w:val="28"/>
          <w:lang w:val="ru-RU"/>
        </w:rPr>
        <w:br/>
      </w:r>
      <w:r>
        <w:rPr>
          <w:rFonts w:ascii="Times New Roman" w:hAnsi="Times New Roman"/>
          <w:color w:val="000000"/>
          <w:sz w:val="28"/>
        </w:rPr>
        <w:t>δ</w:t>
      </w:r>
      <w:r w:rsidRPr="00F67FAE">
        <w:rPr>
          <w:rFonts w:ascii="Times New Roman" w:hAnsi="Times New Roman"/>
          <w:color w:val="000000"/>
          <w:sz w:val="28"/>
          <w:lang w:val="ru-RU"/>
        </w:rPr>
        <w:t>_</w:t>
      </w:r>
      <w:r>
        <w:rPr>
          <w:rFonts w:ascii="Times New Roman" w:hAnsi="Times New Roman"/>
          <w:color w:val="000000"/>
          <w:sz w:val="28"/>
        </w:rPr>
        <w:t>network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— прирост, генерируемый сетевым внешним эффектом платформы.</w:t>
      </w:r>
    </w:p>
    <w:p w14:paraId="33C30AC0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По авторским оценкам, при </w:t>
      </w:r>
      <w:r>
        <w:rPr>
          <w:rFonts w:ascii="Times New Roman" w:hAnsi="Times New Roman"/>
          <w:color w:val="000000"/>
          <w:sz w:val="28"/>
        </w:rPr>
        <w:t>MPC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= 0,70 и </w:t>
      </w:r>
      <w:r>
        <w:rPr>
          <w:rFonts w:ascii="Times New Roman" w:hAnsi="Times New Roman"/>
          <w:color w:val="000000"/>
          <w:sz w:val="28"/>
        </w:rPr>
        <w:t>t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= 0,20 базовый инвестиционный мультипликатор составляет:</w:t>
      </w:r>
    </w:p>
    <w:p w14:paraId="5C8034A0" w14:textId="3B440435" w:rsidR="00D25C93" w:rsidRPr="00F67FAE" w:rsidRDefault="00000000">
      <w:pPr>
        <w:spacing w:before="80" w:after="80" w:line="440" w:lineRule="exact"/>
        <w:jc w:val="center"/>
        <w:rPr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  <m:ctrlPr>
              <w:rPr>
                <w:rFonts w:ascii="Cambria Math" w:hAnsi="Cambria Math"/>
                <w:i/>
                <w:sz w:val="28"/>
              </w:rPr>
            </m:ctrlPr>
          </m:e>
          <m:sub>
            <m:r>
              <w:rPr>
                <w:rFonts w:ascii="Cambria Math" w:hAnsi="Cambria Math"/>
                <w:sz w:val="28"/>
              </w:rPr>
              <m:t>i</m:t>
            </m:r>
          </m:sub>
        </m:sSub>
        <m:r>
          <w:rPr>
            <w:rFonts w:ascii="Cambria Math" w:hAnsi="Cambria Math"/>
            <w:sz w:val="28"/>
          </w:rPr>
          <m:t>nvest</m:t>
        </m:r>
        <m:r>
          <w:rPr>
            <w:rFonts w:ascii="Cambria Math" w:hAnsi="Cambria Math"/>
            <w:sz w:val="28"/>
            <w:lang w:val="ru-RU"/>
          </w:rPr>
          <m:t>=1</m:t>
        </m:r>
        <m:r>
          <m:rPr>
            <m:lit/>
          </m:rPr>
          <w:rPr>
            <w:rFonts w:ascii="Cambria Math" w:hAnsi="Cambria Math"/>
            <w:sz w:val="28"/>
            <w:lang w:val="ru-RU"/>
          </w:rPr>
          <m:t>/</m:t>
        </m:r>
        <m:d>
          <m:dPr>
            <m:ctrlPr>
              <w:rPr>
                <w:rFonts w:ascii="Cambria Math" w:hAnsi="Cambria Math"/>
                <w:i/>
                <w:sz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  <w:lang w:val="ru-RU"/>
              </w:rPr>
              <m:t>1-</m:t>
            </m:r>
            <m:r>
              <w:rPr>
                <w:rFonts w:ascii="Cambria Math" w:hAnsi="Cambria Math"/>
                <w:sz w:val="28"/>
              </w:rPr>
              <m:t>MPC</m:t>
            </m:r>
            <m:r>
              <w:rPr>
                <w:rFonts w:ascii="Cambria Math" w:hAnsi="Cambria Math"/>
                <w:sz w:val="28"/>
                <w:lang w:val="ru-RU"/>
              </w:rPr>
              <m:t>×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lang w:val="ru-RU"/>
                  </w:rPr>
                  <m:t>1-</m:t>
                </m:r>
                <m:r>
                  <w:rPr>
                    <w:rFonts w:ascii="Cambria Math" w:hAnsi="Cambria Math"/>
                    <w:sz w:val="28"/>
                  </w:rPr>
                  <m:t>t</m:t>
                </m:r>
              </m:e>
            </m:d>
          </m:e>
        </m:d>
        <m:r>
          <w:rPr>
            <w:rFonts w:ascii="Cambria Math" w:hAnsi="Cambria Math"/>
            <w:sz w:val="28"/>
            <w:lang w:val="ru-RU"/>
          </w:rPr>
          <m:t>=1</m:t>
        </m:r>
        <m:r>
          <m:rPr>
            <m:lit/>
          </m:rPr>
          <w:rPr>
            <w:rFonts w:ascii="Cambria Math" w:hAnsi="Cambria Math"/>
            <w:sz w:val="28"/>
            <w:lang w:val="ru-RU"/>
          </w:rPr>
          <m:t>/</m:t>
        </m:r>
        <m:d>
          <m:dPr>
            <m:ctrlPr>
              <w:rPr>
                <w:rFonts w:ascii="Cambria Math" w:hAnsi="Cambria Math"/>
                <w:i/>
                <w:sz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  <w:lang w:val="ru-RU"/>
              </w:rPr>
              <m:t>1-0,7×0,8</m:t>
            </m:r>
          </m:e>
        </m:d>
        <m:r>
          <w:rPr>
            <w:rFonts w:ascii="Cambria Math" w:hAnsi="Cambria Math"/>
            <w:sz w:val="28"/>
            <w:lang w:val="ru-RU"/>
          </w:rPr>
          <m:t>=1</m:t>
        </m:r>
        <m:r>
          <m:rPr>
            <m:lit/>
          </m:rPr>
          <w:rPr>
            <w:rFonts w:ascii="Cambria Math" w:hAnsi="Cambria Math"/>
            <w:sz w:val="28"/>
            <w:lang w:val="ru-RU"/>
          </w:rPr>
          <m:t>/</m:t>
        </m:r>
        <m:r>
          <w:rPr>
            <w:rFonts w:ascii="Cambria Math" w:hAnsi="Cambria Math"/>
            <w:sz w:val="28"/>
            <w:lang w:val="ru-RU"/>
          </w:rPr>
          <m:t>0,44≈1,91</m:t>
        </m:r>
      </m:oMath>
      <w:r w:rsidR="00F67FAE" w:rsidRPr="00F67FAE">
        <w:rPr>
          <w:rFonts w:ascii="Times New Roman" w:hAnsi="Times New Roman"/>
          <w:sz w:val="24"/>
          <w:lang w:val="ru-RU"/>
        </w:rPr>
        <w:t xml:space="preserve">  (2.9)</w:t>
      </w:r>
    </w:p>
    <w:p w14:paraId="3D6FC5E7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С учётом платформенных коэффициентов (</w:t>
      </w:r>
      <w:r>
        <w:rPr>
          <w:rFonts w:ascii="Times New Roman" w:hAnsi="Times New Roman"/>
          <w:color w:val="000000"/>
          <w:sz w:val="28"/>
        </w:rPr>
        <w:t>δ</w:t>
      </w:r>
      <w:r w:rsidRPr="00F67FAE">
        <w:rPr>
          <w:rFonts w:ascii="Times New Roman" w:hAnsi="Times New Roman"/>
          <w:color w:val="000000"/>
          <w:sz w:val="28"/>
          <w:lang w:val="ru-RU"/>
        </w:rPr>
        <w:t>_</w:t>
      </w:r>
      <w:r>
        <w:rPr>
          <w:rFonts w:ascii="Times New Roman" w:hAnsi="Times New Roman"/>
          <w:color w:val="000000"/>
          <w:sz w:val="28"/>
        </w:rPr>
        <w:t>TC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≈ 0,15; </w:t>
      </w:r>
      <w:r>
        <w:rPr>
          <w:rFonts w:ascii="Times New Roman" w:hAnsi="Times New Roman"/>
          <w:color w:val="000000"/>
          <w:sz w:val="28"/>
        </w:rPr>
        <w:t>δ</w:t>
      </w:r>
      <w:r w:rsidRPr="00F67FAE">
        <w:rPr>
          <w:rFonts w:ascii="Times New Roman" w:hAnsi="Times New Roman"/>
          <w:color w:val="000000"/>
          <w:sz w:val="28"/>
          <w:lang w:val="ru-RU"/>
        </w:rPr>
        <w:t>_</w:t>
      </w:r>
      <w:r>
        <w:rPr>
          <w:rFonts w:ascii="Times New Roman" w:hAnsi="Times New Roman"/>
          <w:color w:val="000000"/>
          <w:sz w:val="28"/>
        </w:rPr>
        <w:t>network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≈ 0,20 в горизонте полного развёртывания 2031–2035 гг.):</w:t>
      </w:r>
    </w:p>
    <w:p w14:paraId="0407F85A" w14:textId="1074F7C0" w:rsidR="00D25C93" w:rsidRPr="00F67FAE" w:rsidRDefault="00000000">
      <w:pPr>
        <w:spacing w:before="80" w:after="80" w:line="440" w:lineRule="exact"/>
        <w:jc w:val="center"/>
        <w:rPr>
          <w:lang w:val="ru-RU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k</m:t>
            </m:r>
            <m:ctrlPr>
              <w:rPr>
                <w:rFonts w:ascii="Cambria Math" w:hAnsi="Cambria Math"/>
                <w:i/>
                <w:sz w:val="28"/>
              </w:rPr>
            </m:ctrlPr>
          </m:e>
          <m:sub>
            <m:r>
              <w:rPr>
                <w:rFonts w:ascii="Cambria Math" w:hAnsi="Cambria Math"/>
                <w:sz w:val="28"/>
              </w:rPr>
              <m:t>p</m:t>
            </m:r>
          </m:sub>
        </m:sSub>
        <m:r>
          <w:rPr>
            <w:rFonts w:ascii="Cambria Math" w:hAnsi="Cambria Math"/>
            <w:sz w:val="28"/>
          </w:rPr>
          <m:t>latform</m:t>
        </m:r>
        <m:r>
          <w:rPr>
            <w:rFonts w:ascii="Cambria Math" w:hAnsi="Cambria Math"/>
            <w:sz w:val="28"/>
            <w:lang w:val="ru-RU"/>
          </w:rPr>
          <m:t>=1,91×1,15×1,20≈2,63</m:t>
        </m:r>
      </m:oMath>
      <w:r w:rsidR="00F67FAE" w:rsidRPr="00F67FAE">
        <w:rPr>
          <w:rFonts w:ascii="Times New Roman" w:hAnsi="Times New Roman"/>
          <w:sz w:val="24"/>
          <w:lang w:val="ru-RU"/>
        </w:rPr>
        <w:t xml:space="preserve">  (2.10)</w:t>
      </w:r>
    </w:p>
    <w:p w14:paraId="40CF4879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Таким образом, каждый доллар инвестиций, опосредованный через платформу, генерирует ≈ 2,63 </w:t>
      </w:r>
      <w:r>
        <w:rPr>
          <w:rFonts w:ascii="Times New Roman" w:hAnsi="Times New Roman"/>
          <w:color w:val="000000"/>
          <w:sz w:val="28"/>
        </w:rPr>
        <w:t>USD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совокупного экономического эффекта — </w:t>
      </w:r>
      <w:r w:rsidRPr="00F67FAE">
        <w:rPr>
          <w:rFonts w:ascii="Times New Roman" w:hAnsi="Times New Roman"/>
          <w:color w:val="000000"/>
          <w:sz w:val="28"/>
          <w:lang w:val="ru-RU"/>
        </w:rPr>
        <w:lastRenderedPageBreak/>
        <w:t>на 38% больше, чем при прямом инвестировании без платформенной координации. Это принципиальный аргумент в пользу первоочерёдности создания платформы по отношению к инвестициям в отдельные кластеры.</w:t>
      </w:r>
    </w:p>
    <w:p w14:paraId="6B1C1123" w14:textId="3F096D56" w:rsidR="00D25C93" w:rsidRPr="00454D39" w:rsidRDefault="00454D39">
      <w:pPr>
        <w:spacing w:before="12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7B4534F" wp14:editId="1C3FE78E">
            <wp:extent cx="3013710" cy="4520565"/>
            <wp:effectExtent l="0" t="0" r="0" b="0"/>
            <wp:docPr id="407259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59234" name="Рисунок 40725923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0165" cy="454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A5AFC" w14:textId="77777777" w:rsidR="00D25C93" w:rsidRPr="00F67FAE" w:rsidRDefault="00000000" w:rsidP="007A5BF6">
      <w:pPr>
        <w:spacing w:after="0" w:line="240" w:lineRule="auto"/>
        <w:jc w:val="center"/>
        <w:rPr>
          <w:lang w:val="ru-RU"/>
        </w:rPr>
      </w:pPr>
      <w:r w:rsidRPr="00F67FAE">
        <w:rPr>
          <w:rFonts w:ascii="Times New Roman" w:hAnsi="Times New Roman"/>
          <w:i/>
          <w:color w:val="555555"/>
          <w:lang w:val="ru-RU"/>
        </w:rPr>
        <w:t>Рисунок 4. Архитектура цифровой платформы проекта «Берег Восхода»</w:t>
      </w:r>
      <w:r w:rsidRPr="00F67FAE">
        <w:rPr>
          <w:rFonts w:ascii="Times New Roman" w:hAnsi="Times New Roman"/>
          <w:i/>
          <w:color w:val="555555"/>
          <w:lang w:val="ru-RU"/>
        </w:rPr>
        <w:br/>
        <w:t>Примечание. Авторская разработка.</w:t>
      </w:r>
    </w:p>
    <w:p w14:paraId="24114559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Рисунок 4 отображает архитектуру платформы в виде системы пяти кластеров-спутников, координируемых центральным платформенным ядром. Важно подчеркнуть: стрелки </w:t>
      </w:r>
      <w:proofErr w:type="spellStart"/>
      <w:r w:rsidRPr="00F67FAE">
        <w:rPr>
          <w:rFonts w:ascii="Times New Roman" w:hAnsi="Times New Roman"/>
          <w:color w:val="000000"/>
          <w:sz w:val="28"/>
          <w:lang w:val="ru-RU"/>
        </w:rPr>
        <w:t>двунаправлены</w:t>
      </w:r>
      <w:proofErr w:type="spellEnd"/>
      <w:r w:rsidRPr="00F67FAE">
        <w:rPr>
          <w:rFonts w:ascii="Times New Roman" w:hAnsi="Times New Roman"/>
          <w:color w:val="000000"/>
          <w:sz w:val="28"/>
          <w:lang w:val="ru-RU"/>
        </w:rPr>
        <w:t xml:space="preserve"> — платформа не просто управляет кластерами сверху вниз, но и аккумулирует данные и обратную связь от каждого участника, совершенствуя алгоритмы координации. Институциональная «шина» сверху (правительство, международные финансовые институты, частные инвесторы) обеспечивает легитимность, регуляторную базу и долгосрочное финансирование.</w:t>
      </w:r>
    </w:p>
    <w:p w14:paraId="459E2BF7" w14:textId="77777777" w:rsidR="00D25C93" w:rsidRPr="00F67FAE" w:rsidRDefault="00000000">
      <w:pPr>
        <w:spacing w:before="200" w:after="120" w:line="440" w:lineRule="exact"/>
        <w:rPr>
          <w:lang w:val="ru-RU"/>
        </w:rPr>
      </w:pPr>
      <w:r w:rsidRPr="00F67FAE">
        <w:rPr>
          <w:rFonts w:ascii="Times New Roman" w:hAnsi="Times New Roman"/>
          <w:b/>
          <w:i/>
          <w:color w:val="2E4A62"/>
          <w:sz w:val="28"/>
          <w:lang w:val="ru-RU"/>
        </w:rPr>
        <w:t>2.1.5. Кластерная модель роста: формализация и расчёт мультипликативных эффектов</w:t>
      </w:r>
    </w:p>
    <w:p w14:paraId="60098B41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lastRenderedPageBreak/>
        <w:t>Базовое уравнение мультисекторального роста в модели «Берег Восхода» имеет следующий вид:</w:t>
      </w:r>
    </w:p>
    <w:p w14:paraId="6930255C" w14:textId="28F38AC5" w:rsidR="00D25C93" w:rsidRPr="00F67FAE" w:rsidRDefault="00F67FAE">
      <w:pPr>
        <w:spacing w:before="80" w:after="80" w:line="440" w:lineRule="exact"/>
        <w:jc w:val="center"/>
        <w:rPr>
          <w:lang w:val="ru-RU"/>
        </w:rPr>
      </w:pPr>
      <m:oMath>
        <m:r>
          <w:rPr>
            <w:rFonts w:ascii="Cambria Math" w:hAnsi="Cambria Math"/>
            <w:sz w:val="28"/>
          </w:rPr>
          <m:t>ΔGD</m:t>
        </m:r>
        <m:sSub>
          <m:sSubPr>
            <m:ctrlPr>
              <w:rPr>
                <w:rFonts w:ascii="Cambria Math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P</m:t>
            </m:r>
            <m:ctrlPr>
              <w:rPr>
                <w:rFonts w:ascii="Cambria Math" w:hAnsi="Cambria Math"/>
                <w:i/>
                <w:sz w:val="28"/>
              </w:rPr>
            </m:ctrlPr>
          </m:e>
          <m:sub>
            <m:r>
              <w:rPr>
                <w:rFonts w:ascii="Cambria Math" w:hAnsi="Cambria Math"/>
                <w:sz w:val="28"/>
              </w:rPr>
              <m:t>t</m:t>
            </m:r>
          </m:sub>
        </m:sSub>
        <m:r>
          <w:rPr>
            <w:rFonts w:ascii="Cambria Math" w:hAnsi="Cambria Math"/>
            <w:sz w:val="28"/>
          </w:rPr>
          <m:t>otal</m:t>
        </m:r>
        <m:r>
          <w:rPr>
            <w:rFonts w:ascii="Cambria Math" w:hAnsi="Cambria Math"/>
            <w:sz w:val="28"/>
            <w:lang w:val="ru-RU"/>
          </w:rPr>
          <m:t>=</m:t>
        </m:r>
        <m:r>
          <w:rPr>
            <w:rFonts w:ascii="Cambria Math" w:hAnsi="Cambria Math"/>
            <w:sz w:val="28"/>
          </w:rPr>
          <m:t>Σ</m:t>
        </m:r>
        <m:sSup>
          <m:sSupPr>
            <m:ctrlPr>
              <w:rPr>
                <w:rFonts w:ascii="Cambria Math" w:hAnsi="Cambria Math"/>
                <w:i/>
                <w:sz w:val="28"/>
                <w:lang w:val="ru-RU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ᵢ</m:t>
            </m:r>
            <m:ctrlPr>
              <w:rPr>
                <w:rFonts w:ascii="Cambria Math" w:hAnsi="Cambria Math"/>
                <w:i/>
                <w:sz w:val="28"/>
              </w:rPr>
            </m:ctrlPr>
          </m:e>
          <m:sup>
            <m:r>
              <w:rPr>
                <w:rFonts w:ascii="Cambria Math" w:hAnsi="Cambria Math"/>
                <w:sz w:val="28"/>
                <w:lang w:val="ru-RU"/>
              </w:rPr>
              <m:t>=15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</w:rPr>
              <m:t>ΔVAᵢ</m:t>
            </m:r>
            <m:r>
              <w:rPr>
                <w:rFonts w:ascii="Cambria Math" w:hAnsi="Cambria Math"/>
                <w:sz w:val="28"/>
                <w:lang w:val="ru-RU"/>
              </w:rPr>
              <m:t>×</m:t>
            </m:r>
            <m:r>
              <w:rPr>
                <w:rFonts w:ascii="Cambria Math" w:hAnsi="Cambria Math"/>
                <w:sz w:val="28"/>
              </w:rPr>
              <m:t>kᵢ</m:t>
            </m:r>
          </m:e>
        </m:d>
        <m:r>
          <w:rPr>
            <w:rFonts w:ascii="Cambria Math" w:hAnsi="Cambria Math"/>
            <w:sz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Γ</m:t>
            </m:r>
          </m:e>
          <m:sub>
            <m:r>
              <w:rPr>
                <w:rFonts w:ascii="Cambria Math" w:hAnsi="Cambria Math"/>
                <w:sz w:val="28"/>
              </w:rPr>
              <m:t>s</m:t>
            </m:r>
          </m:sub>
        </m:sSub>
        <m:r>
          <w:rPr>
            <w:rFonts w:ascii="Cambria Math" w:hAnsi="Cambria Math"/>
            <w:sz w:val="28"/>
          </w:rPr>
          <m:t>ynergy</m:t>
        </m:r>
      </m:oMath>
      <w:r w:rsidRPr="00F67FAE">
        <w:rPr>
          <w:rFonts w:ascii="Times New Roman" w:hAnsi="Times New Roman"/>
          <w:sz w:val="24"/>
          <w:lang w:val="ru-RU"/>
        </w:rPr>
        <w:t xml:space="preserve">  (2.11)</w:t>
      </w:r>
    </w:p>
    <w:p w14:paraId="77163813" w14:textId="77777777" w:rsidR="00D25C93" w:rsidRPr="00F67FAE" w:rsidRDefault="00000000">
      <w:pPr>
        <w:spacing w:after="0" w:line="440" w:lineRule="exact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где:</w:t>
      </w:r>
      <w:r w:rsidRPr="00F67FAE">
        <w:rPr>
          <w:rFonts w:ascii="Times New Roman" w:hAnsi="Times New Roman"/>
          <w:color w:val="000000"/>
          <w:sz w:val="28"/>
          <w:lang w:val="ru-RU"/>
        </w:rPr>
        <w:br/>
      </w:r>
      <w:r>
        <w:rPr>
          <w:rFonts w:ascii="Times New Roman" w:hAnsi="Times New Roman"/>
          <w:color w:val="000000"/>
          <w:sz w:val="28"/>
        </w:rPr>
        <w:t>ΔVAᵢ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— прирост добавленной стоимости </w:t>
      </w:r>
      <w:proofErr w:type="spellStart"/>
      <w:r>
        <w:rPr>
          <w:rFonts w:ascii="Times New Roman" w:hAnsi="Times New Roman"/>
          <w:color w:val="000000"/>
          <w:sz w:val="28"/>
        </w:rPr>
        <w:t>i</w:t>
      </w:r>
      <w:proofErr w:type="spellEnd"/>
      <w:r w:rsidRPr="00F67FAE">
        <w:rPr>
          <w:rFonts w:ascii="Times New Roman" w:hAnsi="Times New Roman"/>
          <w:color w:val="000000"/>
          <w:sz w:val="28"/>
          <w:lang w:val="ru-RU"/>
        </w:rPr>
        <w:t xml:space="preserve">-го кластера, млрд </w:t>
      </w:r>
      <w:r>
        <w:rPr>
          <w:rFonts w:ascii="Times New Roman" w:hAnsi="Times New Roman"/>
          <w:color w:val="000000"/>
          <w:sz w:val="28"/>
        </w:rPr>
        <w:t>USD</w:t>
      </w:r>
      <w:r w:rsidRPr="00F67FAE">
        <w:rPr>
          <w:rFonts w:ascii="Times New Roman" w:hAnsi="Times New Roman"/>
          <w:color w:val="000000"/>
          <w:sz w:val="28"/>
          <w:lang w:val="ru-RU"/>
        </w:rPr>
        <w:t>;</w:t>
      </w:r>
      <w:r w:rsidRPr="00F67FAE">
        <w:rPr>
          <w:rFonts w:ascii="Times New Roman" w:hAnsi="Times New Roman"/>
          <w:color w:val="000000"/>
          <w:sz w:val="28"/>
          <w:lang w:val="ru-RU"/>
        </w:rPr>
        <w:br/>
      </w:r>
      <w:r>
        <w:rPr>
          <w:rFonts w:ascii="Times New Roman" w:hAnsi="Times New Roman"/>
          <w:color w:val="000000"/>
          <w:sz w:val="28"/>
        </w:rPr>
        <w:t>kᵢ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— отраслевой инвестиционно-производственный мультипликатор;</w:t>
      </w:r>
      <w:r w:rsidRPr="00F67FAE">
        <w:rPr>
          <w:rFonts w:ascii="Times New Roman" w:hAnsi="Times New Roman"/>
          <w:color w:val="000000"/>
          <w:sz w:val="28"/>
          <w:lang w:val="ru-RU"/>
        </w:rPr>
        <w:br/>
      </w:r>
      <w:r>
        <w:rPr>
          <w:rFonts w:ascii="Times New Roman" w:hAnsi="Times New Roman"/>
          <w:color w:val="000000"/>
          <w:sz w:val="28"/>
        </w:rPr>
        <w:t>Γ</w:t>
      </w:r>
      <w:r w:rsidRPr="00F67FAE">
        <w:rPr>
          <w:rFonts w:ascii="Times New Roman" w:hAnsi="Times New Roman"/>
          <w:color w:val="000000"/>
          <w:sz w:val="28"/>
          <w:lang w:val="ru-RU"/>
        </w:rPr>
        <w:t>_</w:t>
      </w:r>
      <w:r>
        <w:rPr>
          <w:rFonts w:ascii="Times New Roman" w:hAnsi="Times New Roman"/>
          <w:color w:val="000000"/>
          <w:sz w:val="28"/>
        </w:rPr>
        <w:t>synergy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— синергетический эффект </w:t>
      </w:r>
      <w:proofErr w:type="spellStart"/>
      <w:r w:rsidRPr="00F67FAE">
        <w:rPr>
          <w:rFonts w:ascii="Times New Roman" w:hAnsi="Times New Roman"/>
          <w:color w:val="000000"/>
          <w:sz w:val="28"/>
          <w:lang w:val="ru-RU"/>
        </w:rPr>
        <w:t>межкластерного</w:t>
      </w:r>
      <w:proofErr w:type="spellEnd"/>
      <w:r w:rsidRPr="00F67FAE">
        <w:rPr>
          <w:rFonts w:ascii="Times New Roman" w:hAnsi="Times New Roman"/>
          <w:color w:val="000000"/>
          <w:sz w:val="28"/>
          <w:lang w:val="ru-RU"/>
        </w:rPr>
        <w:t xml:space="preserve"> взаимодействия, не редуцируемый к отдельным кластерам.</w:t>
      </w:r>
    </w:p>
    <w:p w14:paraId="2A722232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Отраслевой мультипликатор </w:t>
      </w:r>
      <w:r>
        <w:rPr>
          <w:rFonts w:ascii="Times New Roman" w:hAnsi="Times New Roman"/>
          <w:color w:val="000000"/>
          <w:sz w:val="28"/>
        </w:rPr>
        <w:t>kᵢ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для каждого из пяти кластеров рассчитан с учётом специфики структуры добавленной стоимости, степени локализации цепочки поставок, уровня занятости и склонности к сбережению в секторе. Теоретическая база — классическая кейнсианская модель инвестиционного мультипликатора, адаптированная к открытой малой экономике с учётом внешнеторгового дефлятора [2; 10]:</w:t>
      </w:r>
    </w:p>
    <w:p w14:paraId="7796A437" w14:textId="0058B31D" w:rsidR="00D25C93" w:rsidRPr="00F67FAE" w:rsidRDefault="00F67FAE">
      <w:pPr>
        <w:spacing w:before="80" w:after="80" w:line="440" w:lineRule="exact"/>
        <w:jc w:val="center"/>
        <w:rPr>
          <w:lang w:val="ru-RU"/>
        </w:rPr>
      </w:pPr>
      <m:oMath>
        <m:r>
          <w:rPr>
            <w:rFonts w:ascii="Cambria Math" w:hAnsi="Cambria Math"/>
            <w:sz w:val="28"/>
          </w:rPr>
          <m:t>kᵢ</m:t>
        </m:r>
        <m:r>
          <w:rPr>
            <w:rFonts w:ascii="Cambria Math" w:hAnsi="Cambria Math"/>
            <w:sz w:val="28"/>
            <w:lang w:val="ru-RU"/>
          </w:rPr>
          <m:t>=1</m:t>
        </m:r>
        <m:r>
          <m:rPr>
            <m:lit/>
          </m:rPr>
          <w:rPr>
            <w:rFonts w:ascii="Cambria Math" w:hAnsi="Cambria Math"/>
            <w:sz w:val="28"/>
            <w:lang w:val="ru-RU"/>
          </w:rPr>
          <m:t>/</m:t>
        </m:r>
        <m:d>
          <m:dPr>
            <m:ctrlPr>
              <w:rPr>
                <w:rFonts w:ascii="Cambria Math" w:hAnsi="Cambria Math"/>
                <w:i/>
                <w:sz w:val="28"/>
                <w:lang w:val="ru-RU"/>
              </w:rPr>
            </m:ctrlPr>
          </m:dPr>
          <m:e>
            <m:r>
              <w:rPr>
                <w:rFonts w:ascii="Cambria Math" w:hAnsi="Cambria Math"/>
                <w:sz w:val="28"/>
                <w:lang w:val="ru-RU"/>
              </w:rPr>
              <m:t>1-</m:t>
            </m:r>
            <m:r>
              <w:rPr>
                <w:rFonts w:ascii="Cambria Math" w:hAnsi="Cambria Math"/>
                <w:sz w:val="28"/>
              </w:rPr>
              <m:t>MPCᵢ</m:t>
            </m:r>
            <m:r>
              <w:rPr>
                <w:rFonts w:ascii="Cambria Math" w:hAnsi="Cambria Math"/>
                <w:sz w:val="28"/>
                <w:lang w:val="ru-RU"/>
              </w:rPr>
              <m:t>×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lang w:val="ru-RU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lang w:val="ru-RU"/>
                  </w:rPr>
                  <m:t>1-</m:t>
                </m:r>
                <m:r>
                  <w:rPr>
                    <w:rFonts w:ascii="Cambria Math" w:hAnsi="Cambria Math"/>
                    <w:sz w:val="28"/>
                  </w:rPr>
                  <m:t>tᵢ</m:t>
                </m:r>
              </m:e>
            </m:d>
            <m:r>
              <w:rPr>
                <w:rFonts w:ascii="Cambria Math" w:hAnsi="Cambria Math"/>
                <w:sz w:val="28"/>
                <w:lang w:val="ru-RU"/>
              </w:rPr>
              <m:t>+</m:t>
            </m:r>
            <m:r>
              <w:rPr>
                <w:rFonts w:ascii="Cambria Math" w:hAnsi="Cambria Math"/>
                <w:sz w:val="28"/>
              </w:rPr>
              <m:t>MPMᵢ</m:t>
            </m:r>
          </m:e>
        </m:d>
      </m:oMath>
      <w:r w:rsidRPr="00F67FAE">
        <w:rPr>
          <w:rFonts w:ascii="Times New Roman" w:hAnsi="Times New Roman"/>
          <w:sz w:val="24"/>
          <w:lang w:val="ru-RU"/>
        </w:rPr>
        <w:t xml:space="preserve">  (2.12)</w:t>
      </w:r>
    </w:p>
    <w:p w14:paraId="6926B9D4" w14:textId="77777777" w:rsidR="00D25C93" w:rsidRPr="00F67FAE" w:rsidRDefault="00000000">
      <w:pPr>
        <w:spacing w:after="0" w:line="440" w:lineRule="exact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где </w:t>
      </w:r>
      <w:r>
        <w:rPr>
          <w:rFonts w:ascii="Times New Roman" w:hAnsi="Times New Roman"/>
          <w:color w:val="000000"/>
          <w:sz w:val="28"/>
        </w:rPr>
        <w:t>MPMᵢ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— предельная склонность к импорту в секторе </w:t>
      </w:r>
      <w:proofErr w:type="spellStart"/>
      <w:r>
        <w:rPr>
          <w:rFonts w:ascii="Times New Roman" w:hAnsi="Times New Roman"/>
          <w:color w:val="000000"/>
          <w:sz w:val="28"/>
        </w:rPr>
        <w:t>i</w:t>
      </w:r>
      <w:proofErr w:type="spellEnd"/>
      <w:r w:rsidRPr="00F67FAE">
        <w:rPr>
          <w:rFonts w:ascii="Times New Roman" w:hAnsi="Times New Roman"/>
          <w:color w:val="000000"/>
          <w:sz w:val="28"/>
          <w:lang w:val="ru-RU"/>
        </w:rPr>
        <w:t>, отражающая «утечку» мультипликационного эффекта через импортные закупки оборудования и сырья.</w:t>
      </w:r>
    </w:p>
    <w:p w14:paraId="0DB3F0EE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Для экономики Кот-д'Ивуара характерны следующие значения параметров: </w:t>
      </w:r>
      <w:r>
        <w:rPr>
          <w:rFonts w:ascii="Times New Roman" w:hAnsi="Times New Roman"/>
          <w:color w:val="000000"/>
          <w:sz w:val="28"/>
        </w:rPr>
        <w:t>MPC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= 0,70–0,75 (в зависимости от сектора), </w:t>
      </w:r>
      <w:r>
        <w:rPr>
          <w:rFonts w:ascii="Times New Roman" w:hAnsi="Times New Roman"/>
          <w:color w:val="000000"/>
          <w:sz w:val="28"/>
        </w:rPr>
        <w:t>t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= 0,18–0,22, </w:t>
      </w:r>
      <w:r>
        <w:rPr>
          <w:rFonts w:ascii="Times New Roman" w:hAnsi="Times New Roman"/>
          <w:color w:val="000000"/>
          <w:sz w:val="28"/>
        </w:rPr>
        <w:t>MPM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= 0,10–0,20. Расчётные значения отраслевых мультипликаторов и прогнозируемый прирост добавленной стоимости по кластерам представлены в таблице 3.</w:t>
      </w:r>
    </w:p>
    <w:p w14:paraId="4B2E980D" w14:textId="77777777" w:rsidR="00D25C93" w:rsidRPr="00F67FAE" w:rsidRDefault="00000000">
      <w:pPr>
        <w:spacing w:after="0" w:line="440" w:lineRule="exact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Таблица 3. Расчёт мультисекторального вклада кластеров в прирост ВВП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1417"/>
        <w:gridCol w:w="1247"/>
        <w:gridCol w:w="907"/>
        <w:gridCol w:w="907"/>
        <w:gridCol w:w="2154"/>
      </w:tblGrid>
      <w:tr w:rsidR="00D25C93" w14:paraId="632522A8" w14:textId="77777777">
        <w:trPr>
          <w:jc w:val="center"/>
        </w:trPr>
        <w:tc>
          <w:tcPr>
            <w:tcW w:w="2721" w:type="dxa"/>
            <w:shd w:val="clear" w:color="auto" w:fill="1A5276"/>
          </w:tcPr>
          <w:p w14:paraId="558C1066" w14:textId="77777777" w:rsidR="00D25C93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Кластер</w:t>
            </w:r>
            <w:proofErr w:type="spellEnd"/>
          </w:p>
        </w:tc>
        <w:tc>
          <w:tcPr>
            <w:tcW w:w="1417" w:type="dxa"/>
            <w:shd w:val="clear" w:color="auto" w:fill="1A5276"/>
          </w:tcPr>
          <w:p w14:paraId="795E058C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ΔVA, млрд USD</w:t>
            </w:r>
          </w:p>
        </w:tc>
        <w:tc>
          <w:tcPr>
            <w:tcW w:w="1247" w:type="dxa"/>
            <w:shd w:val="clear" w:color="auto" w:fill="1A5276"/>
          </w:tcPr>
          <w:p w14:paraId="2707CCAA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kᵢ (мульт.)</w:t>
            </w:r>
          </w:p>
        </w:tc>
        <w:tc>
          <w:tcPr>
            <w:tcW w:w="907" w:type="dxa"/>
            <w:shd w:val="clear" w:color="auto" w:fill="1A5276"/>
          </w:tcPr>
          <w:p w14:paraId="71435286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MPC</w:t>
            </w:r>
          </w:p>
        </w:tc>
        <w:tc>
          <w:tcPr>
            <w:tcW w:w="907" w:type="dxa"/>
            <w:shd w:val="clear" w:color="auto" w:fill="1A5276"/>
          </w:tcPr>
          <w:p w14:paraId="3EC1C46F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MPM</w:t>
            </w:r>
          </w:p>
        </w:tc>
        <w:tc>
          <w:tcPr>
            <w:tcW w:w="2154" w:type="dxa"/>
            <w:shd w:val="clear" w:color="auto" w:fill="1A5276"/>
          </w:tcPr>
          <w:p w14:paraId="2A99A394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Итог. вклад, млрд USD</w:t>
            </w:r>
          </w:p>
        </w:tc>
      </w:tr>
      <w:tr w:rsidR="00D25C93" w14:paraId="198604BD" w14:textId="77777777">
        <w:trPr>
          <w:jc w:val="center"/>
        </w:trPr>
        <w:tc>
          <w:tcPr>
            <w:tcW w:w="2721" w:type="dxa"/>
            <w:shd w:val="clear" w:color="auto" w:fill="FFFFFF"/>
          </w:tcPr>
          <w:p w14:paraId="22AF6239" w14:textId="77777777" w:rsidR="00D25C93" w:rsidRDefault="00000000">
            <w:r>
              <w:rPr>
                <w:rFonts w:ascii="Times New Roman" w:hAnsi="Times New Roman"/>
                <w:sz w:val="20"/>
              </w:rPr>
              <w:t>Глубокая агропереработка</w:t>
            </w:r>
          </w:p>
        </w:tc>
        <w:tc>
          <w:tcPr>
            <w:tcW w:w="1417" w:type="dxa"/>
            <w:shd w:val="clear" w:color="auto" w:fill="FFFFFF"/>
          </w:tcPr>
          <w:p w14:paraId="3D57DA5B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2,5</w:t>
            </w:r>
          </w:p>
        </w:tc>
        <w:tc>
          <w:tcPr>
            <w:tcW w:w="1247" w:type="dxa"/>
            <w:shd w:val="clear" w:color="auto" w:fill="FFFFFF"/>
          </w:tcPr>
          <w:p w14:paraId="6E60B0FE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1,80</w:t>
            </w:r>
          </w:p>
        </w:tc>
        <w:tc>
          <w:tcPr>
            <w:tcW w:w="907" w:type="dxa"/>
            <w:shd w:val="clear" w:color="auto" w:fill="FFFFFF"/>
          </w:tcPr>
          <w:p w14:paraId="0E72FB9C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0,73</w:t>
            </w:r>
          </w:p>
        </w:tc>
        <w:tc>
          <w:tcPr>
            <w:tcW w:w="907" w:type="dxa"/>
            <w:shd w:val="clear" w:color="auto" w:fill="FFFFFF"/>
          </w:tcPr>
          <w:p w14:paraId="6C2B428C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0,15</w:t>
            </w:r>
          </w:p>
        </w:tc>
        <w:tc>
          <w:tcPr>
            <w:tcW w:w="2154" w:type="dxa"/>
            <w:shd w:val="clear" w:color="auto" w:fill="FFFFFF"/>
          </w:tcPr>
          <w:p w14:paraId="52A4DB83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4,50</w:t>
            </w:r>
          </w:p>
        </w:tc>
      </w:tr>
      <w:tr w:rsidR="00D25C93" w14:paraId="5B7FA459" w14:textId="77777777">
        <w:trPr>
          <w:jc w:val="center"/>
        </w:trPr>
        <w:tc>
          <w:tcPr>
            <w:tcW w:w="2721" w:type="dxa"/>
            <w:shd w:val="clear" w:color="auto" w:fill="EBF5FB"/>
          </w:tcPr>
          <w:p w14:paraId="45707976" w14:textId="77777777" w:rsidR="00D25C93" w:rsidRDefault="00000000">
            <w:r>
              <w:rPr>
                <w:rFonts w:ascii="Times New Roman" w:hAnsi="Times New Roman"/>
                <w:sz w:val="20"/>
              </w:rPr>
              <w:t>Логистический хаб</w:t>
            </w:r>
          </w:p>
        </w:tc>
        <w:tc>
          <w:tcPr>
            <w:tcW w:w="1417" w:type="dxa"/>
            <w:shd w:val="clear" w:color="auto" w:fill="EBF5FB"/>
          </w:tcPr>
          <w:p w14:paraId="06F0838E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1,2</w:t>
            </w:r>
          </w:p>
        </w:tc>
        <w:tc>
          <w:tcPr>
            <w:tcW w:w="1247" w:type="dxa"/>
            <w:shd w:val="clear" w:color="auto" w:fill="EBF5FB"/>
          </w:tcPr>
          <w:p w14:paraId="53F39056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1,73</w:t>
            </w:r>
          </w:p>
        </w:tc>
        <w:tc>
          <w:tcPr>
            <w:tcW w:w="907" w:type="dxa"/>
            <w:shd w:val="clear" w:color="auto" w:fill="EBF5FB"/>
          </w:tcPr>
          <w:p w14:paraId="41F52476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0,72</w:t>
            </w:r>
          </w:p>
        </w:tc>
        <w:tc>
          <w:tcPr>
            <w:tcW w:w="907" w:type="dxa"/>
            <w:shd w:val="clear" w:color="auto" w:fill="EBF5FB"/>
          </w:tcPr>
          <w:p w14:paraId="748487F3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0,12</w:t>
            </w:r>
          </w:p>
        </w:tc>
        <w:tc>
          <w:tcPr>
            <w:tcW w:w="2154" w:type="dxa"/>
            <w:shd w:val="clear" w:color="auto" w:fill="EBF5FB"/>
          </w:tcPr>
          <w:p w14:paraId="1B606140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2,08</w:t>
            </w:r>
          </w:p>
        </w:tc>
      </w:tr>
      <w:tr w:rsidR="00D25C93" w14:paraId="5EACBE4A" w14:textId="77777777">
        <w:trPr>
          <w:jc w:val="center"/>
        </w:trPr>
        <w:tc>
          <w:tcPr>
            <w:tcW w:w="2721" w:type="dxa"/>
            <w:shd w:val="clear" w:color="auto" w:fill="FFFFFF"/>
          </w:tcPr>
          <w:p w14:paraId="4AD0CAD7" w14:textId="77777777" w:rsidR="00D25C93" w:rsidRDefault="00000000">
            <w:r>
              <w:rPr>
                <w:rFonts w:ascii="Times New Roman" w:hAnsi="Times New Roman"/>
                <w:sz w:val="20"/>
              </w:rPr>
              <w:t>Промышленная зона (СЭЗ)</w:t>
            </w:r>
          </w:p>
        </w:tc>
        <w:tc>
          <w:tcPr>
            <w:tcW w:w="1417" w:type="dxa"/>
            <w:shd w:val="clear" w:color="auto" w:fill="FFFFFF"/>
          </w:tcPr>
          <w:p w14:paraId="47027225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1,2</w:t>
            </w:r>
          </w:p>
        </w:tc>
        <w:tc>
          <w:tcPr>
            <w:tcW w:w="1247" w:type="dxa"/>
            <w:shd w:val="clear" w:color="auto" w:fill="FFFFFF"/>
          </w:tcPr>
          <w:p w14:paraId="43E1DFB1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1,90</w:t>
            </w:r>
          </w:p>
        </w:tc>
        <w:tc>
          <w:tcPr>
            <w:tcW w:w="907" w:type="dxa"/>
            <w:shd w:val="clear" w:color="auto" w:fill="FFFFFF"/>
          </w:tcPr>
          <w:p w14:paraId="4B4F5281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0,75</w:t>
            </w:r>
          </w:p>
        </w:tc>
        <w:tc>
          <w:tcPr>
            <w:tcW w:w="907" w:type="dxa"/>
            <w:shd w:val="clear" w:color="auto" w:fill="FFFFFF"/>
          </w:tcPr>
          <w:p w14:paraId="3D1D0A76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0,10</w:t>
            </w:r>
          </w:p>
        </w:tc>
        <w:tc>
          <w:tcPr>
            <w:tcW w:w="2154" w:type="dxa"/>
            <w:shd w:val="clear" w:color="auto" w:fill="FFFFFF"/>
          </w:tcPr>
          <w:p w14:paraId="1E27246A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2,28</w:t>
            </w:r>
          </w:p>
        </w:tc>
      </w:tr>
      <w:tr w:rsidR="00D25C93" w14:paraId="12B3C52C" w14:textId="77777777">
        <w:trPr>
          <w:jc w:val="center"/>
        </w:trPr>
        <w:tc>
          <w:tcPr>
            <w:tcW w:w="2721" w:type="dxa"/>
            <w:shd w:val="clear" w:color="auto" w:fill="EBF5FB"/>
          </w:tcPr>
          <w:p w14:paraId="240CF72C" w14:textId="77777777" w:rsidR="00D25C93" w:rsidRDefault="00000000">
            <w:r>
              <w:rPr>
                <w:rFonts w:ascii="Times New Roman" w:hAnsi="Times New Roman"/>
                <w:sz w:val="20"/>
              </w:rPr>
              <w:t>Цифровой финансовый сектор</w:t>
            </w:r>
          </w:p>
        </w:tc>
        <w:tc>
          <w:tcPr>
            <w:tcW w:w="1417" w:type="dxa"/>
            <w:shd w:val="clear" w:color="auto" w:fill="EBF5FB"/>
          </w:tcPr>
          <w:p w14:paraId="2073281B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0,8</w:t>
            </w:r>
          </w:p>
        </w:tc>
        <w:tc>
          <w:tcPr>
            <w:tcW w:w="1247" w:type="dxa"/>
            <w:shd w:val="clear" w:color="auto" w:fill="EBF5FB"/>
          </w:tcPr>
          <w:p w14:paraId="7CD65478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2,00</w:t>
            </w:r>
          </w:p>
        </w:tc>
        <w:tc>
          <w:tcPr>
            <w:tcW w:w="907" w:type="dxa"/>
            <w:shd w:val="clear" w:color="auto" w:fill="EBF5FB"/>
          </w:tcPr>
          <w:p w14:paraId="4573766E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0,70</w:t>
            </w:r>
          </w:p>
        </w:tc>
        <w:tc>
          <w:tcPr>
            <w:tcW w:w="907" w:type="dxa"/>
            <w:shd w:val="clear" w:color="auto" w:fill="EBF5FB"/>
          </w:tcPr>
          <w:p w14:paraId="79933718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0,08</w:t>
            </w:r>
          </w:p>
        </w:tc>
        <w:tc>
          <w:tcPr>
            <w:tcW w:w="2154" w:type="dxa"/>
            <w:shd w:val="clear" w:color="auto" w:fill="EBF5FB"/>
          </w:tcPr>
          <w:p w14:paraId="1FB58B75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1,60</w:t>
            </w:r>
          </w:p>
        </w:tc>
      </w:tr>
      <w:tr w:rsidR="00D25C93" w14:paraId="6A35D69C" w14:textId="77777777">
        <w:trPr>
          <w:jc w:val="center"/>
        </w:trPr>
        <w:tc>
          <w:tcPr>
            <w:tcW w:w="2721" w:type="dxa"/>
            <w:shd w:val="clear" w:color="auto" w:fill="FFFFFF"/>
          </w:tcPr>
          <w:p w14:paraId="159FEF45" w14:textId="77777777" w:rsidR="00D25C93" w:rsidRDefault="00000000">
            <w:r>
              <w:rPr>
                <w:rFonts w:ascii="Times New Roman" w:hAnsi="Times New Roman"/>
                <w:sz w:val="20"/>
              </w:rPr>
              <w:t>Туризм и сервисы</w:t>
            </w:r>
          </w:p>
        </w:tc>
        <w:tc>
          <w:tcPr>
            <w:tcW w:w="1417" w:type="dxa"/>
            <w:shd w:val="clear" w:color="auto" w:fill="FFFFFF"/>
          </w:tcPr>
          <w:p w14:paraId="33AAEC14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0,8</w:t>
            </w:r>
          </w:p>
        </w:tc>
        <w:tc>
          <w:tcPr>
            <w:tcW w:w="1247" w:type="dxa"/>
            <w:shd w:val="clear" w:color="auto" w:fill="FFFFFF"/>
          </w:tcPr>
          <w:p w14:paraId="3F2F9614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1,60</w:t>
            </w:r>
          </w:p>
        </w:tc>
        <w:tc>
          <w:tcPr>
            <w:tcW w:w="907" w:type="dxa"/>
            <w:shd w:val="clear" w:color="auto" w:fill="FFFFFF"/>
          </w:tcPr>
          <w:p w14:paraId="1F9D5CCD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0,74</w:t>
            </w:r>
          </w:p>
        </w:tc>
        <w:tc>
          <w:tcPr>
            <w:tcW w:w="907" w:type="dxa"/>
            <w:shd w:val="clear" w:color="auto" w:fill="FFFFFF"/>
          </w:tcPr>
          <w:p w14:paraId="72FDEEA6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0,20</w:t>
            </w:r>
          </w:p>
        </w:tc>
        <w:tc>
          <w:tcPr>
            <w:tcW w:w="2154" w:type="dxa"/>
            <w:shd w:val="clear" w:color="auto" w:fill="FFFFFF"/>
          </w:tcPr>
          <w:p w14:paraId="12B94FC4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1,28</w:t>
            </w:r>
          </w:p>
        </w:tc>
      </w:tr>
      <w:tr w:rsidR="00D25C93" w14:paraId="0F772932" w14:textId="77777777">
        <w:trPr>
          <w:jc w:val="center"/>
        </w:trPr>
        <w:tc>
          <w:tcPr>
            <w:tcW w:w="2721" w:type="dxa"/>
            <w:shd w:val="clear" w:color="auto" w:fill="EBF5FB"/>
          </w:tcPr>
          <w:p w14:paraId="2E7718A8" w14:textId="77777777" w:rsidR="00D25C93" w:rsidRDefault="00000000">
            <w:r>
              <w:rPr>
                <w:rFonts w:ascii="Times New Roman" w:hAnsi="Times New Roman"/>
                <w:sz w:val="20"/>
              </w:rPr>
              <w:t>Синергетический эффект Γ</w:t>
            </w:r>
          </w:p>
        </w:tc>
        <w:tc>
          <w:tcPr>
            <w:tcW w:w="1417" w:type="dxa"/>
            <w:shd w:val="clear" w:color="auto" w:fill="EBF5FB"/>
          </w:tcPr>
          <w:p w14:paraId="29F9B3C8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1247" w:type="dxa"/>
            <w:shd w:val="clear" w:color="auto" w:fill="EBF5FB"/>
          </w:tcPr>
          <w:p w14:paraId="6B72D5D2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907" w:type="dxa"/>
            <w:shd w:val="clear" w:color="auto" w:fill="EBF5FB"/>
          </w:tcPr>
          <w:p w14:paraId="2F81D526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907" w:type="dxa"/>
            <w:shd w:val="clear" w:color="auto" w:fill="EBF5FB"/>
          </w:tcPr>
          <w:p w14:paraId="22DAD006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2154" w:type="dxa"/>
            <w:shd w:val="clear" w:color="auto" w:fill="EBF5FB"/>
          </w:tcPr>
          <w:p w14:paraId="3F6B3904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≈ 0,96</w:t>
            </w:r>
          </w:p>
        </w:tc>
      </w:tr>
      <w:tr w:rsidR="00D25C93" w14:paraId="1161BBA4" w14:textId="77777777">
        <w:trPr>
          <w:jc w:val="center"/>
        </w:trPr>
        <w:tc>
          <w:tcPr>
            <w:tcW w:w="2721" w:type="dxa"/>
            <w:shd w:val="clear" w:color="auto" w:fill="FFFFFF"/>
          </w:tcPr>
          <w:p w14:paraId="6974155D" w14:textId="77777777" w:rsidR="00D25C93" w:rsidRDefault="00000000">
            <w:r>
              <w:rPr>
                <w:rFonts w:ascii="Times New Roman" w:hAnsi="Times New Roman"/>
                <w:sz w:val="20"/>
              </w:rPr>
              <w:t>ИТОГО</w:t>
            </w:r>
          </w:p>
        </w:tc>
        <w:tc>
          <w:tcPr>
            <w:tcW w:w="1417" w:type="dxa"/>
            <w:shd w:val="clear" w:color="auto" w:fill="FFFFFF"/>
          </w:tcPr>
          <w:p w14:paraId="25648573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6,5</w:t>
            </w:r>
          </w:p>
        </w:tc>
        <w:tc>
          <w:tcPr>
            <w:tcW w:w="1247" w:type="dxa"/>
            <w:shd w:val="clear" w:color="auto" w:fill="FFFFFF"/>
          </w:tcPr>
          <w:p w14:paraId="1C605F80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1,80*</w:t>
            </w:r>
          </w:p>
        </w:tc>
        <w:tc>
          <w:tcPr>
            <w:tcW w:w="907" w:type="dxa"/>
            <w:shd w:val="clear" w:color="auto" w:fill="FFFFFF"/>
          </w:tcPr>
          <w:p w14:paraId="383C795B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907" w:type="dxa"/>
            <w:shd w:val="clear" w:color="auto" w:fill="FFFFFF"/>
          </w:tcPr>
          <w:p w14:paraId="03087952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2154" w:type="dxa"/>
            <w:shd w:val="clear" w:color="auto" w:fill="FFFFFF"/>
          </w:tcPr>
          <w:p w14:paraId="7722E96C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11,70</w:t>
            </w:r>
          </w:p>
        </w:tc>
      </w:tr>
    </w:tbl>
    <w:p w14:paraId="6D68403E" w14:textId="77777777" w:rsidR="00D25C93" w:rsidRDefault="00D25C93"/>
    <w:p w14:paraId="5375772B" w14:textId="77777777" w:rsidR="00D25C93" w:rsidRPr="00F67FAE" w:rsidRDefault="00000000">
      <w:pPr>
        <w:spacing w:after="0" w:line="440" w:lineRule="exact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lastRenderedPageBreak/>
        <w:t>*средневзвешенное значение мультипликатора.</w:t>
      </w:r>
      <w:r w:rsidRPr="00F67FAE">
        <w:rPr>
          <w:rFonts w:ascii="Times New Roman" w:hAnsi="Times New Roman"/>
          <w:color w:val="000000"/>
          <w:sz w:val="28"/>
          <w:lang w:val="ru-RU"/>
        </w:rPr>
        <w:br/>
        <w:t>Источник: авторские расчёты на основе [2; 7; 9; 10; 12].</w:t>
      </w:r>
    </w:p>
    <w:p w14:paraId="598B9531" w14:textId="77777777" w:rsidR="00D25C93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B8F5EA0" wp14:editId="562DFCE3">
            <wp:extent cx="5220000" cy="27946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79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5017" w14:textId="77777777" w:rsidR="00D25C93" w:rsidRPr="00F67FAE" w:rsidRDefault="00000000" w:rsidP="007A5BF6">
      <w:pPr>
        <w:spacing w:after="0" w:line="240" w:lineRule="auto"/>
        <w:jc w:val="center"/>
        <w:rPr>
          <w:lang w:val="ru-RU"/>
        </w:rPr>
      </w:pPr>
      <w:r w:rsidRPr="00F67FAE">
        <w:rPr>
          <w:rFonts w:ascii="Times New Roman" w:hAnsi="Times New Roman"/>
          <w:i/>
          <w:color w:val="555555"/>
          <w:lang w:val="ru-RU"/>
        </w:rPr>
        <w:t>Рисунок 5. Мультипликативный эффект инвестиций по кластерам «Берег Восхода»</w:t>
      </w:r>
      <w:r w:rsidRPr="00F67FAE">
        <w:rPr>
          <w:rFonts w:ascii="Times New Roman" w:hAnsi="Times New Roman"/>
          <w:i/>
          <w:color w:val="555555"/>
          <w:lang w:val="ru-RU"/>
        </w:rPr>
        <w:br/>
        <w:t>Примечание. Авторские расчёты.</w:t>
      </w:r>
    </w:p>
    <w:p w14:paraId="76F873A5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Рисунок 5 наглядно демонстрирует принцип «пяти рычагов»: ни один кластер в отдельности не обеспечивает трансформирующего воздействия на ВВП, однако их совокупность, усиленная мультипликаторами, даёт суммарный эффект 11,7 млрд </w:t>
      </w:r>
      <w:r>
        <w:rPr>
          <w:rFonts w:ascii="Times New Roman" w:hAnsi="Times New Roman"/>
          <w:color w:val="000000"/>
          <w:sz w:val="28"/>
        </w:rPr>
        <w:t>USD</w:t>
      </w:r>
      <w:r w:rsidRPr="00F67FAE">
        <w:rPr>
          <w:rFonts w:ascii="Times New Roman" w:hAnsi="Times New Roman"/>
          <w:color w:val="000000"/>
          <w:sz w:val="28"/>
          <w:lang w:val="ru-RU"/>
        </w:rPr>
        <w:t>, что при поэтапной реализации в 2025–2035 гг. обеспечивает прирост годового ВВП на 5–7 процентных пунктов сверх базового тренда.</w:t>
      </w:r>
    </w:p>
    <w:p w14:paraId="3479735C" w14:textId="38C5F378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Синергетический эффект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</w:rPr>
              <m:t>Γ</m:t>
            </m:r>
            <m:ctrlPr>
              <w:rPr>
                <w:rFonts w:ascii="Cambria Math" w:hAnsi="Cambria Math"/>
                <w:i/>
                <w:color w:val="000000"/>
                <w:sz w:val="28"/>
              </w:rPr>
            </m:ctrlPr>
          </m:e>
          <m:sub>
            <m:r>
              <w:rPr>
                <w:rFonts w:ascii="Cambria Math" w:hAnsi="Cambria Math"/>
                <w:color w:val="000000"/>
                <w:sz w:val="28"/>
              </w:rPr>
              <m:t>s</m:t>
            </m:r>
          </m:sub>
        </m:sSub>
        <m:r>
          <w:rPr>
            <w:rFonts w:ascii="Cambria Math" w:hAnsi="Cambria Math"/>
            <w:color w:val="000000"/>
            <w:sz w:val="28"/>
          </w:rPr>
          <m:t>ynergy</m:t>
        </m:r>
      </m:oMath>
      <w:r w:rsidRPr="00F67FAE">
        <w:rPr>
          <w:rFonts w:ascii="Times New Roman" w:hAnsi="Times New Roman"/>
          <w:color w:val="000000"/>
          <w:sz w:val="28"/>
          <w:lang w:val="ru-RU"/>
        </w:rPr>
        <w:t xml:space="preserve"> ≈ 0,96 млрд </w:t>
      </w:r>
      <w:r>
        <w:rPr>
          <w:rFonts w:ascii="Times New Roman" w:hAnsi="Times New Roman"/>
          <w:color w:val="000000"/>
          <w:sz w:val="28"/>
        </w:rPr>
        <w:t>USD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обусловлен прежде всего тремя механизмами: кросс-кластерными поставками (агросектор поставляет сырьё для промышленных предприятий зоны; логистика обслуживает все кластеры); совместным использованием цифровой инфраструктуры платформы (снижает удельные операционные затраты каждого кластера); </w:t>
      </w:r>
      <w:proofErr w:type="spellStart"/>
      <w:r w:rsidRPr="00F67FAE">
        <w:rPr>
          <w:rFonts w:ascii="Times New Roman" w:hAnsi="Times New Roman"/>
          <w:color w:val="000000"/>
          <w:sz w:val="28"/>
          <w:lang w:val="ru-RU"/>
        </w:rPr>
        <w:t>пулингом</w:t>
      </w:r>
      <w:proofErr w:type="spellEnd"/>
      <w:r w:rsidRPr="00F67FAE">
        <w:rPr>
          <w:rFonts w:ascii="Times New Roman" w:hAnsi="Times New Roman"/>
          <w:color w:val="000000"/>
          <w:sz w:val="28"/>
          <w:lang w:val="ru-RU"/>
        </w:rPr>
        <w:t xml:space="preserve"> квалифицированных кадров (снижает транзакционные издержки найма в условиях ограниченного предложения специалистов) [5; 9; 14].</w:t>
      </w:r>
    </w:p>
    <w:p w14:paraId="324B51FC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Отношение совокупного эффекта к ВВП страны:</w:t>
      </w:r>
    </w:p>
    <w:p w14:paraId="0E9507EB" w14:textId="1B2F9641" w:rsidR="00D25C93" w:rsidRPr="00F67FAE" w:rsidRDefault="00F67FAE">
      <w:pPr>
        <w:spacing w:before="80" w:after="80" w:line="440" w:lineRule="exact"/>
        <w:jc w:val="center"/>
        <w:rPr>
          <w:lang w:val="ru-RU"/>
        </w:rPr>
      </w:pPr>
      <m:oMath>
        <m:r>
          <w:rPr>
            <w:rFonts w:ascii="Cambria Math" w:hAnsi="Cambria Math"/>
            <w:sz w:val="28"/>
          </w:rPr>
          <m:t>ΔGD</m:t>
        </m:r>
        <m:sSub>
          <m:sSubPr>
            <m:ctrlPr>
              <w:rPr>
                <w:rFonts w:ascii="Cambria Math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P</m:t>
            </m:r>
            <m:ctrlPr>
              <w:rPr>
                <w:rFonts w:ascii="Cambria Math" w:hAnsi="Cambria Math"/>
                <w:i/>
                <w:sz w:val="28"/>
              </w:rPr>
            </m:ctrlPr>
          </m:e>
          <m:sub>
            <m:r>
              <w:rPr>
                <w:rFonts w:ascii="Cambria Math" w:hAnsi="Cambria Math"/>
                <w:sz w:val="28"/>
              </w:rPr>
              <m:t>t</m:t>
            </m:r>
          </m:sub>
        </m:sSub>
        <m:r>
          <w:rPr>
            <w:rFonts w:ascii="Cambria Math" w:hAnsi="Cambria Math"/>
            <w:sz w:val="28"/>
          </w:rPr>
          <m:t>otal</m:t>
        </m:r>
        <m:r>
          <m:rPr>
            <m:lit/>
          </m:rPr>
          <w:rPr>
            <w:rFonts w:ascii="Cambria Math" w:hAnsi="Cambria Math"/>
            <w:sz w:val="28"/>
            <w:lang w:val="ru-RU"/>
          </w:rPr>
          <m:t>/</m:t>
        </m:r>
        <m:r>
          <w:rPr>
            <w:rFonts w:ascii="Cambria Math" w:hAnsi="Cambria Math"/>
            <w:sz w:val="28"/>
          </w:rPr>
          <m:t>GD</m:t>
        </m:r>
        <m:sSub>
          <m:sSubPr>
            <m:ctrlPr>
              <w:rPr>
                <w:rFonts w:ascii="Cambria Math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P</m:t>
            </m:r>
            <m:ctrlPr>
              <w:rPr>
                <w:rFonts w:ascii="Cambria Math" w:hAnsi="Cambria Math"/>
                <w:i/>
                <w:sz w:val="28"/>
              </w:rPr>
            </m:ctrlPr>
          </m:e>
          <m:sub>
            <m:r>
              <w:rPr>
                <w:rFonts w:ascii="Cambria Math" w:hAnsi="Cambria Math"/>
                <w:sz w:val="28"/>
                <w:lang w:val="ru-RU"/>
              </w:rPr>
              <m:t>2</m:t>
            </m:r>
          </m:sub>
        </m:sSub>
        <m:r>
          <w:rPr>
            <w:rFonts w:ascii="Cambria Math" w:hAnsi="Cambria Math"/>
            <w:sz w:val="28"/>
            <w:lang w:val="ru-RU"/>
          </w:rPr>
          <m:t>024=11,7</m:t>
        </m:r>
        <m:r>
          <m:rPr>
            <m:lit/>
          </m:rPr>
          <w:rPr>
            <w:rFonts w:ascii="Cambria Math" w:hAnsi="Cambria Math"/>
            <w:sz w:val="28"/>
            <w:lang w:val="ru-RU"/>
          </w:rPr>
          <m:t>/</m:t>
        </m:r>
        <m:r>
          <w:rPr>
            <w:rFonts w:ascii="Cambria Math" w:hAnsi="Cambria Math"/>
            <w:sz w:val="28"/>
            <w:lang w:val="ru-RU"/>
          </w:rPr>
          <m:t>86,0≈13,6%</m:t>
        </m:r>
      </m:oMath>
      <w:r w:rsidRPr="00F67FAE">
        <w:rPr>
          <w:rFonts w:ascii="Times New Roman" w:hAnsi="Times New Roman"/>
          <w:sz w:val="24"/>
          <w:lang w:val="ru-RU"/>
        </w:rPr>
        <w:t xml:space="preserve">  (2.13)</w:t>
      </w:r>
    </w:p>
    <w:p w14:paraId="065D6DE9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lastRenderedPageBreak/>
        <w:t xml:space="preserve">Важно подчеркнуть, что 13,6% — это не единовременный прирост ВВП, а суммарный накопленный эффект, реализуемый поэтапно в 2025–2035 гг. При горизонте 10 лет он соответствует среднегодовому дополнительному приросту ВВП на 1,36 </w:t>
      </w:r>
      <w:proofErr w:type="spellStart"/>
      <w:r w:rsidRPr="00F67FAE">
        <w:rPr>
          <w:rFonts w:ascii="Times New Roman" w:hAnsi="Times New Roman"/>
          <w:color w:val="000000"/>
          <w:sz w:val="28"/>
          <w:lang w:val="ru-RU"/>
        </w:rPr>
        <w:t>п.п</w:t>
      </w:r>
      <w:proofErr w:type="spellEnd"/>
      <w:r w:rsidRPr="00F67FAE">
        <w:rPr>
          <w:rFonts w:ascii="Times New Roman" w:hAnsi="Times New Roman"/>
          <w:color w:val="000000"/>
          <w:sz w:val="28"/>
          <w:lang w:val="ru-RU"/>
        </w:rPr>
        <w:t xml:space="preserve">. в дополнение к базовому тренду. С учётом ускорения эффекта в Фазе </w:t>
      </w:r>
      <w:r>
        <w:rPr>
          <w:rFonts w:ascii="Times New Roman" w:hAnsi="Times New Roman"/>
          <w:color w:val="000000"/>
          <w:sz w:val="28"/>
        </w:rPr>
        <w:t>III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(2031–2035), когда платформа выходит на полную мощность, реалистичный дополнительный прирост ВВП в пиковые годы составит 5–7 </w:t>
      </w:r>
      <w:proofErr w:type="spellStart"/>
      <w:r w:rsidRPr="00F67FAE">
        <w:rPr>
          <w:rFonts w:ascii="Times New Roman" w:hAnsi="Times New Roman"/>
          <w:color w:val="000000"/>
          <w:sz w:val="28"/>
          <w:lang w:val="ru-RU"/>
        </w:rPr>
        <w:t>п.п</w:t>
      </w:r>
      <w:proofErr w:type="spellEnd"/>
      <w:r w:rsidRPr="00F67FAE">
        <w:rPr>
          <w:rFonts w:ascii="Times New Roman" w:hAnsi="Times New Roman"/>
          <w:color w:val="000000"/>
          <w:sz w:val="28"/>
          <w:lang w:val="ru-RU"/>
        </w:rPr>
        <w:t>. [2; 7].</w:t>
      </w:r>
    </w:p>
    <w:p w14:paraId="494E2536" w14:textId="77777777" w:rsidR="00D25C93" w:rsidRPr="00F67FAE" w:rsidRDefault="00000000">
      <w:pPr>
        <w:spacing w:before="200" w:after="120" w:line="440" w:lineRule="exact"/>
        <w:rPr>
          <w:lang w:val="ru-RU"/>
        </w:rPr>
      </w:pPr>
      <w:r w:rsidRPr="00F67FAE">
        <w:rPr>
          <w:rFonts w:ascii="Times New Roman" w:hAnsi="Times New Roman"/>
          <w:b/>
          <w:i/>
          <w:color w:val="2E4A62"/>
          <w:sz w:val="28"/>
          <w:lang w:val="ru-RU"/>
        </w:rPr>
        <w:t>2.1.6. Оценка готовности прибрежной зоны к платформенной трансформации</w:t>
      </w:r>
    </w:p>
    <w:p w14:paraId="55F670D7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Успешность внедрения цифровой платформы во многом определяется существующим уровнем инфраструктурной, кадровой и регуляторной готовности. Для комплексной оценки этой готовности нами разработан инструмент «Радар цифровой готовности» — интегральная шкала по семи ключевым измерениям (шкала 0–100): покрытие 4</w:t>
      </w:r>
      <w:r>
        <w:rPr>
          <w:rFonts w:ascii="Times New Roman" w:hAnsi="Times New Roman"/>
          <w:color w:val="000000"/>
          <w:sz w:val="28"/>
        </w:rPr>
        <w:t>G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, проникновение </w:t>
      </w:r>
      <w:r>
        <w:rPr>
          <w:rFonts w:ascii="Times New Roman" w:hAnsi="Times New Roman"/>
          <w:color w:val="000000"/>
          <w:sz w:val="28"/>
        </w:rPr>
        <w:t>Mobile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Money</w:t>
      </w:r>
      <w:r w:rsidRPr="00F67FAE">
        <w:rPr>
          <w:rFonts w:ascii="Times New Roman" w:hAnsi="Times New Roman"/>
          <w:color w:val="000000"/>
          <w:sz w:val="28"/>
          <w:lang w:val="ru-RU"/>
        </w:rPr>
        <w:t>, скорость интернета, цифровая грамотность, ИКТ-инфраструктура, регуляторная среда и кадровый потенциал [8; 14].</w:t>
      </w:r>
    </w:p>
    <w:p w14:paraId="6A53DB58" w14:textId="77777777" w:rsidR="00D25C93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3D4B655C" wp14:editId="2C86149B">
            <wp:extent cx="4452540" cy="3556000"/>
            <wp:effectExtent l="0" t="0" r="571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7528" cy="355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A6BF" w14:textId="77777777" w:rsidR="00D25C93" w:rsidRPr="00F67FAE" w:rsidRDefault="00000000" w:rsidP="007A5BF6">
      <w:pPr>
        <w:spacing w:after="0" w:line="240" w:lineRule="auto"/>
        <w:jc w:val="center"/>
        <w:rPr>
          <w:lang w:val="ru-RU"/>
        </w:rPr>
      </w:pPr>
      <w:r w:rsidRPr="00F67FAE">
        <w:rPr>
          <w:rFonts w:ascii="Times New Roman" w:hAnsi="Times New Roman"/>
          <w:i/>
          <w:color w:val="555555"/>
          <w:lang w:val="ru-RU"/>
        </w:rPr>
        <w:lastRenderedPageBreak/>
        <w:t xml:space="preserve">Рисунок 7. Радар цифровой готовности прибрежной зоны к платформенной трансформации (2024 г. </w:t>
      </w:r>
      <w:r>
        <w:rPr>
          <w:rFonts w:ascii="Times New Roman" w:hAnsi="Times New Roman"/>
          <w:i/>
          <w:color w:val="555555"/>
        </w:rPr>
        <w:t>vs</w:t>
      </w:r>
      <w:r w:rsidRPr="00F67FAE">
        <w:rPr>
          <w:rFonts w:ascii="Times New Roman" w:hAnsi="Times New Roman"/>
          <w:i/>
          <w:color w:val="555555"/>
          <w:lang w:val="ru-RU"/>
        </w:rPr>
        <w:t>. цель 2035 г.)</w:t>
      </w:r>
      <w:r w:rsidRPr="00F67FAE">
        <w:rPr>
          <w:rFonts w:ascii="Times New Roman" w:hAnsi="Times New Roman"/>
          <w:i/>
          <w:color w:val="555555"/>
          <w:lang w:val="ru-RU"/>
        </w:rPr>
        <w:br/>
        <w:t>Примечание. Авторская разработка. Данные — [7; 8; 11].</w:t>
      </w:r>
    </w:p>
    <w:p w14:paraId="0C32CD32" w14:textId="77777777" w:rsidR="003200B4" w:rsidRDefault="00000000">
      <w:pPr>
        <w:spacing w:after="0" w:line="440" w:lineRule="exact"/>
        <w:ind w:firstLine="709"/>
        <w:jc w:val="both"/>
        <w:rPr>
          <w:rFonts w:ascii="Times New Roman" w:hAnsi="Times New Roman"/>
          <w:color w:val="000000"/>
          <w:sz w:val="28"/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Рисунок 7 показывает, что прибрежная зона Кот-д'Ивуара уже обладает высоким уровнем готовности по ряду ключевых параметров: покрытие 4</w:t>
      </w:r>
      <w:r>
        <w:rPr>
          <w:rFonts w:ascii="Times New Roman" w:hAnsi="Times New Roman"/>
          <w:color w:val="000000"/>
          <w:sz w:val="28"/>
        </w:rPr>
        <w:t>G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(82 балла), проникновение </w:t>
      </w:r>
      <w:r>
        <w:rPr>
          <w:rFonts w:ascii="Times New Roman" w:hAnsi="Times New Roman"/>
          <w:color w:val="000000"/>
          <w:sz w:val="28"/>
        </w:rPr>
        <w:t>Mobile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Money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(89 баллов). Это создаёт прочную основу для быстрого старта Фазы </w:t>
      </w:r>
      <w:r>
        <w:rPr>
          <w:rFonts w:ascii="Times New Roman" w:hAnsi="Times New Roman"/>
          <w:color w:val="000000"/>
          <w:sz w:val="28"/>
        </w:rPr>
        <w:t>I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. </w:t>
      </w:r>
    </w:p>
    <w:p w14:paraId="1C93B6D2" w14:textId="46A03C36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Наибольший разрыв между текущим состоянием и целевыми значениями наблюдается в регуляторной среде (55 против целевых 82) и цифровой грамотности (65 против 88). Именно эти два направления требуют первоочерёдного внимания в рамках институциональных реформ Фазы </w:t>
      </w:r>
      <w:r>
        <w:rPr>
          <w:rFonts w:ascii="Times New Roman" w:hAnsi="Times New Roman"/>
          <w:color w:val="000000"/>
          <w:sz w:val="28"/>
        </w:rPr>
        <w:t>I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(2025–2027) [8; 11].</w:t>
      </w:r>
    </w:p>
    <w:p w14:paraId="69D94A10" w14:textId="77777777" w:rsidR="00D25C93" w:rsidRPr="00F67FAE" w:rsidRDefault="00000000">
      <w:pPr>
        <w:spacing w:after="0" w:line="440" w:lineRule="exact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Таблица 4. Показатели цифровой инфраструктуры прибрежной зоны (2024 г.)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74"/>
        <w:gridCol w:w="1975"/>
        <w:gridCol w:w="2253"/>
        <w:gridCol w:w="1969"/>
      </w:tblGrid>
      <w:tr w:rsidR="00D25C93" w14:paraId="76823B15" w14:textId="77777777">
        <w:trPr>
          <w:jc w:val="center"/>
        </w:trPr>
        <w:tc>
          <w:tcPr>
            <w:tcW w:w="3402" w:type="dxa"/>
            <w:shd w:val="clear" w:color="auto" w:fill="1A5276"/>
          </w:tcPr>
          <w:p w14:paraId="4FFB355B" w14:textId="77777777" w:rsidR="00D25C93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Показатель</w:t>
            </w:r>
            <w:proofErr w:type="spellEnd"/>
          </w:p>
        </w:tc>
        <w:tc>
          <w:tcPr>
            <w:tcW w:w="1984" w:type="dxa"/>
            <w:shd w:val="clear" w:color="auto" w:fill="1A5276"/>
          </w:tcPr>
          <w:p w14:paraId="733AD353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Прибрежная зона</w:t>
            </w:r>
          </w:p>
        </w:tc>
        <w:tc>
          <w:tcPr>
            <w:tcW w:w="2268" w:type="dxa"/>
            <w:shd w:val="clear" w:color="auto" w:fill="1A5276"/>
          </w:tcPr>
          <w:p w14:paraId="32CA0D3E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Внутренние регионы</w:t>
            </w:r>
          </w:p>
        </w:tc>
        <w:tc>
          <w:tcPr>
            <w:tcW w:w="1984" w:type="dxa"/>
            <w:shd w:val="clear" w:color="auto" w:fill="1A5276"/>
          </w:tcPr>
          <w:p w14:paraId="0C6AC131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Среднее по стране</w:t>
            </w:r>
          </w:p>
        </w:tc>
      </w:tr>
      <w:tr w:rsidR="00D25C93" w14:paraId="7E87B657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7D217D00" w14:textId="77777777" w:rsidR="00D25C93" w:rsidRDefault="00000000">
            <w:r>
              <w:rPr>
                <w:rFonts w:ascii="Times New Roman" w:hAnsi="Times New Roman"/>
                <w:sz w:val="20"/>
              </w:rPr>
              <w:t>Покрытие 4G, % территории</w:t>
            </w:r>
          </w:p>
        </w:tc>
        <w:tc>
          <w:tcPr>
            <w:tcW w:w="1984" w:type="dxa"/>
            <w:shd w:val="clear" w:color="auto" w:fill="FFFFFF"/>
          </w:tcPr>
          <w:p w14:paraId="08C56A41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96,2</w:t>
            </w:r>
          </w:p>
        </w:tc>
        <w:tc>
          <w:tcPr>
            <w:tcW w:w="2268" w:type="dxa"/>
            <w:shd w:val="clear" w:color="auto" w:fill="FFFFFF"/>
          </w:tcPr>
          <w:p w14:paraId="1889FFD4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68,7</w:t>
            </w:r>
          </w:p>
        </w:tc>
        <w:tc>
          <w:tcPr>
            <w:tcW w:w="1984" w:type="dxa"/>
            <w:shd w:val="clear" w:color="auto" w:fill="FFFFFF"/>
          </w:tcPr>
          <w:p w14:paraId="0128350C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82,4</w:t>
            </w:r>
          </w:p>
        </w:tc>
      </w:tr>
      <w:tr w:rsidR="00D25C93" w14:paraId="7E164B71" w14:textId="77777777">
        <w:trPr>
          <w:jc w:val="center"/>
        </w:trPr>
        <w:tc>
          <w:tcPr>
            <w:tcW w:w="3402" w:type="dxa"/>
            <w:shd w:val="clear" w:color="auto" w:fill="EBF5FB"/>
          </w:tcPr>
          <w:p w14:paraId="376B3586" w14:textId="77777777" w:rsidR="00D25C93" w:rsidRPr="00F67FAE" w:rsidRDefault="00000000">
            <w:pPr>
              <w:rPr>
                <w:lang w:val="ru-RU"/>
              </w:rPr>
            </w:pPr>
            <w:r w:rsidRPr="00F67FAE">
              <w:rPr>
                <w:rFonts w:ascii="Times New Roman" w:hAnsi="Times New Roman"/>
                <w:sz w:val="20"/>
                <w:lang w:val="ru-RU"/>
              </w:rPr>
              <w:t>Абоненты моб. интернета на 100 жит.</w:t>
            </w:r>
          </w:p>
        </w:tc>
        <w:tc>
          <w:tcPr>
            <w:tcW w:w="1984" w:type="dxa"/>
            <w:shd w:val="clear" w:color="auto" w:fill="EBF5FB"/>
          </w:tcPr>
          <w:p w14:paraId="26F115BF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78,3</w:t>
            </w:r>
          </w:p>
        </w:tc>
        <w:tc>
          <w:tcPr>
            <w:tcW w:w="2268" w:type="dxa"/>
            <w:shd w:val="clear" w:color="auto" w:fill="EBF5FB"/>
          </w:tcPr>
          <w:p w14:paraId="09DBFF7B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34,1</w:t>
            </w:r>
          </w:p>
        </w:tc>
        <w:tc>
          <w:tcPr>
            <w:tcW w:w="1984" w:type="dxa"/>
            <w:shd w:val="clear" w:color="auto" w:fill="EBF5FB"/>
          </w:tcPr>
          <w:p w14:paraId="57E4C2E9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51,7</w:t>
            </w:r>
          </w:p>
        </w:tc>
      </w:tr>
      <w:tr w:rsidR="00D25C93" w14:paraId="528664D1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38593659" w14:textId="77777777" w:rsidR="00D25C93" w:rsidRDefault="00000000">
            <w:r>
              <w:rPr>
                <w:rFonts w:ascii="Times New Roman" w:hAnsi="Times New Roman"/>
                <w:sz w:val="20"/>
              </w:rPr>
              <w:t>Проникновение Mobile Money, % взросл.</w:t>
            </w:r>
          </w:p>
        </w:tc>
        <w:tc>
          <w:tcPr>
            <w:tcW w:w="1984" w:type="dxa"/>
            <w:shd w:val="clear" w:color="auto" w:fill="FFFFFF"/>
          </w:tcPr>
          <w:p w14:paraId="5186B764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89,0</w:t>
            </w:r>
          </w:p>
        </w:tc>
        <w:tc>
          <w:tcPr>
            <w:tcW w:w="2268" w:type="dxa"/>
            <w:shd w:val="clear" w:color="auto" w:fill="FFFFFF"/>
          </w:tcPr>
          <w:p w14:paraId="383666F9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54,0</w:t>
            </w:r>
          </w:p>
        </w:tc>
        <w:tc>
          <w:tcPr>
            <w:tcW w:w="1984" w:type="dxa"/>
            <w:shd w:val="clear" w:color="auto" w:fill="FFFFFF"/>
          </w:tcPr>
          <w:p w14:paraId="1A192AA9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67,5</w:t>
            </w:r>
          </w:p>
        </w:tc>
      </w:tr>
      <w:tr w:rsidR="00D25C93" w14:paraId="04C2AB8F" w14:textId="77777777">
        <w:trPr>
          <w:jc w:val="center"/>
        </w:trPr>
        <w:tc>
          <w:tcPr>
            <w:tcW w:w="3402" w:type="dxa"/>
            <w:shd w:val="clear" w:color="auto" w:fill="EBF5FB"/>
          </w:tcPr>
          <w:p w14:paraId="08D69473" w14:textId="77777777" w:rsidR="00D25C93" w:rsidRPr="00F67FAE" w:rsidRDefault="00000000">
            <w:pPr>
              <w:rPr>
                <w:lang w:val="ru-RU"/>
              </w:rPr>
            </w:pPr>
            <w:r w:rsidRPr="00F67FAE">
              <w:rPr>
                <w:rFonts w:ascii="Times New Roman" w:hAnsi="Times New Roman"/>
                <w:sz w:val="20"/>
                <w:lang w:val="ru-RU"/>
              </w:rPr>
              <w:t>Скорость моб. интернета, Мбит/с</w:t>
            </w:r>
          </w:p>
        </w:tc>
        <w:tc>
          <w:tcPr>
            <w:tcW w:w="1984" w:type="dxa"/>
            <w:shd w:val="clear" w:color="auto" w:fill="EBF5FB"/>
          </w:tcPr>
          <w:p w14:paraId="2B09B02F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28,4</w:t>
            </w:r>
          </w:p>
        </w:tc>
        <w:tc>
          <w:tcPr>
            <w:tcW w:w="2268" w:type="dxa"/>
            <w:shd w:val="clear" w:color="auto" w:fill="EBF5FB"/>
          </w:tcPr>
          <w:p w14:paraId="2DB8BB97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14,2</w:t>
            </w:r>
          </w:p>
        </w:tc>
        <w:tc>
          <w:tcPr>
            <w:tcW w:w="1984" w:type="dxa"/>
            <w:shd w:val="clear" w:color="auto" w:fill="EBF5FB"/>
          </w:tcPr>
          <w:p w14:paraId="23015265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19,8</w:t>
            </w:r>
          </w:p>
        </w:tc>
      </w:tr>
      <w:tr w:rsidR="00D25C93" w14:paraId="781B8AAA" w14:textId="77777777">
        <w:trPr>
          <w:jc w:val="center"/>
        </w:trPr>
        <w:tc>
          <w:tcPr>
            <w:tcW w:w="3402" w:type="dxa"/>
            <w:shd w:val="clear" w:color="auto" w:fill="FFFFFF"/>
          </w:tcPr>
          <w:p w14:paraId="3B3C4FA3" w14:textId="77777777" w:rsidR="00D25C93" w:rsidRPr="00F67FAE" w:rsidRDefault="00000000">
            <w:pPr>
              <w:rPr>
                <w:lang w:val="ru-RU"/>
              </w:rPr>
            </w:pPr>
            <w:r w:rsidRPr="00F67FAE">
              <w:rPr>
                <w:rFonts w:ascii="Times New Roman" w:hAnsi="Times New Roman"/>
                <w:sz w:val="20"/>
                <w:lang w:val="ru-RU"/>
              </w:rPr>
              <w:t>Точек доступа к интернету на 100 тыс.</w:t>
            </w:r>
          </w:p>
        </w:tc>
        <w:tc>
          <w:tcPr>
            <w:tcW w:w="1984" w:type="dxa"/>
            <w:shd w:val="clear" w:color="auto" w:fill="FFFFFF"/>
          </w:tcPr>
          <w:p w14:paraId="13C7ED05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4,2</w:t>
            </w:r>
          </w:p>
        </w:tc>
        <w:tc>
          <w:tcPr>
            <w:tcW w:w="2268" w:type="dxa"/>
            <w:shd w:val="clear" w:color="auto" w:fill="FFFFFF"/>
          </w:tcPr>
          <w:p w14:paraId="77DC9342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1,1</w:t>
            </w:r>
          </w:p>
        </w:tc>
        <w:tc>
          <w:tcPr>
            <w:tcW w:w="1984" w:type="dxa"/>
            <w:shd w:val="clear" w:color="auto" w:fill="FFFFFF"/>
          </w:tcPr>
          <w:p w14:paraId="640A3EE4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2,3</w:t>
            </w:r>
          </w:p>
        </w:tc>
      </w:tr>
      <w:tr w:rsidR="00D25C93" w14:paraId="7A8389B8" w14:textId="77777777">
        <w:trPr>
          <w:jc w:val="center"/>
        </w:trPr>
        <w:tc>
          <w:tcPr>
            <w:tcW w:w="3402" w:type="dxa"/>
            <w:shd w:val="clear" w:color="auto" w:fill="EBF5FB"/>
          </w:tcPr>
          <w:p w14:paraId="53A393CB" w14:textId="77777777" w:rsidR="00D25C93" w:rsidRPr="00F67FAE" w:rsidRDefault="00000000">
            <w:pPr>
              <w:rPr>
                <w:lang w:val="ru-RU"/>
              </w:rPr>
            </w:pPr>
            <w:r w:rsidRPr="00F67FAE">
              <w:rPr>
                <w:rFonts w:ascii="Times New Roman" w:hAnsi="Times New Roman"/>
                <w:sz w:val="20"/>
                <w:lang w:val="ru-RU"/>
              </w:rPr>
              <w:t xml:space="preserve">Доля нас. с </w:t>
            </w:r>
            <w:proofErr w:type="spellStart"/>
            <w:r w:rsidRPr="00F67FAE">
              <w:rPr>
                <w:rFonts w:ascii="Times New Roman" w:hAnsi="Times New Roman"/>
                <w:sz w:val="20"/>
                <w:lang w:val="ru-RU"/>
              </w:rPr>
              <w:t>высш</w:t>
            </w:r>
            <w:proofErr w:type="spellEnd"/>
            <w:r w:rsidRPr="00F67FAE">
              <w:rPr>
                <w:rFonts w:ascii="Times New Roman" w:hAnsi="Times New Roman"/>
                <w:sz w:val="20"/>
                <w:lang w:val="ru-RU"/>
              </w:rPr>
              <w:t>. образованием, %</w:t>
            </w:r>
          </w:p>
        </w:tc>
        <w:tc>
          <w:tcPr>
            <w:tcW w:w="1984" w:type="dxa"/>
            <w:shd w:val="clear" w:color="auto" w:fill="EBF5FB"/>
          </w:tcPr>
          <w:p w14:paraId="4569AC49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24,7</w:t>
            </w:r>
          </w:p>
        </w:tc>
        <w:tc>
          <w:tcPr>
            <w:tcW w:w="2268" w:type="dxa"/>
            <w:shd w:val="clear" w:color="auto" w:fill="EBF5FB"/>
          </w:tcPr>
          <w:p w14:paraId="020348AF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8,3</w:t>
            </w:r>
          </w:p>
        </w:tc>
        <w:tc>
          <w:tcPr>
            <w:tcW w:w="1984" w:type="dxa"/>
            <w:shd w:val="clear" w:color="auto" w:fill="EBF5FB"/>
          </w:tcPr>
          <w:p w14:paraId="53082515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12,1</w:t>
            </w:r>
          </w:p>
        </w:tc>
      </w:tr>
    </w:tbl>
    <w:p w14:paraId="00BC50B2" w14:textId="77777777" w:rsidR="00D25C93" w:rsidRPr="00F67FAE" w:rsidRDefault="00000000">
      <w:pPr>
        <w:spacing w:after="0" w:line="440" w:lineRule="exact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Источник: составлено по данным Министерства цифровизации и почты Кот-д'Ивуара [8]; </w:t>
      </w:r>
      <w:proofErr w:type="spellStart"/>
      <w:r>
        <w:rPr>
          <w:rFonts w:ascii="Times New Roman" w:hAnsi="Times New Roman"/>
          <w:color w:val="000000"/>
          <w:sz w:val="28"/>
        </w:rPr>
        <w:t>AnStat</w:t>
      </w:r>
      <w:proofErr w:type="spellEnd"/>
      <w:r w:rsidRPr="00F67FAE">
        <w:rPr>
          <w:rFonts w:ascii="Times New Roman" w:hAnsi="Times New Roman"/>
          <w:color w:val="000000"/>
          <w:sz w:val="28"/>
          <w:lang w:val="ru-RU"/>
        </w:rPr>
        <w:t xml:space="preserve"> [7].</w:t>
      </w:r>
    </w:p>
    <w:p w14:paraId="53707E73" w14:textId="77777777" w:rsidR="00D25C93" w:rsidRPr="00F67FAE" w:rsidRDefault="00D25C93">
      <w:pPr>
        <w:spacing w:after="0" w:line="440" w:lineRule="exact"/>
        <w:ind w:firstLine="709"/>
        <w:jc w:val="both"/>
        <w:rPr>
          <w:lang w:val="ru-RU"/>
        </w:rPr>
      </w:pPr>
    </w:p>
    <w:p w14:paraId="1DAFEE0D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Особо следует отметить значительную внутреннюю дифференциацию цифровых показателей в пределах самой прибрежной зоны: в центральных районах Абиджана средняя скорость интернета достигает 45 Мбит/с, тогда как в периферийных прибрежных коммунах (Гранд-Лагун, </w:t>
      </w:r>
      <w:proofErr w:type="spellStart"/>
      <w:r w:rsidRPr="00F67FAE">
        <w:rPr>
          <w:rFonts w:ascii="Times New Roman" w:hAnsi="Times New Roman"/>
          <w:color w:val="000000"/>
          <w:sz w:val="28"/>
          <w:lang w:val="ru-RU"/>
        </w:rPr>
        <w:t>Ассинье</w:t>
      </w:r>
      <w:proofErr w:type="spellEnd"/>
      <w:r w:rsidRPr="00F67FAE">
        <w:rPr>
          <w:rFonts w:ascii="Times New Roman" w:hAnsi="Times New Roman"/>
          <w:color w:val="000000"/>
          <w:sz w:val="28"/>
          <w:lang w:val="ru-RU"/>
        </w:rPr>
        <w:t>) этот показатель не превышает 12 Мбит/с [8]. Это означает, что параллельно с развёртыванием платформы необходимы инфраструктурные инвестиции в ликвидацию «цифровых лакун» на периферии прибрежной зоны — иначе платформа рискует воспроизвести и закрепить пространственное неравенство вместо его сокращения.</w:t>
      </w:r>
    </w:p>
    <w:p w14:paraId="014C39B9" w14:textId="77777777" w:rsidR="00D25C93" w:rsidRPr="00F67FAE" w:rsidRDefault="00000000">
      <w:pPr>
        <w:spacing w:before="200" w:after="120" w:line="440" w:lineRule="exact"/>
        <w:rPr>
          <w:lang w:val="ru-RU"/>
        </w:rPr>
      </w:pPr>
      <w:r w:rsidRPr="00F67FAE">
        <w:rPr>
          <w:rFonts w:ascii="Times New Roman" w:hAnsi="Times New Roman"/>
          <w:b/>
          <w:i/>
          <w:color w:val="2E4A62"/>
          <w:sz w:val="28"/>
          <w:lang w:val="ru-RU"/>
        </w:rPr>
        <w:t>2.1.7. Сценарный прогноз макроэкономических результатов (2025–2035 гг.)</w:t>
      </w:r>
    </w:p>
    <w:p w14:paraId="644F2F3E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lastRenderedPageBreak/>
        <w:t>Количественная оценка стратегических результатов проекта «Берег Восхода» строится на трёх альтернативных сценариях, различающихся темпом реализации кластерной программы и глубиной институциональных реформ.</w:t>
      </w:r>
    </w:p>
    <w:p w14:paraId="4CD450D7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Инерционный сценарий (</w:t>
      </w:r>
      <w:r>
        <w:rPr>
          <w:rFonts w:ascii="Times New Roman" w:hAnsi="Times New Roman"/>
          <w:color w:val="000000"/>
          <w:sz w:val="28"/>
        </w:rPr>
        <w:t>Business</w:t>
      </w:r>
      <w:r w:rsidRPr="00F67FAE">
        <w:rPr>
          <w:rFonts w:ascii="Times New Roman" w:hAnsi="Times New Roman"/>
          <w:color w:val="000000"/>
          <w:sz w:val="28"/>
          <w:lang w:val="ru-RU"/>
        </w:rPr>
        <w:t>-</w:t>
      </w:r>
      <w:r>
        <w:rPr>
          <w:rFonts w:ascii="Times New Roman" w:hAnsi="Times New Roman"/>
          <w:color w:val="000000"/>
          <w:sz w:val="28"/>
        </w:rPr>
        <w:t>As</w:t>
      </w:r>
      <w:r w:rsidRPr="00F67FAE">
        <w:rPr>
          <w:rFonts w:ascii="Times New Roman" w:hAnsi="Times New Roman"/>
          <w:color w:val="000000"/>
          <w:sz w:val="28"/>
          <w:lang w:val="ru-RU"/>
        </w:rPr>
        <w:t>-</w:t>
      </w:r>
      <w:r>
        <w:rPr>
          <w:rFonts w:ascii="Times New Roman" w:hAnsi="Times New Roman"/>
          <w:color w:val="000000"/>
          <w:sz w:val="28"/>
        </w:rPr>
        <w:t>Usual</w:t>
      </w:r>
      <w:r w:rsidRPr="00F67FAE">
        <w:rPr>
          <w:rFonts w:ascii="Times New Roman" w:hAnsi="Times New Roman"/>
          <w:color w:val="000000"/>
          <w:sz w:val="28"/>
          <w:lang w:val="ru-RU"/>
        </w:rPr>
        <w:t>) предполагает сохранение текущей траектории роста с ежегодным приростом ВВП ≈ 6,0% без реализации платформенной инициативы. К 2035 году ВВП достигнет ≈ 105 трлн франков КФА, структура экономики принципиально не изменится, зависимость от сырьевого экспорта сохранится. Это наиболее вероятный исход при отсутствии активной промышленной политики.</w:t>
      </w:r>
    </w:p>
    <w:p w14:paraId="082E1BF4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Умеренный сценарий предполагает частичную реализацию трёх из пяти кластеров (агропереработка, логистика, цифра) при ограниченном институциональном развитии. Темп роста ВВП ускоряется до 8–9% в 2028–2031 гг. и снижается до 8,3% к 2035 году. ВВП достигает ≈ 135 трлн франков КФА — на 29% выше инерционного сценария.</w:t>
      </w:r>
    </w:p>
    <w:p w14:paraId="6BF31CEE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Оптимальный сценарий — полная реализация «Берег Восхода»: развёртывание всех пяти кластеров, выход платформы на полную мощность к 2031 году, активное привлечение международного капитала через механизм СП 50/50. Темп роста ВВП ускоряется до 12,2% в 2030–2031 гг. (пик второй фазы) и стабилизируется на уровне 11–12% к 2035 году. ВВП достигает ≈ 163 трлн франков КФА — на 55% выше инерционного сценария и на 21% выше умеренного.</w:t>
      </w:r>
    </w:p>
    <w:p w14:paraId="68A9C6A0" w14:textId="77777777" w:rsidR="00D25C93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B914D56" wp14:editId="605091BD">
            <wp:extent cx="5400000" cy="26791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E52E" w14:textId="77777777" w:rsidR="00D25C93" w:rsidRPr="00F67FAE" w:rsidRDefault="00000000" w:rsidP="007A5BF6">
      <w:pPr>
        <w:spacing w:after="0" w:line="240" w:lineRule="auto"/>
        <w:jc w:val="center"/>
        <w:rPr>
          <w:lang w:val="ru-RU"/>
        </w:rPr>
      </w:pPr>
      <w:r w:rsidRPr="00F67FAE">
        <w:rPr>
          <w:rFonts w:ascii="Times New Roman" w:hAnsi="Times New Roman"/>
          <w:i/>
          <w:color w:val="555555"/>
          <w:lang w:val="ru-RU"/>
        </w:rPr>
        <w:t>Рисунок 6. Прогноз ВВП Республики Кот-д'Ивуар до 2035 г. (три сценария)</w:t>
      </w:r>
      <w:r w:rsidRPr="00F67FAE">
        <w:rPr>
          <w:rFonts w:ascii="Times New Roman" w:hAnsi="Times New Roman"/>
          <w:i/>
          <w:color w:val="555555"/>
          <w:lang w:val="ru-RU"/>
        </w:rPr>
        <w:br/>
        <w:t>Примечание. Авторские расчёты. Базовые данные — [7; 11].</w:t>
      </w:r>
    </w:p>
    <w:p w14:paraId="2F55054E" w14:textId="77777777" w:rsidR="00F67FAE" w:rsidRDefault="00000000">
      <w:pPr>
        <w:spacing w:after="0" w:line="440" w:lineRule="exact"/>
        <w:ind w:firstLine="709"/>
        <w:jc w:val="both"/>
        <w:rPr>
          <w:rFonts w:ascii="Times New Roman" w:hAnsi="Times New Roman"/>
          <w:color w:val="000000"/>
          <w:sz w:val="28"/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Рисунок 6 наглядно демонстрирует расширяющийся «веер сценариев»: до 2027 года (Фаза </w:t>
      </w:r>
      <w:r>
        <w:rPr>
          <w:rFonts w:ascii="Times New Roman" w:hAnsi="Times New Roman"/>
          <w:color w:val="000000"/>
          <w:sz w:val="28"/>
        </w:rPr>
        <w:t>I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) разрыв между ними невелик, поскольку платформа ещё только разворачивается. </w:t>
      </w:r>
    </w:p>
    <w:p w14:paraId="41CBD4EF" w14:textId="77777777" w:rsidR="00F67FAE" w:rsidRDefault="00000000">
      <w:pPr>
        <w:spacing w:after="0" w:line="440" w:lineRule="exact"/>
        <w:ind w:firstLine="709"/>
        <w:jc w:val="both"/>
        <w:rPr>
          <w:rFonts w:ascii="Times New Roman" w:hAnsi="Times New Roman"/>
          <w:color w:val="000000"/>
          <w:sz w:val="28"/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Стремительное расхождение начинается с 2028–2029 гг. (Фаза </w:t>
      </w:r>
      <w:r>
        <w:rPr>
          <w:rFonts w:ascii="Times New Roman" w:hAnsi="Times New Roman"/>
          <w:color w:val="000000"/>
          <w:sz w:val="28"/>
        </w:rPr>
        <w:t>II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), когда масштабирование кластеров начинает генерировать нарастающие мультипликативные эффекты. </w:t>
      </w:r>
    </w:p>
    <w:p w14:paraId="32A5F59F" w14:textId="6BB96104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К 2035 году разрыв между оптимальным и инерционным сценариями составляет ≈ 58 трлн франков КФА — это сумма, сопоставимая с текущим ВВП страны.</w:t>
      </w:r>
    </w:p>
    <w:p w14:paraId="23CC9B6C" w14:textId="77777777" w:rsidR="00D25C93" w:rsidRPr="00F67FAE" w:rsidRDefault="00000000">
      <w:pPr>
        <w:spacing w:after="0" w:line="440" w:lineRule="exact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Таблица 5. Сравнение ключевых показателей по сценариям к 2035 году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1701"/>
        <w:gridCol w:w="1701"/>
        <w:gridCol w:w="2438"/>
      </w:tblGrid>
      <w:tr w:rsidR="00D25C93" w14:paraId="20C2336B" w14:textId="77777777">
        <w:trPr>
          <w:jc w:val="center"/>
        </w:trPr>
        <w:tc>
          <w:tcPr>
            <w:tcW w:w="3515" w:type="dxa"/>
            <w:shd w:val="clear" w:color="auto" w:fill="1A5276"/>
          </w:tcPr>
          <w:p w14:paraId="7B733CB9" w14:textId="77777777" w:rsidR="00D25C93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Показатель</w:t>
            </w:r>
            <w:proofErr w:type="spellEnd"/>
          </w:p>
        </w:tc>
        <w:tc>
          <w:tcPr>
            <w:tcW w:w="1701" w:type="dxa"/>
            <w:shd w:val="clear" w:color="auto" w:fill="1A5276"/>
          </w:tcPr>
          <w:p w14:paraId="0EED71C8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Инерционный</w:t>
            </w:r>
          </w:p>
        </w:tc>
        <w:tc>
          <w:tcPr>
            <w:tcW w:w="1701" w:type="dxa"/>
            <w:shd w:val="clear" w:color="auto" w:fill="1A5276"/>
          </w:tcPr>
          <w:p w14:paraId="4632C0C6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Умеренный</w:t>
            </w:r>
          </w:p>
        </w:tc>
        <w:tc>
          <w:tcPr>
            <w:tcW w:w="2438" w:type="dxa"/>
            <w:shd w:val="clear" w:color="auto" w:fill="1A5276"/>
          </w:tcPr>
          <w:p w14:paraId="241A51D6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Оптимальный</w:t>
            </w:r>
          </w:p>
        </w:tc>
      </w:tr>
      <w:tr w:rsidR="00D25C93" w14:paraId="2E79C15A" w14:textId="77777777">
        <w:trPr>
          <w:jc w:val="center"/>
        </w:trPr>
        <w:tc>
          <w:tcPr>
            <w:tcW w:w="3515" w:type="dxa"/>
            <w:shd w:val="clear" w:color="auto" w:fill="FFFFFF"/>
          </w:tcPr>
          <w:p w14:paraId="553B5DF2" w14:textId="77777777" w:rsidR="00D25C93" w:rsidRDefault="00000000">
            <w:r>
              <w:rPr>
                <w:rFonts w:ascii="Times New Roman" w:hAnsi="Times New Roman"/>
                <w:sz w:val="20"/>
              </w:rPr>
              <w:t>ВВП, трлн франков КФА</w:t>
            </w:r>
          </w:p>
        </w:tc>
        <w:tc>
          <w:tcPr>
            <w:tcW w:w="1701" w:type="dxa"/>
            <w:shd w:val="clear" w:color="auto" w:fill="FFFFFF"/>
          </w:tcPr>
          <w:p w14:paraId="618FF117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≈105</w:t>
            </w:r>
          </w:p>
        </w:tc>
        <w:tc>
          <w:tcPr>
            <w:tcW w:w="1701" w:type="dxa"/>
            <w:shd w:val="clear" w:color="auto" w:fill="FFFFFF"/>
          </w:tcPr>
          <w:p w14:paraId="6A20F9F0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≈135</w:t>
            </w:r>
          </w:p>
        </w:tc>
        <w:tc>
          <w:tcPr>
            <w:tcW w:w="2438" w:type="dxa"/>
            <w:shd w:val="clear" w:color="auto" w:fill="FFFFFF"/>
          </w:tcPr>
          <w:p w14:paraId="0E214C53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≈163</w:t>
            </w:r>
          </w:p>
        </w:tc>
      </w:tr>
      <w:tr w:rsidR="00D25C93" w14:paraId="6E6A9BE7" w14:textId="77777777">
        <w:trPr>
          <w:jc w:val="center"/>
        </w:trPr>
        <w:tc>
          <w:tcPr>
            <w:tcW w:w="3515" w:type="dxa"/>
            <w:shd w:val="clear" w:color="auto" w:fill="EBF5FB"/>
          </w:tcPr>
          <w:p w14:paraId="0FFB7230" w14:textId="77777777" w:rsidR="00D25C93" w:rsidRDefault="00000000">
            <w:r>
              <w:rPr>
                <w:rFonts w:ascii="Times New Roman" w:hAnsi="Times New Roman"/>
                <w:sz w:val="20"/>
              </w:rPr>
              <w:t>Доп. прирост к BAU, %</w:t>
            </w:r>
          </w:p>
        </w:tc>
        <w:tc>
          <w:tcPr>
            <w:tcW w:w="1701" w:type="dxa"/>
            <w:shd w:val="clear" w:color="auto" w:fill="EBF5FB"/>
          </w:tcPr>
          <w:p w14:paraId="3C5862C5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1701" w:type="dxa"/>
            <w:shd w:val="clear" w:color="auto" w:fill="EBF5FB"/>
          </w:tcPr>
          <w:p w14:paraId="25D1F669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+29%</w:t>
            </w:r>
          </w:p>
        </w:tc>
        <w:tc>
          <w:tcPr>
            <w:tcW w:w="2438" w:type="dxa"/>
            <w:shd w:val="clear" w:color="auto" w:fill="EBF5FB"/>
          </w:tcPr>
          <w:p w14:paraId="02E6E1A1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+55%</w:t>
            </w:r>
          </w:p>
        </w:tc>
      </w:tr>
      <w:tr w:rsidR="00D25C93" w14:paraId="597E3477" w14:textId="77777777">
        <w:trPr>
          <w:jc w:val="center"/>
        </w:trPr>
        <w:tc>
          <w:tcPr>
            <w:tcW w:w="3515" w:type="dxa"/>
            <w:shd w:val="clear" w:color="auto" w:fill="FFFFFF"/>
          </w:tcPr>
          <w:p w14:paraId="0AEBD287" w14:textId="77777777" w:rsidR="00D25C93" w:rsidRDefault="00000000">
            <w:r>
              <w:rPr>
                <w:rFonts w:ascii="Times New Roman" w:hAnsi="Times New Roman"/>
                <w:sz w:val="20"/>
              </w:rPr>
              <w:t>Среднегод. темп роста 2025–2035</w:t>
            </w:r>
          </w:p>
        </w:tc>
        <w:tc>
          <w:tcPr>
            <w:tcW w:w="1701" w:type="dxa"/>
            <w:shd w:val="clear" w:color="auto" w:fill="FFFFFF"/>
          </w:tcPr>
          <w:p w14:paraId="13F834ED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6,0%</w:t>
            </w:r>
          </w:p>
        </w:tc>
        <w:tc>
          <w:tcPr>
            <w:tcW w:w="1701" w:type="dxa"/>
            <w:shd w:val="clear" w:color="auto" w:fill="FFFFFF"/>
          </w:tcPr>
          <w:p w14:paraId="34131E32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8,4%</w:t>
            </w:r>
          </w:p>
        </w:tc>
        <w:tc>
          <w:tcPr>
            <w:tcW w:w="2438" w:type="dxa"/>
            <w:shd w:val="clear" w:color="auto" w:fill="FFFFFF"/>
          </w:tcPr>
          <w:p w14:paraId="5C7A438C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10,8%</w:t>
            </w:r>
          </w:p>
        </w:tc>
      </w:tr>
      <w:tr w:rsidR="00D25C93" w14:paraId="1CA871C7" w14:textId="77777777">
        <w:trPr>
          <w:jc w:val="center"/>
        </w:trPr>
        <w:tc>
          <w:tcPr>
            <w:tcW w:w="3515" w:type="dxa"/>
            <w:shd w:val="clear" w:color="auto" w:fill="EBF5FB"/>
          </w:tcPr>
          <w:p w14:paraId="59AF9491" w14:textId="77777777" w:rsidR="00D25C93" w:rsidRDefault="00000000">
            <w:r>
              <w:rPr>
                <w:rFonts w:ascii="Times New Roman" w:hAnsi="Times New Roman"/>
                <w:sz w:val="20"/>
              </w:rPr>
              <w:t>Доля промышл. в ВВП, %</w:t>
            </w:r>
          </w:p>
        </w:tc>
        <w:tc>
          <w:tcPr>
            <w:tcW w:w="1701" w:type="dxa"/>
            <w:shd w:val="clear" w:color="auto" w:fill="EBF5FB"/>
          </w:tcPr>
          <w:p w14:paraId="3FE368A0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19,5</w:t>
            </w:r>
          </w:p>
        </w:tc>
        <w:tc>
          <w:tcPr>
            <w:tcW w:w="1701" w:type="dxa"/>
            <w:shd w:val="clear" w:color="auto" w:fill="EBF5FB"/>
          </w:tcPr>
          <w:p w14:paraId="123195D3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23,0</w:t>
            </w:r>
          </w:p>
        </w:tc>
        <w:tc>
          <w:tcPr>
            <w:tcW w:w="2438" w:type="dxa"/>
            <w:shd w:val="clear" w:color="auto" w:fill="EBF5FB"/>
          </w:tcPr>
          <w:p w14:paraId="134D6F03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27,5</w:t>
            </w:r>
          </w:p>
        </w:tc>
      </w:tr>
      <w:tr w:rsidR="00D25C93" w14:paraId="269DCDFA" w14:textId="77777777">
        <w:trPr>
          <w:jc w:val="center"/>
        </w:trPr>
        <w:tc>
          <w:tcPr>
            <w:tcW w:w="3515" w:type="dxa"/>
            <w:shd w:val="clear" w:color="auto" w:fill="FFFFFF"/>
          </w:tcPr>
          <w:p w14:paraId="05218ECD" w14:textId="77777777" w:rsidR="00D25C93" w:rsidRDefault="00000000">
            <w:r>
              <w:rPr>
                <w:rFonts w:ascii="Times New Roman" w:hAnsi="Times New Roman"/>
                <w:sz w:val="20"/>
              </w:rPr>
              <w:t>Сырьевой экспорт, % от общего</w:t>
            </w:r>
          </w:p>
        </w:tc>
        <w:tc>
          <w:tcPr>
            <w:tcW w:w="1701" w:type="dxa"/>
            <w:shd w:val="clear" w:color="auto" w:fill="FFFFFF"/>
          </w:tcPr>
          <w:p w14:paraId="73700817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42</w:t>
            </w:r>
          </w:p>
        </w:tc>
        <w:tc>
          <w:tcPr>
            <w:tcW w:w="1701" w:type="dxa"/>
            <w:shd w:val="clear" w:color="auto" w:fill="FFFFFF"/>
          </w:tcPr>
          <w:p w14:paraId="2BF34E59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33</w:t>
            </w:r>
          </w:p>
        </w:tc>
        <w:tc>
          <w:tcPr>
            <w:tcW w:w="2438" w:type="dxa"/>
            <w:shd w:val="clear" w:color="auto" w:fill="FFFFFF"/>
          </w:tcPr>
          <w:p w14:paraId="301166B4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22</w:t>
            </w:r>
          </w:p>
        </w:tc>
      </w:tr>
      <w:tr w:rsidR="00D25C93" w14:paraId="715DA1AB" w14:textId="77777777">
        <w:trPr>
          <w:jc w:val="center"/>
        </w:trPr>
        <w:tc>
          <w:tcPr>
            <w:tcW w:w="3515" w:type="dxa"/>
            <w:shd w:val="clear" w:color="auto" w:fill="EBF5FB"/>
          </w:tcPr>
          <w:p w14:paraId="0EF3A758" w14:textId="77777777" w:rsidR="00D25C93" w:rsidRDefault="00000000">
            <w:r>
              <w:rPr>
                <w:rFonts w:ascii="Times New Roman" w:hAnsi="Times New Roman"/>
                <w:sz w:val="20"/>
              </w:rPr>
              <w:t>Безработица прибрежн. зоны, %</w:t>
            </w:r>
          </w:p>
        </w:tc>
        <w:tc>
          <w:tcPr>
            <w:tcW w:w="1701" w:type="dxa"/>
            <w:shd w:val="clear" w:color="auto" w:fill="EBF5FB"/>
          </w:tcPr>
          <w:p w14:paraId="3467A54C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12,5</w:t>
            </w:r>
          </w:p>
        </w:tc>
        <w:tc>
          <w:tcPr>
            <w:tcW w:w="1701" w:type="dxa"/>
            <w:shd w:val="clear" w:color="auto" w:fill="EBF5FB"/>
          </w:tcPr>
          <w:p w14:paraId="073D35A5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9,5</w:t>
            </w:r>
          </w:p>
        </w:tc>
        <w:tc>
          <w:tcPr>
            <w:tcW w:w="2438" w:type="dxa"/>
            <w:shd w:val="clear" w:color="auto" w:fill="EBF5FB"/>
          </w:tcPr>
          <w:p w14:paraId="523FB708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6,2</w:t>
            </w:r>
          </w:p>
        </w:tc>
      </w:tr>
      <w:tr w:rsidR="00D25C93" w14:paraId="1DB11233" w14:textId="77777777">
        <w:trPr>
          <w:jc w:val="center"/>
        </w:trPr>
        <w:tc>
          <w:tcPr>
            <w:tcW w:w="3515" w:type="dxa"/>
            <w:shd w:val="clear" w:color="auto" w:fill="FFFFFF"/>
          </w:tcPr>
          <w:p w14:paraId="30100F50" w14:textId="77777777" w:rsidR="00D25C93" w:rsidRPr="00F67FAE" w:rsidRDefault="00000000">
            <w:pPr>
              <w:rPr>
                <w:lang w:val="ru-RU"/>
              </w:rPr>
            </w:pPr>
            <w:r w:rsidRPr="00F67FAE">
              <w:rPr>
                <w:rFonts w:ascii="Times New Roman" w:hAnsi="Times New Roman"/>
                <w:sz w:val="20"/>
                <w:lang w:val="ru-RU"/>
              </w:rPr>
              <w:t>Создано доп. рабочих мест, тыс.</w:t>
            </w:r>
          </w:p>
        </w:tc>
        <w:tc>
          <w:tcPr>
            <w:tcW w:w="1701" w:type="dxa"/>
            <w:shd w:val="clear" w:color="auto" w:fill="FFFFFF"/>
          </w:tcPr>
          <w:p w14:paraId="73284301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w="1701" w:type="dxa"/>
            <w:shd w:val="clear" w:color="auto" w:fill="FFFFFF"/>
          </w:tcPr>
          <w:p w14:paraId="6A9F807C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≈180</w:t>
            </w:r>
          </w:p>
        </w:tc>
        <w:tc>
          <w:tcPr>
            <w:tcW w:w="2438" w:type="dxa"/>
            <w:shd w:val="clear" w:color="auto" w:fill="FFFFFF"/>
          </w:tcPr>
          <w:p w14:paraId="04111075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20"/>
              </w:rPr>
              <w:t>≈420</w:t>
            </w:r>
          </w:p>
        </w:tc>
      </w:tr>
    </w:tbl>
    <w:p w14:paraId="2D14031F" w14:textId="77777777" w:rsidR="00D25C93" w:rsidRDefault="00D25C93"/>
    <w:p w14:paraId="73C898DF" w14:textId="77777777" w:rsidR="00D25C93" w:rsidRPr="00F67FAE" w:rsidRDefault="00000000">
      <w:pPr>
        <w:spacing w:after="0" w:line="440" w:lineRule="exact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Источник: авторские расчёты на основе данных [7; 9; 11; 12].</w:t>
      </w:r>
    </w:p>
    <w:p w14:paraId="719D9054" w14:textId="77777777" w:rsidR="00D25C93" w:rsidRPr="00F67FAE" w:rsidRDefault="00D25C93">
      <w:pPr>
        <w:spacing w:after="0" w:line="440" w:lineRule="exact"/>
        <w:ind w:firstLine="709"/>
        <w:jc w:val="both"/>
        <w:rPr>
          <w:lang w:val="ru-RU"/>
        </w:rPr>
      </w:pPr>
    </w:p>
    <w:p w14:paraId="44B6E751" w14:textId="77777777" w:rsidR="00D25C93" w:rsidRPr="00F67FAE" w:rsidRDefault="00000000">
      <w:pPr>
        <w:spacing w:before="200" w:after="120" w:line="440" w:lineRule="exact"/>
        <w:rPr>
          <w:lang w:val="ru-RU"/>
        </w:rPr>
      </w:pPr>
      <w:r w:rsidRPr="00F67FAE">
        <w:rPr>
          <w:rFonts w:ascii="Times New Roman" w:hAnsi="Times New Roman"/>
          <w:b/>
          <w:i/>
          <w:color w:val="2E4A62"/>
          <w:sz w:val="28"/>
          <w:lang w:val="ru-RU"/>
        </w:rPr>
        <w:t>2.1.8. Этапность реализации и инвестиционная модель проекта «Берег Восхода»</w:t>
      </w:r>
    </w:p>
    <w:p w14:paraId="37D4F18F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lastRenderedPageBreak/>
        <w:t>Реализация проекта «Берег Восхода» разбита на три последовательные, но частично перекрывающиеся фазы, каждая из которых имеет собственную логику, целевые показатели и механизмы финансирования.</w:t>
      </w:r>
    </w:p>
    <w:p w14:paraId="035E9B4D" w14:textId="77777777" w:rsidR="00F67FAE" w:rsidRDefault="00000000">
      <w:pPr>
        <w:spacing w:after="0" w:line="440" w:lineRule="exact"/>
        <w:ind w:firstLine="709"/>
        <w:jc w:val="both"/>
        <w:rPr>
          <w:rFonts w:ascii="Times New Roman" w:hAnsi="Times New Roman"/>
          <w:color w:val="000000"/>
          <w:sz w:val="28"/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Фаза </w:t>
      </w:r>
      <w:r>
        <w:rPr>
          <w:rFonts w:ascii="Times New Roman" w:hAnsi="Times New Roman"/>
          <w:color w:val="000000"/>
          <w:sz w:val="28"/>
        </w:rPr>
        <w:t>I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(2025–2027) — «Институциональная база и пилотные запуски». Ключевая задача — создать нормативно-правовую архитектуру цифровой платформы, привлечь первых стратегических партнёров, запустить 3–5 пилотных совместных предприятий в агросекторе и логистике, развернуть платформенное ядро </w:t>
      </w:r>
      <w:r>
        <w:rPr>
          <w:rFonts w:ascii="Times New Roman" w:hAnsi="Times New Roman"/>
          <w:color w:val="000000"/>
          <w:sz w:val="28"/>
        </w:rPr>
        <w:t>v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1.0 с модулями </w:t>
      </w:r>
      <w:r>
        <w:rPr>
          <w:rFonts w:ascii="Times New Roman" w:hAnsi="Times New Roman"/>
          <w:color w:val="000000"/>
          <w:sz w:val="28"/>
        </w:rPr>
        <w:t>C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hAnsi="Times New Roman"/>
          <w:color w:val="000000"/>
          <w:sz w:val="28"/>
        </w:rPr>
        <w:t>F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и </w:t>
      </w:r>
      <w:r>
        <w:rPr>
          <w:rFonts w:ascii="Times New Roman" w:hAnsi="Times New Roman"/>
          <w:color w:val="000000"/>
          <w:sz w:val="28"/>
        </w:rPr>
        <w:t>T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. </w:t>
      </w:r>
    </w:p>
    <w:p w14:paraId="7F43BA56" w14:textId="43B49FAD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Инвестиционная потребность фазы — ≈ 1,5–2,0 млрд </w:t>
      </w:r>
      <w:r>
        <w:rPr>
          <w:rFonts w:ascii="Times New Roman" w:hAnsi="Times New Roman"/>
          <w:color w:val="000000"/>
          <w:sz w:val="28"/>
        </w:rPr>
        <w:t>USD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(среднегодовая ≈ 0,6 млрд </w:t>
      </w:r>
      <w:r>
        <w:rPr>
          <w:rFonts w:ascii="Times New Roman" w:hAnsi="Times New Roman"/>
          <w:color w:val="000000"/>
          <w:sz w:val="28"/>
        </w:rPr>
        <w:t>USD</w:t>
      </w:r>
      <w:r w:rsidRPr="00F67FAE">
        <w:rPr>
          <w:rFonts w:ascii="Times New Roman" w:hAnsi="Times New Roman"/>
          <w:color w:val="000000"/>
          <w:sz w:val="28"/>
          <w:lang w:val="ru-RU"/>
        </w:rPr>
        <w:t>). Источники: государственный бюджет (30%), кредиты АфБР и ВБ (35%), частный капитал (35%).</w:t>
      </w:r>
    </w:p>
    <w:p w14:paraId="2BA8CC5E" w14:textId="77777777" w:rsidR="00F67FAE" w:rsidRDefault="00000000">
      <w:pPr>
        <w:spacing w:after="0" w:line="440" w:lineRule="exact"/>
        <w:ind w:firstLine="709"/>
        <w:jc w:val="both"/>
        <w:rPr>
          <w:rFonts w:ascii="Times New Roman" w:hAnsi="Times New Roman"/>
          <w:color w:val="000000"/>
          <w:sz w:val="28"/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Фаза </w:t>
      </w:r>
      <w:r>
        <w:rPr>
          <w:rFonts w:ascii="Times New Roman" w:hAnsi="Times New Roman"/>
          <w:color w:val="000000"/>
          <w:sz w:val="28"/>
        </w:rPr>
        <w:t>II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(2028–2030) — «Масштабирование кластеров». Цель — масштабировать пилоты до уровня якорных инвестиций; запустить промышленную зону и логистический хаб; развернуть платформу </w:t>
      </w:r>
      <w:r>
        <w:rPr>
          <w:rFonts w:ascii="Times New Roman" w:hAnsi="Times New Roman"/>
          <w:color w:val="000000"/>
          <w:sz w:val="28"/>
        </w:rPr>
        <w:t>v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2.0 с </w:t>
      </w:r>
      <w:r>
        <w:rPr>
          <w:rFonts w:ascii="Times New Roman" w:hAnsi="Times New Roman"/>
          <w:color w:val="000000"/>
          <w:sz w:val="28"/>
        </w:rPr>
        <w:t>AI</w:t>
      </w:r>
      <w:r w:rsidRPr="00F67FAE">
        <w:rPr>
          <w:rFonts w:ascii="Times New Roman" w:hAnsi="Times New Roman"/>
          <w:color w:val="000000"/>
          <w:sz w:val="28"/>
          <w:lang w:val="ru-RU"/>
        </w:rPr>
        <w:t>-аналитикой и блокчейн-</w:t>
      </w:r>
      <w:proofErr w:type="spellStart"/>
      <w:r w:rsidRPr="00F67FAE">
        <w:rPr>
          <w:rFonts w:ascii="Times New Roman" w:hAnsi="Times New Roman"/>
          <w:color w:val="000000"/>
          <w:sz w:val="28"/>
          <w:lang w:val="ru-RU"/>
        </w:rPr>
        <w:t>трейсабилити</w:t>
      </w:r>
      <w:proofErr w:type="spellEnd"/>
      <w:r w:rsidRPr="00F67FAE">
        <w:rPr>
          <w:rFonts w:ascii="Times New Roman" w:hAnsi="Times New Roman"/>
          <w:color w:val="000000"/>
          <w:sz w:val="28"/>
          <w:lang w:val="ru-RU"/>
        </w:rPr>
        <w:t xml:space="preserve">; довести число участников платформы до ≈ 4 000. </w:t>
      </w:r>
    </w:p>
    <w:p w14:paraId="645068B4" w14:textId="5F78783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Инвестиционная потребность — ≈ 3,0–3,5 млрд </w:t>
      </w:r>
      <w:r>
        <w:rPr>
          <w:rFonts w:ascii="Times New Roman" w:hAnsi="Times New Roman"/>
          <w:color w:val="000000"/>
          <w:sz w:val="28"/>
        </w:rPr>
        <w:t>USD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(среднегодовая ≈ 1,1 млрд </w:t>
      </w:r>
      <w:r>
        <w:rPr>
          <w:rFonts w:ascii="Times New Roman" w:hAnsi="Times New Roman"/>
          <w:color w:val="000000"/>
          <w:sz w:val="28"/>
        </w:rPr>
        <w:t>USD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). В этой фазе ожидается существенный рост частных инвестиций — до 50–55% от общего </w:t>
      </w:r>
      <w:r>
        <w:rPr>
          <w:rFonts w:ascii="Times New Roman" w:hAnsi="Times New Roman"/>
          <w:color w:val="000000"/>
          <w:sz w:val="28"/>
        </w:rPr>
        <w:t>CAPEX</w:t>
      </w:r>
      <w:r w:rsidRPr="00F67FAE">
        <w:rPr>
          <w:rFonts w:ascii="Times New Roman" w:hAnsi="Times New Roman"/>
          <w:color w:val="000000"/>
          <w:sz w:val="28"/>
          <w:lang w:val="ru-RU"/>
        </w:rPr>
        <w:t>.</w:t>
      </w:r>
    </w:p>
    <w:p w14:paraId="0D8E3B1A" w14:textId="77777777" w:rsidR="00F67FAE" w:rsidRDefault="00000000">
      <w:pPr>
        <w:spacing w:after="0" w:line="440" w:lineRule="exact"/>
        <w:ind w:firstLine="709"/>
        <w:jc w:val="both"/>
        <w:rPr>
          <w:rFonts w:ascii="Times New Roman" w:hAnsi="Times New Roman"/>
          <w:color w:val="000000"/>
          <w:sz w:val="28"/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Фаза </w:t>
      </w:r>
      <w:r>
        <w:rPr>
          <w:rFonts w:ascii="Times New Roman" w:hAnsi="Times New Roman"/>
          <w:color w:val="000000"/>
          <w:sz w:val="28"/>
        </w:rPr>
        <w:t>III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(2031–2035) — «Экспортно-индустриальная консолидация». Задачи: выход предприятий кластеров на полную мощность; интеграция в региональную цепочку ЭКОВА; масштабирование платформы на всё УЕМОА; формирование экспортной идентичности «</w:t>
      </w:r>
      <w:r>
        <w:rPr>
          <w:rFonts w:ascii="Times New Roman" w:hAnsi="Times New Roman"/>
          <w:color w:val="000000"/>
          <w:sz w:val="28"/>
        </w:rPr>
        <w:t>Made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in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C</w:t>
      </w:r>
      <w:r w:rsidRPr="00F67FAE">
        <w:rPr>
          <w:rFonts w:ascii="Times New Roman" w:hAnsi="Times New Roman"/>
          <w:color w:val="000000"/>
          <w:sz w:val="28"/>
          <w:lang w:val="ru-RU"/>
        </w:rPr>
        <w:t>ô</w:t>
      </w:r>
      <w:proofErr w:type="spellStart"/>
      <w:r>
        <w:rPr>
          <w:rFonts w:ascii="Times New Roman" w:hAnsi="Times New Roman"/>
          <w:color w:val="000000"/>
          <w:sz w:val="28"/>
        </w:rPr>
        <w:t>te</w:t>
      </w:r>
      <w:proofErr w:type="spellEnd"/>
      <w:r w:rsidRPr="00F67FAE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d</w:t>
      </w:r>
      <w:r w:rsidRPr="00F67FAE">
        <w:rPr>
          <w:rFonts w:ascii="Times New Roman" w:hAnsi="Times New Roman"/>
          <w:color w:val="000000"/>
          <w:sz w:val="28"/>
          <w:lang w:val="ru-RU"/>
        </w:rPr>
        <w:t>'</w:t>
      </w:r>
      <w:r>
        <w:rPr>
          <w:rFonts w:ascii="Times New Roman" w:hAnsi="Times New Roman"/>
          <w:color w:val="000000"/>
          <w:sz w:val="28"/>
        </w:rPr>
        <w:t>Ivoire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— </w:t>
      </w:r>
      <w:r>
        <w:rPr>
          <w:rFonts w:ascii="Times New Roman" w:hAnsi="Times New Roman"/>
          <w:color w:val="000000"/>
          <w:sz w:val="28"/>
        </w:rPr>
        <w:t>value</w:t>
      </w:r>
      <w:r w:rsidRPr="00F67FAE">
        <w:rPr>
          <w:rFonts w:ascii="Times New Roman" w:hAnsi="Times New Roman"/>
          <w:color w:val="000000"/>
          <w:sz w:val="28"/>
          <w:lang w:val="ru-RU"/>
        </w:rPr>
        <w:t>-</w:t>
      </w:r>
      <w:r>
        <w:rPr>
          <w:rFonts w:ascii="Times New Roman" w:hAnsi="Times New Roman"/>
          <w:color w:val="000000"/>
          <w:sz w:val="28"/>
        </w:rPr>
        <w:t>added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». </w:t>
      </w:r>
    </w:p>
    <w:p w14:paraId="7BCDBE25" w14:textId="05B50BB1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Инвестиционная потребность — ≈ 2,5–3,0 млрд </w:t>
      </w:r>
      <w:r>
        <w:rPr>
          <w:rFonts w:ascii="Times New Roman" w:hAnsi="Times New Roman"/>
          <w:color w:val="000000"/>
          <w:sz w:val="28"/>
        </w:rPr>
        <w:t>USD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(среднегодовая ≈ 0,55 млрд </w:t>
      </w:r>
      <w:r>
        <w:rPr>
          <w:rFonts w:ascii="Times New Roman" w:hAnsi="Times New Roman"/>
          <w:color w:val="000000"/>
          <w:sz w:val="28"/>
        </w:rPr>
        <w:t>USD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). Снижение удельного государственного участия до 30%: платформа к этому времени генерирует достаточный </w:t>
      </w:r>
      <w:r>
        <w:rPr>
          <w:rFonts w:ascii="Times New Roman" w:hAnsi="Times New Roman"/>
          <w:color w:val="000000"/>
          <w:sz w:val="28"/>
        </w:rPr>
        <w:t>cashflow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для самофинансирования ряда кластеров.</w:t>
      </w:r>
    </w:p>
    <w:p w14:paraId="1F047BD8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Суммарная инвестиционная потребность проекта за 10 лет:</w:t>
      </w:r>
    </w:p>
    <w:p w14:paraId="0A0FBE40" w14:textId="08A1D183" w:rsidR="00D25C93" w:rsidRPr="00F67FAE" w:rsidRDefault="00F67FAE">
      <w:pPr>
        <w:spacing w:before="80" w:after="80" w:line="440" w:lineRule="exact"/>
        <w:jc w:val="center"/>
        <w:rPr>
          <w:lang w:val="ru-RU"/>
        </w:rPr>
      </w:pPr>
      <m:oMath>
        <m:r>
          <w:rPr>
            <w:rFonts w:ascii="Cambria Math" w:hAnsi="Cambria Math"/>
            <w:sz w:val="28"/>
          </w:rPr>
          <m:t>CAPE</m:t>
        </m:r>
        <m:sSub>
          <m:sSubPr>
            <m:ctrlPr>
              <w:rPr>
                <w:rFonts w:ascii="Cambria Math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  <m:ctrlPr>
              <w:rPr>
                <w:rFonts w:ascii="Cambria Math" w:hAnsi="Cambria Math"/>
                <w:i/>
                <w:sz w:val="28"/>
              </w:rPr>
            </m:ctrlPr>
          </m:e>
          <m:sub>
            <m:r>
              <w:rPr>
                <w:rFonts w:ascii="Cambria Math" w:hAnsi="Cambria Math"/>
                <w:sz w:val="28"/>
              </w:rPr>
              <m:t>t</m:t>
            </m:r>
          </m:sub>
        </m:sSub>
        <m:r>
          <w:rPr>
            <w:rFonts w:ascii="Cambria Math" w:hAnsi="Cambria Math"/>
            <w:sz w:val="28"/>
          </w:rPr>
          <m:t>otal</m:t>
        </m:r>
        <m:r>
          <w:rPr>
            <w:rFonts w:ascii="Cambria Math" w:hAnsi="Cambria Math"/>
            <w:sz w:val="28"/>
            <w:lang w:val="ru-RU"/>
          </w:rPr>
          <m:t>=</m:t>
        </m:r>
        <m:r>
          <w:rPr>
            <w:rFonts w:ascii="Cambria Math" w:hAnsi="Cambria Math"/>
            <w:sz w:val="28"/>
          </w:rPr>
          <m:t>CAPE</m:t>
        </m:r>
        <m:sSub>
          <m:sSubPr>
            <m:ctrlPr>
              <w:rPr>
                <w:rFonts w:ascii="Cambria Math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  <m:ctrlPr>
              <w:rPr>
                <w:rFonts w:ascii="Cambria Math" w:hAnsi="Cambria Math"/>
                <w:i/>
                <w:sz w:val="28"/>
              </w:rPr>
            </m:ctrlPr>
          </m:e>
          <m:sub>
            <m:r>
              <w:rPr>
                <w:rFonts w:ascii="Cambria Math" w:hAnsi="Cambria Math"/>
                <w:sz w:val="28"/>
              </w:rPr>
              <m:t>I</m:t>
            </m:r>
          </m:sub>
        </m:sSub>
        <m:r>
          <w:rPr>
            <w:rFonts w:ascii="Cambria Math" w:hAnsi="Cambria Math"/>
            <w:sz w:val="28"/>
            <w:lang w:val="ru-RU"/>
          </w:rPr>
          <m:t>+</m:t>
        </m:r>
        <m:r>
          <w:rPr>
            <w:rFonts w:ascii="Cambria Math" w:hAnsi="Cambria Math"/>
            <w:sz w:val="28"/>
          </w:rPr>
          <m:t>CAPE</m:t>
        </m:r>
        <m:sSub>
          <m:sSubPr>
            <m:ctrlPr>
              <w:rPr>
                <w:rFonts w:ascii="Cambria Math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  <m:ctrlPr>
              <w:rPr>
                <w:rFonts w:ascii="Cambria Math" w:hAnsi="Cambria Math"/>
                <w:i/>
                <w:sz w:val="28"/>
              </w:rPr>
            </m:ctrlPr>
          </m:e>
          <m:sub>
            <m:r>
              <w:rPr>
                <w:rFonts w:ascii="Cambria Math" w:hAnsi="Cambria Math"/>
                <w:sz w:val="28"/>
              </w:rPr>
              <m:t>I</m:t>
            </m:r>
          </m:sub>
        </m:sSub>
        <m:r>
          <w:rPr>
            <w:rFonts w:ascii="Cambria Math" w:hAnsi="Cambria Math"/>
            <w:sz w:val="28"/>
          </w:rPr>
          <m:t>I</m:t>
        </m:r>
        <m:r>
          <w:rPr>
            <w:rFonts w:ascii="Cambria Math" w:hAnsi="Cambria Math"/>
            <w:sz w:val="28"/>
            <w:lang w:val="ru-RU"/>
          </w:rPr>
          <m:t>+</m:t>
        </m:r>
        <m:r>
          <w:rPr>
            <w:rFonts w:ascii="Cambria Math" w:hAnsi="Cambria Math"/>
            <w:sz w:val="28"/>
          </w:rPr>
          <m:t>CAPE</m:t>
        </m:r>
        <m:sSub>
          <m:sSubPr>
            <m:ctrlPr>
              <w:rPr>
                <w:rFonts w:ascii="Cambria Math" w:hAnsi="Cambria Math"/>
                <w:i/>
                <w:sz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  <m:ctrlPr>
              <w:rPr>
                <w:rFonts w:ascii="Cambria Math" w:hAnsi="Cambria Math"/>
                <w:i/>
                <w:sz w:val="28"/>
              </w:rPr>
            </m:ctrlPr>
          </m:e>
          <m:sub>
            <m:r>
              <w:rPr>
                <w:rFonts w:ascii="Cambria Math" w:hAnsi="Cambria Math"/>
                <w:sz w:val="28"/>
              </w:rPr>
              <m:t>I</m:t>
            </m:r>
          </m:sub>
        </m:sSub>
        <m:r>
          <w:rPr>
            <w:rFonts w:ascii="Cambria Math" w:hAnsi="Cambria Math"/>
            <w:sz w:val="28"/>
          </w:rPr>
          <m:t>II</m:t>
        </m:r>
        <m:r>
          <w:rPr>
            <w:rFonts w:ascii="Cambria Math" w:hAnsi="Cambria Math"/>
            <w:sz w:val="28"/>
            <w:lang w:val="ru-RU"/>
          </w:rPr>
          <m:t>≈1,75+3,25+2,75≈7,75млрд</m:t>
        </m:r>
        <m:r>
          <w:rPr>
            <w:rFonts w:ascii="Cambria Math" w:hAnsi="Cambria Math"/>
            <w:sz w:val="28"/>
          </w:rPr>
          <m:t>USD</m:t>
        </m:r>
      </m:oMath>
      <w:r w:rsidRPr="00F67FAE">
        <w:rPr>
          <w:rFonts w:ascii="Times New Roman" w:hAnsi="Times New Roman"/>
          <w:sz w:val="24"/>
          <w:lang w:val="ru-RU"/>
        </w:rPr>
        <w:t xml:space="preserve">  (2.14)</w:t>
      </w:r>
    </w:p>
    <w:p w14:paraId="19025A3F" w14:textId="77777777" w:rsidR="00D25C93" w:rsidRPr="00454D39" w:rsidRDefault="00000000">
      <w:pPr>
        <w:spacing w:after="0" w:line="440" w:lineRule="exact"/>
        <w:ind w:firstLine="709"/>
        <w:jc w:val="both"/>
        <w:rPr>
          <w:lang w:val="ru-RU"/>
        </w:rPr>
      </w:pPr>
      <w:r w:rsidRPr="00454D39">
        <w:rPr>
          <w:rFonts w:ascii="Times New Roman" w:hAnsi="Times New Roman"/>
          <w:color w:val="000000"/>
          <w:sz w:val="28"/>
          <w:lang w:val="ru-RU"/>
        </w:rPr>
        <w:lastRenderedPageBreak/>
        <w:t>Среднегодовая инвестиционная нагрузка:</w:t>
      </w:r>
    </w:p>
    <w:p w14:paraId="0A4CD0D2" w14:textId="2E15F5FB" w:rsidR="00D25C93" w:rsidRPr="00454D39" w:rsidRDefault="00F67FAE">
      <w:pPr>
        <w:spacing w:before="80" w:after="80" w:line="440" w:lineRule="exact"/>
        <w:jc w:val="center"/>
        <w:rPr>
          <w:lang w:val="ru-RU"/>
        </w:rPr>
      </w:pPr>
      <m:oMath>
        <m:r>
          <w:rPr>
            <w:rFonts w:ascii="Cambria Math" w:hAnsi="Cambria Math"/>
            <w:sz w:val="28"/>
          </w:rPr>
          <m:t>CAPE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a</m:t>
            </m:r>
          </m:sub>
        </m:sSub>
        <m:r>
          <w:rPr>
            <w:rFonts w:ascii="Cambria Math" w:hAnsi="Cambria Math"/>
            <w:sz w:val="28"/>
          </w:rPr>
          <m:t>vg</m:t>
        </m:r>
        <m:r>
          <w:rPr>
            <w:rFonts w:ascii="Cambria Math" w:hAnsi="Cambria Math"/>
            <w:sz w:val="28"/>
            <w:lang w:val="ru-RU"/>
          </w:rPr>
          <m:t>=</m:t>
        </m:r>
        <m:r>
          <w:rPr>
            <w:rFonts w:ascii="Cambria Math" w:hAnsi="Cambria Math"/>
            <w:sz w:val="28"/>
          </w:rPr>
          <m:t>CAPE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</w:rPr>
              <m:t>t</m:t>
            </m:r>
          </m:sub>
        </m:sSub>
        <m:r>
          <w:rPr>
            <w:rFonts w:ascii="Cambria Math" w:hAnsi="Cambria Math"/>
            <w:sz w:val="28"/>
          </w:rPr>
          <m:t>otal</m:t>
        </m:r>
        <m:r>
          <m:rPr>
            <m:lit/>
          </m:rPr>
          <w:rPr>
            <w:rFonts w:ascii="Cambria Math" w:hAnsi="Cambria Math"/>
            <w:sz w:val="28"/>
            <w:lang w:val="ru-RU"/>
          </w:rPr>
          <m:t>/</m:t>
        </m:r>
        <m:r>
          <w:rPr>
            <w:rFonts w:ascii="Cambria Math" w:hAnsi="Cambria Math"/>
            <w:sz w:val="28"/>
            <w:lang w:val="ru-RU"/>
          </w:rPr>
          <m:t>10≈0,78млрд</m:t>
        </m:r>
        <m:r>
          <w:rPr>
            <w:rFonts w:ascii="Cambria Math" w:hAnsi="Cambria Math"/>
            <w:sz w:val="28"/>
          </w:rPr>
          <m:t>USD</m:t>
        </m:r>
        <m:r>
          <m:rPr>
            <m:lit/>
          </m:rPr>
          <w:rPr>
            <w:rFonts w:ascii="Cambria Math" w:hAnsi="Cambria Math"/>
            <w:sz w:val="28"/>
            <w:lang w:val="ru-RU"/>
          </w:rPr>
          <m:t>/</m:t>
        </m:r>
        <m:r>
          <w:rPr>
            <w:rFonts w:ascii="Cambria Math" w:hAnsi="Cambria Math"/>
            <w:sz w:val="28"/>
            <w:lang w:val="ru-RU"/>
          </w:rPr>
          <m:t>год</m:t>
        </m:r>
      </m:oMath>
      <w:r w:rsidRPr="00454D39">
        <w:rPr>
          <w:rFonts w:ascii="Times New Roman" w:hAnsi="Times New Roman"/>
          <w:sz w:val="24"/>
          <w:lang w:val="ru-RU"/>
        </w:rPr>
        <w:t xml:space="preserve">  (2.15)</w:t>
      </w:r>
    </w:p>
    <w:p w14:paraId="3FF3C907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Это составляет ≈ 3,3% ВВП страны 2024 года — значение, превышающее среднее по Западной Африке (2,1% ВВП), но приемлемое с учётом: (а) текущей доли инвестиций в ВВП Кот-д'Ивуара в 23,7%, (б) проектируемого механизма СП 50/50, снижающего нагрузку на государственный бюджет вдвое, и (в) ожидаемой поддержки международных финансовых институтов — АфБР, МВФ и ВБ, проявляющих устойчивый интерес к инфраструктурным проектам в Западной Африке [11; 12].</w:t>
      </w:r>
    </w:p>
    <w:p w14:paraId="0673E8FD" w14:textId="77777777" w:rsidR="00D25C93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0DF3F407" wp14:editId="6AA30A8E">
            <wp:extent cx="5316822" cy="37766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9257" cy="377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E46A" w14:textId="7F20F06E" w:rsidR="00D25C93" w:rsidRPr="00F67FAE" w:rsidRDefault="00000000" w:rsidP="007A5BF6">
      <w:pPr>
        <w:spacing w:after="0" w:line="240" w:lineRule="auto"/>
        <w:jc w:val="center"/>
        <w:rPr>
          <w:lang w:val="ru-RU"/>
        </w:rPr>
      </w:pPr>
      <w:r w:rsidRPr="00F67FAE">
        <w:rPr>
          <w:rFonts w:ascii="Times New Roman" w:hAnsi="Times New Roman"/>
          <w:i/>
          <w:color w:val="555555"/>
          <w:lang w:val="ru-RU"/>
        </w:rPr>
        <w:t xml:space="preserve">Рисунок 8. Этапность реализации и инвестиционный профиль проекта </w:t>
      </w:r>
      <w:r w:rsidR="007A5BF6">
        <w:rPr>
          <w:rFonts w:ascii="Times New Roman" w:hAnsi="Times New Roman"/>
          <w:i/>
          <w:color w:val="555555"/>
          <w:lang w:val="ru-RU"/>
        </w:rPr>
        <w:br/>
      </w:r>
      <w:r w:rsidRPr="00F67FAE">
        <w:rPr>
          <w:rFonts w:ascii="Times New Roman" w:hAnsi="Times New Roman"/>
          <w:i/>
          <w:color w:val="555555"/>
          <w:lang w:val="ru-RU"/>
        </w:rPr>
        <w:t>«Берег Восхода» (2025–2035)</w:t>
      </w:r>
      <w:r w:rsidRPr="00F67FAE">
        <w:rPr>
          <w:rFonts w:ascii="Times New Roman" w:hAnsi="Times New Roman"/>
          <w:i/>
          <w:color w:val="555555"/>
          <w:lang w:val="ru-RU"/>
        </w:rPr>
        <w:br/>
        <w:t>Примечание. Авторская разработка.</w:t>
      </w:r>
    </w:p>
    <w:p w14:paraId="3AF07A52" w14:textId="77777777" w:rsidR="00D25C93" w:rsidRPr="00F67FAE" w:rsidRDefault="00000000">
      <w:pPr>
        <w:spacing w:before="200" w:after="120" w:line="440" w:lineRule="exact"/>
        <w:rPr>
          <w:lang w:val="ru-RU"/>
        </w:rPr>
      </w:pPr>
      <w:r w:rsidRPr="00F67FAE">
        <w:rPr>
          <w:rFonts w:ascii="Times New Roman" w:hAnsi="Times New Roman"/>
          <w:b/>
          <w:i/>
          <w:color w:val="2E4A62"/>
          <w:sz w:val="28"/>
          <w:lang w:val="ru-RU"/>
        </w:rPr>
        <w:t>2.1.9. Матрица стратегических рисков и механизмы их снижения</w:t>
      </w:r>
    </w:p>
    <w:p w14:paraId="36915E07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Реализация масштабной инвестиционной инициативы в развивающейся экономике сопряжена с комплексом рисков, которые необходимо идентифицировать и встроить механизмы их снижения непосредственно в </w:t>
      </w:r>
      <w:r w:rsidRPr="00F67FAE">
        <w:rPr>
          <w:rFonts w:ascii="Times New Roman" w:hAnsi="Times New Roman"/>
          <w:color w:val="000000"/>
          <w:sz w:val="28"/>
          <w:lang w:val="ru-RU"/>
        </w:rPr>
        <w:lastRenderedPageBreak/>
        <w:t>архитектуру проекта. Авторская матрица рисков выделяет шесть ключевых групп угроз [10; 11; 14].</w:t>
      </w:r>
    </w:p>
    <w:p w14:paraId="01D0FBE7" w14:textId="77777777" w:rsidR="00D25C93" w:rsidRPr="00F67FAE" w:rsidRDefault="00000000">
      <w:pPr>
        <w:spacing w:after="0" w:line="440" w:lineRule="exact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Таблица 6. Матрица стратегических рисков проекта «Берег Восхода»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417"/>
        <w:gridCol w:w="1134"/>
        <w:gridCol w:w="1134"/>
        <w:gridCol w:w="3402"/>
      </w:tblGrid>
      <w:tr w:rsidR="00D25C93" w14:paraId="572C5420" w14:textId="77777777">
        <w:trPr>
          <w:jc w:val="center"/>
        </w:trPr>
        <w:tc>
          <w:tcPr>
            <w:tcW w:w="2268" w:type="dxa"/>
            <w:shd w:val="clear" w:color="auto" w:fill="1A5276"/>
          </w:tcPr>
          <w:p w14:paraId="495C79BA" w14:textId="77777777" w:rsidR="00D25C93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18"/>
              </w:rPr>
              <w:t>Группа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18"/>
              </w:rPr>
              <w:t>риска</w:t>
            </w:r>
            <w:proofErr w:type="spellEnd"/>
          </w:p>
        </w:tc>
        <w:tc>
          <w:tcPr>
            <w:tcW w:w="1417" w:type="dxa"/>
            <w:shd w:val="clear" w:color="auto" w:fill="1A5276"/>
          </w:tcPr>
          <w:p w14:paraId="7BB69FDF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Вероятность</w:t>
            </w:r>
          </w:p>
        </w:tc>
        <w:tc>
          <w:tcPr>
            <w:tcW w:w="1134" w:type="dxa"/>
            <w:shd w:val="clear" w:color="auto" w:fill="1A5276"/>
          </w:tcPr>
          <w:p w14:paraId="282033E9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Влияние</w:t>
            </w:r>
          </w:p>
        </w:tc>
        <w:tc>
          <w:tcPr>
            <w:tcW w:w="1134" w:type="dxa"/>
            <w:shd w:val="clear" w:color="auto" w:fill="1A5276"/>
          </w:tcPr>
          <w:p w14:paraId="76743BE5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Уровень</w:t>
            </w:r>
          </w:p>
        </w:tc>
        <w:tc>
          <w:tcPr>
            <w:tcW w:w="3402" w:type="dxa"/>
            <w:shd w:val="clear" w:color="auto" w:fill="1A5276"/>
          </w:tcPr>
          <w:p w14:paraId="642AC09E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Механизм снижения</w:t>
            </w:r>
          </w:p>
        </w:tc>
      </w:tr>
      <w:tr w:rsidR="00D25C93" w:rsidRPr="00454D39" w14:paraId="79AC87A3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5AA42A96" w14:textId="77777777" w:rsidR="00D25C93" w:rsidRPr="00F67FAE" w:rsidRDefault="00000000">
            <w:pPr>
              <w:rPr>
                <w:lang w:val="ru-RU"/>
              </w:rPr>
            </w:pPr>
            <w:r w:rsidRPr="00F67FAE">
              <w:rPr>
                <w:rFonts w:ascii="Times New Roman" w:hAnsi="Times New Roman"/>
                <w:sz w:val="18"/>
                <w:lang w:val="ru-RU"/>
              </w:rPr>
              <w:t>Волатильность цен на сырьё (какао)</w:t>
            </w:r>
          </w:p>
        </w:tc>
        <w:tc>
          <w:tcPr>
            <w:tcW w:w="1417" w:type="dxa"/>
            <w:shd w:val="clear" w:color="auto" w:fill="FFFFFF"/>
          </w:tcPr>
          <w:p w14:paraId="6702A9F6" w14:textId="77777777" w:rsidR="00D25C93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sz w:val="18"/>
              </w:rPr>
              <w:t>Высокая</w:t>
            </w:r>
            <w:proofErr w:type="spellEnd"/>
          </w:p>
        </w:tc>
        <w:tc>
          <w:tcPr>
            <w:tcW w:w="1134" w:type="dxa"/>
            <w:shd w:val="clear" w:color="auto" w:fill="FFFFFF"/>
          </w:tcPr>
          <w:p w14:paraId="6C3F2AAA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Среднее</w:t>
            </w:r>
          </w:p>
        </w:tc>
        <w:tc>
          <w:tcPr>
            <w:tcW w:w="1134" w:type="dxa"/>
            <w:shd w:val="clear" w:color="auto" w:fill="FFFFFF"/>
          </w:tcPr>
          <w:p w14:paraId="4E54B5F7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ВЫСОКИЙ</w:t>
            </w:r>
          </w:p>
        </w:tc>
        <w:tc>
          <w:tcPr>
            <w:tcW w:w="3402" w:type="dxa"/>
            <w:shd w:val="clear" w:color="auto" w:fill="FFFFFF"/>
          </w:tcPr>
          <w:p w14:paraId="22D5A876" w14:textId="77777777" w:rsidR="00D25C93" w:rsidRPr="00F67FAE" w:rsidRDefault="00000000">
            <w:pPr>
              <w:rPr>
                <w:lang w:val="ru-RU"/>
              </w:rPr>
            </w:pPr>
            <w:r w:rsidRPr="00F67FAE">
              <w:rPr>
                <w:rFonts w:ascii="Times New Roman" w:hAnsi="Times New Roman"/>
                <w:sz w:val="18"/>
                <w:lang w:val="ru-RU"/>
              </w:rPr>
              <w:t>Диверсификация кластеров; хеджирование через цифровые контракты платформы</w:t>
            </w:r>
          </w:p>
        </w:tc>
      </w:tr>
      <w:tr w:rsidR="00D25C93" w:rsidRPr="00454D39" w14:paraId="0A678ECF" w14:textId="77777777">
        <w:trPr>
          <w:jc w:val="center"/>
        </w:trPr>
        <w:tc>
          <w:tcPr>
            <w:tcW w:w="2268" w:type="dxa"/>
            <w:shd w:val="clear" w:color="auto" w:fill="EBF5FB"/>
          </w:tcPr>
          <w:p w14:paraId="6ADC7112" w14:textId="77777777" w:rsidR="00D25C93" w:rsidRDefault="00000000">
            <w:proofErr w:type="spellStart"/>
            <w:r>
              <w:rPr>
                <w:rFonts w:ascii="Times New Roman" w:hAnsi="Times New Roman"/>
                <w:sz w:val="18"/>
              </w:rPr>
              <w:t>Долговая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нагрузка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на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бюджет</w:t>
            </w:r>
            <w:proofErr w:type="spellEnd"/>
          </w:p>
        </w:tc>
        <w:tc>
          <w:tcPr>
            <w:tcW w:w="1417" w:type="dxa"/>
            <w:shd w:val="clear" w:color="auto" w:fill="EBF5FB"/>
          </w:tcPr>
          <w:p w14:paraId="25EABF4B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Средняя</w:t>
            </w:r>
          </w:p>
        </w:tc>
        <w:tc>
          <w:tcPr>
            <w:tcW w:w="1134" w:type="dxa"/>
            <w:shd w:val="clear" w:color="auto" w:fill="EBF5FB"/>
          </w:tcPr>
          <w:p w14:paraId="39B96E8C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Высокое</w:t>
            </w:r>
          </w:p>
        </w:tc>
        <w:tc>
          <w:tcPr>
            <w:tcW w:w="1134" w:type="dxa"/>
            <w:shd w:val="clear" w:color="auto" w:fill="EBF5FB"/>
          </w:tcPr>
          <w:p w14:paraId="19D2C395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ВЫСОКИЙ</w:t>
            </w:r>
          </w:p>
        </w:tc>
        <w:tc>
          <w:tcPr>
            <w:tcW w:w="3402" w:type="dxa"/>
            <w:shd w:val="clear" w:color="auto" w:fill="EBF5FB"/>
          </w:tcPr>
          <w:p w14:paraId="45A5F2FC" w14:textId="77777777" w:rsidR="00D25C93" w:rsidRPr="00F67FAE" w:rsidRDefault="00000000">
            <w:pPr>
              <w:rPr>
                <w:lang w:val="ru-RU"/>
              </w:rPr>
            </w:pPr>
            <w:r w:rsidRPr="00F67FAE">
              <w:rPr>
                <w:rFonts w:ascii="Times New Roman" w:hAnsi="Times New Roman"/>
                <w:sz w:val="18"/>
                <w:lang w:val="ru-RU"/>
              </w:rPr>
              <w:t>Механизм СП 50/50; проектное финансирование через АфБР</w:t>
            </w:r>
          </w:p>
        </w:tc>
      </w:tr>
      <w:tr w:rsidR="00D25C93" w:rsidRPr="00454D39" w14:paraId="216ABFF3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41DE45D5" w14:textId="77777777" w:rsidR="00D25C93" w:rsidRDefault="00000000">
            <w:proofErr w:type="spellStart"/>
            <w:r>
              <w:rPr>
                <w:rFonts w:ascii="Times New Roman" w:hAnsi="Times New Roman"/>
                <w:sz w:val="18"/>
              </w:rPr>
              <w:t>Институциональная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инерция</w:t>
            </w:r>
            <w:proofErr w:type="spellEnd"/>
          </w:p>
        </w:tc>
        <w:tc>
          <w:tcPr>
            <w:tcW w:w="1417" w:type="dxa"/>
            <w:shd w:val="clear" w:color="auto" w:fill="FFFFFF"/>
          </w:tcPr>
          <w:p w14:paraId="0729E3C9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Средняя</w:t>
            </w:r>
          </w:p>
        </w:tc>
        <w:tc>
          <w:tcPr>
            <w:tcW w:w="1134" w:type="dxa"/>
            <w:shd w:val="clear" w:color="auto" w:fill="FFFFFF"/>
          </w:tcPr>
          <w:p w14:paraId="6D143C9B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Высокое</w:t>
            </w:r>
          </w:p>
        </w:tc>
        <w:tc>
          <w:tcPr>
            <w:tcW w:w="1134" w:type="dxa"/>
            <w:shd w:val="clear" w:color="auto" w:fill="FFFFFF"/>
          </w:tcPr>
          <w:p w14:paraId="3C65F50E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ВЫСОКИЙ</w:t>
            </w:r>
          </w:p>
        </w:tc>
        <w:tc>
          <w:tcPr>
            <w:tcW w:w="3402" w:type="dxa"/>
            <w:shd w:val="clear" w:color="auto" w:fill="FFFFFF"/>
          </w:tcPr>
          <w:p w14:paraId="2E76DF8C" w14:textId="77777777" w:rsidR="00D25C93" w:rsidRPr="00F67FAE" w:rsidRDefault="00000000">
            <w:pPr>
              <w:rPr>
                <w:lang w:val="ru-RU"/>
              </w:rPr>
            </w:pPr>
            <w:r w:rsidRPr="00F67FAE">
              <w:rPr>
                <w:rFonts w:ascii="Times New Roman" w:hAnsi="Times New Roman"/>
                <w:sz w:val="18"/>
                <w:lang w:val="ru-RU"/>
              </w:rPr>
              <w:t>Платформенное управление; «цифровой регулятор»; международные гарантии</w:t>
            </w:r>
          </w:p>
        </w:tc>
      </w:tr>
      <w:tr w:rsidR="00D25C93" w:rsidRPr="00454D39" w14:paraId="09D097C4" w14:textId="77777777">
        <w:trPr>
          <w:jc w:val="center"/>
        </w:trPr>
        <w:tc>
          <w:tcPr>
            <w:tcW w:w="2268" w:type="dxa"/>
            <w:shd w:val="clear" w:color="auto" w:fill="EBF5FB"/>
          </w:tcPr>
          <w:p w14:paraId="175288B3" w14:textId="77777777" w:rsidR="00D25C93" w:rsidRDefault="00000000">
            <w:proofErr w:type="spellStart"/>
            <w:r>
              <w:rPr>
                <w:rFonts w:ascii="Times New Roman" w:hAnsi="Times New Roman"/>
                <w:sz w:val="18"/>
              </w:rPr>
              <w:t>Политическая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нестабильность</w:t>
            </w:r>
            <w:proofErr w:type="spellEnd"/>
          </w:p>
        </w:tc>
        <w:tc>
          <w:tcPr>
            <w:tcW w:w="1417" w:type="dxa"/>
            <w:shd w:val="clear" w:color="auto" w:fill="EBF5FB"/>
          </w:tcPr>
          <w:p w14:paraId="5452F013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Низкая–средняя</w:t>
            </w:r>
          </w:p>
        </w:tc>
        <w:tc>
          <w:tcPr>
            <w:tcW w:w="1134" w:type="dxa"/>
            <w:shd w:val="clear" w:color="auto" w:fill="EBF5FB"/>
          </w:tcPr>
          <w:p w14:paraId="0CD0F9D3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Высокое</w:t>
            </w:r>
          </w:p>
        </w:tc>
        <w:tc>
          <w:tcPr>
            <w:tcW w:w="1134" w:type="dxa"/>
            <w:shd w:val="clear" w:color="auto" w:fill="EBF5FB"/>
          </w:tcPr>
          <w:p w14:paraId="480CBCDD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СРЕДНИЙ</w:t>
            </w:r>
          </w:p>
        </w:tc>
        <w:tc>
          <w:tcPr>
            <w:tcW w:w="3402" w:type="dxa"/>
            <w:shd w:val="clear" w:color="auto" w:fill="EBF5FB"/>
          </w:tcPr>
          <w:p w14:paraId="2BB64061" w14:textId="77777777" w:rsidR="00D25C93" w:rsidRPr="00F67FAE" w:rsidRDefault="00000000">
            <w:pPr>
              <w:rPr>
                <w:lang w:val="ru-RU"/>
              </w:rPr>
            </w:pPr>
            <w:r w:rsidRPr="00F67FAE">
              <w:rPr>
                <w:rFonts w:ascii="Times New Roman" w:hAnsi="Times New Roman"/>
                <w:sz w:val="18"/>
                <w:lang w:val="ru-RU"/>
              </w:rPr>
              <w:t xml:space="preserve">Диверсификация партнёров; страховые механизмы </w:t>
            </w:r>
            <w:r>
              <w:rPr>
                <w:rFonts w:ascii="Times New Roman" w:hAnsi="Times New Roman"/>
                <w:sz w:val="18"/>
              </w:rPr>
              <w:t>MIGA</w:t>
            </w:r>
          </w:p>
        </w:tc>
      </w:tr>
      <w:tr w:rsidR="00D25C93" w:rsidRPr="00454D39" w14:paraId="35D9DDF4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225AFB78" w14:textId="77777777" w:rsidR="00D25C93" w:rsidRDefault="00000000">
            <w:proofErr w:type="spellStart"/>
            <w:r>
              <w:rPr>
                <w:rFonts w:ascii="Times New Roman" w:hAnsi="Times New Roman"/>
                <w:sz w:val="18"/>
              </w:rPr>
              <w:t>Энергетические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</w:rPr>
              <w:t>ограничения</w:t>
            </w:r>
            <w:proofErr w:type="spellEnd"/>
          </w:p>
        </w:tc>
        <w:tc>
          <w:tcPr>
            <w:tcW w:w="1417" w:type="dxa"/>
            <w:shd w:val="clear" w:color="auto" w:fill="FFFFFF"/>
          </w:tcPr>
          <w:p w14:paraId="176DE617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Средняя</w:t>
            </w:r>
          </w:p>
        </w:tc>
        <w:tc>
          <w:tcPr>
            <w:tcW w:w="1134" w:type="dxa"/>
            <w:shd w:val="clear" w:color="auto" w:fill="FFFFFF"/>
          </w:tcPr>
          <w:p w14:paraId="6E20BC5F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Среднее</w:t>
            </w:r>
          </w:p>
        </w:tc>
        <w:tc>
          <w:tcPr>
            <w:tcW w:w="1134" w:type="dxa"/>
            <w:shd w:val="clear" w:color="auto" w:fill="FFFFFF"/>
          </w:tcPr>
          <w:p w14:paraId="78E7754E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СРЕДНИЙ</w:t>
            </w:r>
          </w:p>
        </w:tc>
        <w:tc>
          <w:tcPr>
            <w:tcW w:w="3402" w:type="dxa"/>
            <w:shd w:val="clear" w:color="auto" w:fill="FFFFFF"/>
          </w:tcPr>
          <w:p w14:paraId="628C27A5" w14:textId="77777777" w:rsidR="00D25C93" w:rsidRPr="00F67FAE" w:rsidRDefault="00000000">
            <w:pPr>
              <w:rPr>
                <w:lang w:val="ru-RU"/>
              </w:rPr>
            </w:pPr>
            <w:r w:rsidRPr="00F67FAE">
              <w:rPr>
                <w:rFonts w:ascii="Times New Roman" w:hAnsi="Times New Roman"/>
                <w:sz w:val="18"/>
                <w:lang w:val="ru-RU"/>
              </w:rPr>
              <w:t>Инвестиции в ВИЭ-генерацию (солнечная энергетика); микросети</w:t>
            </w:r>
          </w:p>
        </w:tc>
      </w:tr>
      <w:tr w:rsidR="00D25C93" w14:paraId="17302649" w14:textId="77777777">
        <w:trPr>
          <w:jc w:val="center"/>
        </w:trPr>
        <w:tc>
          <w:tcPr>
            <w:tcW w:w="2268" w:type="dxa"/>
            <w:shd w:val="clear" w:color="auto" w:fill="EBF5FB"/>
          </w:tcPr>
          <w:p w14:paraId="02249A88" w14:textId="77777777" w:rsidR="00D25C93" w:rsidRDefault="00000000">
            <w:r>
              <w:rPr>
                <w:rFonts w:ascii="Times New Roman" w:hAnsi="Times New Roman"/>
                <w:sz w:val="18"/>
              </w:rPr>
              <w:t>ESG-</w:t>
            </w:r>
            <w:proofErr w:type="spellStart"/>
            <w:r>
              <w:rPr>
                <w:rFonts w:ascii="Times New Roman" w:hAnsi="Times New Roman"/>
                <w:sz w:val="18"/>
              </w:rPr>
              <w:t>регулирование</w:t>
            </w:r>
            <w:proofErr w:type="spellEnd"/>
            <w:r>
              <w:rPr>
                <w:rFonts w:ascii="Times New Roman" w:hAnsi="Times New Roman"/>
                <w:sz w:val="18"/>
              </w:rPr>
              <w:t xml:space="preserve"> ЕС (EUDR)</w:t>
            </w:r>
          </w:p>
        </w:tc>
        <w:tc>
          <w:tcPr>
            <w:tcW w:w="1417" w:type="dxa"/>
            <w:shd w:val="clear" w:color="auto" w:fill="EBF5FB"/>
          </w:tcPr>
          <w:p w14:paraId="5149126C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Высокая</w:t>
            </w:r>
          </w:p>
        </w:tc>
        <w:tc>
          <w:tcPr>
            <w:tcW w:w="1134" w:type="dxa"/>
            <w:shd w:val="clear" w:color="auto" w:fill="EBF5FB"/>
          </w:tcPr>
          <w:p w14:paraId="7B5489DB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Среднее</w:t>
            </w:r>
          </w:p>
        </w:tc>
        <w:tc>
          <w:tcPr>
            <w:tcW w:w="1134" w:type="dxa"/>
            <w:shd w:val="clear" w:color="auto" w:fill="EBF5FB"/>
          </w:tcPr>
          <w:p w14:paraId="7539987B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ВЫСОКИЙ</w:t>
            </w:r>
          </w:p>
        </w:tc>
        <w:tc>
          <w:tcPr>
            <w:tcW w:w="3402" w:type="dxa"/>
            <w:shd w:val="clear" w:color="auto" w:fill="EBF5FB"/>
          </w:tcPr>
          <w:p w14:paraId="3D9BA5B0" w14:textId="77777777" w:rsidR="00D25C93" w:rsidRDefault="00000000">
            <w:r>
              <w:rPr>
                <w:rFonts w:ascii="Times New Roman" w:hAnsi="Times New Roman"/>
                <w:sz w:val="18"/>
              </w:rPr>
              <w:t>Блокчейн-трейсабилити на платформе; сертификация UTZ/Rainforest Alliance</w:t>
            </w:r>
          </w:p>
        </w:tc>
      </w:tr>
      <w:tr w:rsidR="00D25C93" w:rsidRPr="00454D39" w14:paraId="06CEDC6A" w14:textId="77777777">
        <w:trPr>
          <w:jc w:val="center"/>
        </w:trPr>
        <w:tc>
          <w:tcPr>
            <w:tcW w:w="2268" w:type="dxa"/>
            <w:shd w:val="clear" w:color="auto" w:fill="FFFFFF"/>
          </w:tcPr>
          <w:p w14:paraId="2D396DBA" w14:textId="77777777" w:rsidR="00D25C93" w:rsidRDefault="00000000">
            <w:r>
              <w:rPr>
                <w:rFonts w:ascii="Times New Roman" w:hAnsi="Times New Roman"/>
                <w:sz w:val="18"/>
              </w:rPr>
              <w:t>Цифровые риски (кибербезопасность)</w:t>
            </w:r>
          </w:p>
        </w:tc>
        <w:tc>
          <w:tcPr>
            <w:tcW w:w="1417" w:type="dxa"/>
            <w:shd w:val="clear" w:color="auto" w:fill="FFFFFF"/>
          </w:tcPr>
          <w:p w14:paraId="0F333CAF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Средняя</w:t>
            </w:r>
          </w:p>
        </w:tc>
        <w:tc>
          <w:tcPr>
            <w:tcW w:w="1134" w:type="dxa"/>
            <w:shd w:val="clear" w:color="auto" w:fill="FFFFFF"/>
          </w:tcPr>
          <w:p w14:paraId="3BABBD52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Высокое</w:t>
            </w:r>
          </w:p>
        </w:tc>
        <w:tc>
          <w:tcPr>
            <w:tcW w:w="1134" w:type="dxa"/>
            <w:shd w:val="clear" w:color="auto" w:fill="FFFFFF"/>
          </w:tcPr>
          <w:p w14:paraId="468AD206" w14:textId="77777777" w:rsidR="00D25C93" w:rsidRDefault="00000000">
            <w:pPr>
              <w:jc w:val="center"/>
            </w:pPr>
            <w:r>
              <w:rPr>
                <w:rFonts w:ascii="Times New Roman" w:hAnsi="Times New Roman"/>
                <w:sz w:val="18"/>
              </w:rPr>
              <w:t>ВЫСОКИЙ</w:t>
            </w:r>
          </w:p>
        </w:tc>
        <w:tc>
          <w:tcPr>
            <w:tcW w:w="3402" w:type="dxa"/>
            <w:shd w:val="clear" w:color="auto" w:fill="FFFFFF"/>
          </w:tcPr>
          <w:p w14:paraId="56A804D9" w14:textId="77777777" w:rsidR="00D25C93" w:rsidRPr="00F67FAE" w:rsidRDefault="00000000">
            <w:pPr>
              <w:rPr>
                <w:lang w:val="ru-RU"/>
              </w:rPr>
            </w:pPr>
            <w:r w:rsidRPr="00F67FAE">
              <w:rPr>
                <w:rFonts w:ascii="Times New Roman" w:hAnsi="Times New Roman"/>
                <w:sz w:val="18"/>
                <w:lang w:val="ru-RU"/>
              </w:rPr>
              <w:t xml:space="preserve">Модуль </w:t>
            </w:r>
            <w:r>
              <w:rPr>
                <w:rFonts w:ascii="Times New Roman" w:hAnsi="Times New Roman"/>
                <w:sz w:val="18"/>
              </w:rPr>
              <w:t>G</w:t>
            </w:r>
            <w:r w:rsidRPr="00F67FAE">
              <w:rPr>
                <w:rFonts w:ascii="Times New Roman" w:hAnsi="Times New Roman"/>
                <w:sz w:val="18"/>
                <w:lang w:val="ru-RU"/>
              </w:rPr>
              <w:t xml:space="preserve"> платформы; международные стандарты </w:t>
            </w:r>
            <w:r>
              <w:rPr>
                <w:rFonts w:ascii="Times New Roman" w:hAnsi="Times New Roman"/>
                <w:sz w:val="18"/>
              </w:rPr>
              <w:t>ISO</w:t>
            </w:r>
            <w:r w:rsidRPr="00F67FAE">
              <w:rPr>
                <w:rFonts w:ascii="Times New Roman" w:hAnsi="Times New Roman"/>
                <w:sz w:val="18"/>
                <w:lang w:val="ru-RU"/>
              </w:rPr>
              <w:t xml:space="preserve"> 27001; страхование</w:t>
            </w:r>
          </w:p>
        </w:tc>
      </w:tr>
    </w:tbl>
    <w:p w14:paraId="69D6B7B4" w14:textId="77777777" w:rsidR="00D25C93" w:rsidRPr="00F67FAE" w:rsidRDefault="00000000">
      <w:pPr>
        <w:spacing w:after="0" w:line="440" w:lineRule="exact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Источник: составлено автором на основе [10; 11; 14] и данных проекта.</w:t>
      </w:r>
    </w:p>
    <w:p w14:paraId="6D527351" w14:textId="77777777" w:rsidR="00D25C93" w:rsidRPr="00F67FAE" w:rsidRDefault="00D25C93">
      <w:pPr>
        <w:spacing w:after="0" w:line="440" w:lineRule="exact"/>
        <w:ind w:firstLine="709"/>
        <w:jc w:val="both"/>
        <w:rPr>
          <w:lang w:val="ru-RU"/>
        </w:rPr>
      </w:pPr>
    </w:p>
    <w:p w14:paraId="0F1EDF18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Особо следует выделить риск </w:t>
      </w:r>
      <w:r>
        <w:rPr>
          <w:rFonts w:ascii="Times New Roman" w:hAnsi="Times New Roman"/>
          <w:color w:val="000000"/>
          <w:sz w:val="28"/>
        </w:rPr>
        <w:t>ESG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-регулирования ЕС. В 2023 году ЕС принял регламент </w:t>
      </w:r>
      <w:r>
        <w:rPr>
          <w:rFonts w:ascii="Times New Roman" w:hAnsi="Times New Roman"/>
          <w:color w:val="000000"/>
          <w:sz w:val="28"/>
        </w:rPr>
        <w:t>EUDR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(</w:t>
      </w:r>
      <w:r>
        <w:rPr>
          <w:rFonts w:ascii="Times New Roman" w:hAnsi="Times New Roman"/>
          <w:color w:val="000000"/>
          <w:sz w:val="28"/>
        </w:rPr>
        <w:t>EU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Deforestation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Regulation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), требующий верификации отсутствия связи сельскохозяйственных товаров (включая какао) с обезлесением. Кот-д'Ивуар, как крупнейший поставщик какао в Европу, находится в зоне высокого регуляторного риска. Модуль </w:t>
      </w:r>
      <w:r>
        <w:rPr>
          <w:rFonts w:ascii="Times New Roman" w:hAnsi="Times New Roman"/>
          <w:color w:val="000000"/>
          <w:sz w:val="28"/>
        </w:rPr>
        <w:t>Traceability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платформы «Берег Восхода» непосредственно адресует этот риск, превращая регуляторное давление из угрозы в конкурентное преимущество: верифицированные данные о происхождении какао станут барьером для менее прозрачных конкурентов из других стран [14].</w:t>
      </w:r>
    </w:p>
    <w:p w14:paraId="2E614827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Риск институциональной инерции является системным для африканских экономик. Как показывает анализ Африканского банка развития, среди наиболее распространённых причин неудач крупных инфраструктурных и промышленных инициатив в Западной Африке — слабость правоприменения, коррупция на этапах реализации и отсутствие устойчивого политического сопровождения между избирательными циклами [11; 12]. Именно поэтому цифровая платформа выступает не только коммерческим, но и антикоррупционным инструментом: прозрачность транзакций, автоматизация контрактов и публичность данных о финансовых потоках снижают возможности для оппортунистического поведения.</w:t>
      </w:r>
    </w:p>
    <w:p w14:paraId="2A26C369" w14:textId="77777777" w:rsidR="00D25C93" w:rsidRPr="00F67FAE" w:rsidRDefault="00000000">
      <w:pPr>
        <w:spacing w:before="200" w:after="120" w:line="440" w:lineRule="exact"/>
        <w:rPr>
          <w:lang w:val="ru-RU"/>
        </w:rPr>
      </w:pPr>
      <w:r w:rsidRPr="00F67FAE">
        <w:rPr>
          <w:rFonts w:ascii="Times New Roman" w:hAnsi="Times New Roman"/>
          <w:b/>
          <w:i/>
          <w:color w:val="2E4A62"/>
          <w:sz w:val="28"/>
          <w:lang w:val="ru-RU"/>
        </w:rPr>
        <w:lastRenderedPageBreak/>
        <w:t>2.1.10. Выводы по параграфу 2.1</w:t>
      </w:r>
    </w:p>
    <w:p w14:paraId="2C236485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Проведённый теоретико-методологический анализ и формализованное моделирование позволяют сформулировать следующие научно обоснованные выводы.</w:t>
      </w:r>
    </w:p>
    <w:p w14:paraId="18647307" w14:textId="77777777" w:rsidR="00F67FAE" w:rsidRDefault="00000000">
      <w:pPr>
        <w:spacing w:after="0" w:line="440" w:lineRule="exact"/>
        <w:ind w:firstLine="709"/>
        <w:jc w:val="both"/>
        <w:rPr>
          <w:rFonts w:ascii="Times New Roman" w:hAnsi="Times New Roman"/>
          <w:color w:val="000000"/>
          <w:sz w:val="28"/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Первый вывод касается принципиальной ограниченности моноотраслевых стратегий в контексте структурной трансформации. Расчёты демонстрируют, что даже полная реализация потенциала переработки какао — строительство ста и более заводов, стопроцентная переработка двух с лишним миллионов тонн сырья внутри страны — способна добавить к ВВП Кот-д'Ивуара не более одного процента. </w:t>
      </w:r>
    </w:p>
    <w:p w14:paraId="64D3FFD5" w14:textId="25E9E0DE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Этот результат является следствием жёстких структурных ограничений: небольшой переработочной маржи в расчёте на тонну какао в сравнении с объёмом экономики, насыщенности мирового рынка шоколада и какао-продуктов и ограниченных возможностей по дальнейшему расширению сырьевой базы. Ставка на «какао как локомотив» — это политически понятное, но экономически несостоятельное решение, консервирующее, а не преодолевающее сырьевую зависимость страны.</w:t>
      </w:r>
    </w:p>
    <w:p w14:paraId="164BDCC0" w14:textId="77777777" w:rsidR="00F67FAE" w:rsidRDefault="00000000">
      <w:pPr>
        <w:spacing w:after="0" w:line="440" w:lineRule="exact"/>
        <w:ind w:firstLine="709"/>
        <w:jc w:val="both"/>
        <w:rPr>
          <w:rFonts w:ascii="Times New Roman" w:hAnsi="Times New Roman"/>
          <w:color w:val="000000"/>
          <w:sz w:val="28"/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Второй вывод состоит в том, что мультисекторальный кластерный подход даёт принципиально иной масштаб результата. </w:t>
      </w:r>
    </w:p>
    <w:p w14:paraId="4943264B" w14:textId="77777777" w:rsidR="00F67FAE" w:rsidRDefault="00000000">
      <w:pPr>
        <w:spacing w:after="0" w:line="440" w:lineRule="exact"/>
        <w:ind w:firstLine="709"/>
        <w:jc w:val="both"/>
        <w:rPr>
          <w:rFonts w:ascii="Times New Roman" w:hAnsi="Times New Roman"/>
          <w:color w:val="000000"/>
          <w:sz w:val="28"/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Пять взаимосвязанных кластеров — агропереработка, логистический хаб, промышленная зона, цифровой финансовый сектор и туризм — при сквозной платформенной координации генерируют совокупный эффект 11,7 млрд </w:t>
      </w:r>
      <w:r>
        <w:rPr>
          <w:rFonts w:ascii="Times New Roman" w:hAnsi="Times New Roman"/>
          <w:color w:val="000000"/>
          <w:sz w:val="28"/>
        </w:rPr>
        <w:t>USD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добавленной стоимости, что в 13,3 раза превышает эффект моноотраслевой стратегии. </w:t>
      </w:r>
    </w:p>
    <w:p w14:paraId="340A6D17" w14:textId="77606D04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Решающую роль здесь играет не просто диверсификация сама по себе, а синергетический мультипликатор, возникающий при кросс-кластерном взаимодействии в рамках единой экосистемы: каждый кластер усиливает эффективность смежных, создавая петли положительной обратной связи.</w:t>
      </w:r>
    </w:p>
    <w:p w14:paraId="18D05B9D" w14:textId="77777777" w:rsidR="007A5BF6" w:rsidRDefault="00000000">
      <w:pPr>
        <w:spacing w:after="0" w:line="440" w:lineRule="exact"/>
        <w:ind w:firstLine="709"/>
        <w:jc w:val="both"/>
        <w:rPr>
          <w:rFonts w:ascii="Times New Roman" w:hAnsi="Times New Roman"/>
          <w:color w:val="000000"/>
          <w:sz w:val="28"/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Третий вывод касается природы цифровой платформы как несущего координационного каркаса трансформации. Платформа «Берег Восхода» в предложенной архитектуре выполняет функции, кардинально отличающиеся </w:t>
      </w:r>
      <w:r w:rsidRPr="00F67FAE">
        <w:rPr>
          <w:rFonts w:ascii="Times New Roman" w:hAnsi="Times New Roman"/>
          <w:color w:val="000000"/>
          <w:sz w:val="28"/>
          <w:lang w:val="ru-RU"/>
        </w:rPr>
        <w:lastRenderedPageBreak/>
        <w:t xml:space="preserve">от традиционного понимания «автоматизации бизнес-процессов». Она является институциональным механизмом снижения транзакционных издержек (формула 2.6), генератором сетевых внешних эффектов (формула 2.7) и усилителем инвестиционного мультипликатора (формула 2.8–2.10). </w:t>
      </w:r>
    </w:p>
    <w:p w14:paraId="0F07D59D" w14:textId="0BD8D782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Именно поэтому инвестиции в платформу должны предшествовать инвестициям в отдельные кластеры: без платформенного каркаса пять кластеров будут функционировать как пять изолированных проектов, не создавая системного эффекта.</w:t>
      </w:r>
    </w:p>
    <w:p w14:paraId="3A9A9BBD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Четвёртый вывод связан с инвестиционной реалистичностью модели. Суммарная инвестиционная потребность в 7,75 млрд </w:t>
      </w:r>
      <w:r>
        <w:rPr>
          <w:rFonts w:ascii="Times New Roman" w:hAnsi="Times New Roman"/>
          <w:color w:val="000000"/>
          <w:sz w:val="28"/>
        </w:rPr>
        <w:t>USD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за 10 лет (≈ 0,78 млрд </w:t>
      </w:r>
      <w:r>
        <w:rPr>
          <w:rFonts w:ascii="Times New Roman" w:hAnsi="Times New Roman"/>
          <w:color w:val="000000"/>
          <w:sz w:val="28"/>
        </w:rPr>
        <w:t>USD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/год, или ≈ 3,3% ВВП) является напряжённым, но достижимым целевым ориентиром при условии: задействования механизмов СП 50/50, активного партнёрства с международными финансовыми институтами — АфБР, МВФ и Всемирным банком, — и создания благоприятной регуляторной среды, снижающей воспринимаемые риски для частного инвестора. Расчётный платформенный </w:t>
      </w:r>
      <w:r>
        <w:rPr>
          <w:rFonts w:ascii="Times New Roman" w:hAnsi="Times New Roman"/>
          <w:color w:val="000000"/>
          <w:sz w:val="28"/>
        </w:rPr>
        <w:t>ROI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(156%) многократно превышает доходность сопоставимых инфраструктурных проектов в регионе и создаёт убедительный финансовый нарратив для привлечения международного капитала.</w:t>
      </w:r>
    </w:p>
    <w:p w14:paraId="585561DF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Пятый вывод состоит в том, что прибрежная зона Кот-д'Ивуара обладает необходимыми предпосылками для реализации проекта. Высокая концентрация экономической активности (65% ВВП), развитая цифровая инфраструктура (96,2% покрытия 4</w:t>
      </w:r>
      <w:r>
        <w:rPr>
          <w:rFonts w:ascii="Times New Roman" w:hAnsi="Times New Roman"/>
          <w:color w:val="000000"/>
          <w:sz w:val="28"/>
        </w:rPr>
        <w:t>G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, 89% охвата </w:t>
      </w:r>
      <w:r>
        <w:rPr>
          <w:rFonts w:ascii="Times New Roman" w:hAnsi="Times New Roman"/>
          <w:color w:val="000000"/>
          <w:sz w:val="28"/>
        </w:rPr>
        <w:t>Mobile</w:t>
      </w:r>
      <w:r w:rsidRPr="00F67FAE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Money</w:t>
      </w:r>
      <w:r w:rsidRPr="00F67FAE">
        <w:rPr>
          <w:rFonts w:ascii="Times New Roman" w:hAnsi="Times New Roman"/>
          <w:color w:val="000000"/>
          <w:sz w:val="28"/>
          <w:lang w:val="ru-RU"/>
        </w:rPr>
        <w:t>), монопольная позиция портовой инфраструктуры в субрегионе и высокая плотность квалифицированного населения формируют уникальный «стартовый капитал» для трансформации прибрежной зоны в подлинный полюс роста не только для Кот-д'Ивуара, но и для всей Западной Африки.</w:t>
      </w:r>
    </w:p>
    <w:p w14:paraId="0CD12B13" w14:textId="77777777" w:rsidR="007A5BF6" w:rsidRDefault="00000000">
      <w:pPr>
        <w:spacing w:after="0" w:line="440" w:lineRule="exact"/>
        <w:ind w:firstLine="709"/>
        <w:jc w:val="both"/>
        <w:rPr>
          <w:rFonts w:ascii="Times New Roman" w:hAnsi="Times New Roman"/>
          <w:color w:val="000000"/>
          <w:sz w:val="28"/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 xml:space="preserve">Шестой — ключевой — вывод касается условий состоятельности всей предложенной модели. Технологические решения, инвестиционные расчёты и кластерная архитектура представляют собой лишь необходимые условия успеха. Достаточным условием является институциональная устойчивость: </w:t>
      </w:r>
      <w:r w:rsidRPr="00F67FAE">
        <w:rPr>
          <w:rFonts w:ascii="Times New Roman" w:hAnsi="Times New Roman"/>
          <w:color w:val="000000"/>
          <w:sz w:val="28"/>
          <w:lang w:val="ru-RU"/>
        </w:rPr>
        <w:lastRenderedPageBreak/>
        <w:t xml:space="preserve">политическая воля правительства к последовательной реализации долгосрочной программы, независимость и профессионализм «цифрового регулятора», прозрачность управления платформой и механизмы защиты прав участников. </w:t>
      </w:r>
    </w:p>
    <w:p w14:paraId="5E989B66" w14:textId="0C575128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Без этого ни технологии, ни деньги не создадут точку роста — они создадут лишь ещё один нереализованный потенциал в длинном ряду таких же нереализованных потенциалов континента.</w:t>
      </w:r>
    </w:p>
    <w:p w14:paraId="1F8E8DC5" w14:textId="77777777" w:rsidR="00D25C93" w:rsidRPr="00F67FAE" w:rsidRDefault="00000000">
      <w:pPr>
        <w:spacing w:after="0" w:line="440" w:lineRule="exact"/>
        <w:ind w:firstLine="709"/>
        <w:jc w:val="both"/>
        <w:rPr>
          <w:lang w:val="ru-RU"/>
        </w:rPr>
      </w:pPr>
      <w:r w:rsidRPr="00F67FAE">
        <w:rPr>
          <w:rFonts w:ascii="Times New Roman" w:hAnsi="Times New Roman"/>
          <w:color w:val="000000"/>
          <w:sz w:val="28"/>
          <w:lang w:val="ru-RU"/>
        </w:rPr>
        <w:t>Таким образом, «Берег Восхода» — не строительный, не технологический и не финансовый проект в изолированном смысле. Это проект одновременного создания пяти кластеров, единой платформы и новых институтов их координации. Только в такой конфигурации он способен выступить подлинной точкой структурной трансформации экономики Республики Кот-д'Ивуар.</w:t>
      </w:r>
    </w:p>
    <w:p w14:paraId="3AE17FC1" w14:textId="77777777" w:rsidR="00D25C93" w:rsidRPr="00F67FAE" w:rsidRDefault="00000000">
      <w:pPr>
        <w:rPr>
          <w:lang w:val="ru-RU"/>
        </w:rPr>
      </w:pPr>
      <w:r w:rsidRPr="00F67FAE">
        <w:rPr>
          <w:lang w:val="ru-RU"/>
        </w:rPr>
        <w:br w:type="page"/>
      </w:r>
    </w:p>
    <w:p w14:paraId="77EEEA00" w14:textId="77777777" w:rsidR="00D25C93" w:rsidRPr="00F67FAE" w:rsidRDefault="00000000">
      <w:pPr>
        <w:spacing w:before="280" w:after="160" w:line="440" w:lineRule="exact"/>
        <w:rPr>
          <w:lang w:val="ru-RU"/>
        </w:rPr>
      </w:pPr>
      <w:r w:rsidRPr="00F67FAE">
        <w:rPr>
          <w:rFonts w:ascii="Times New Roman" w:hAnsi="Times New Roman"/>
          <w:b/>
          <w:color w:val="1A5276"/>
          <w:sz w:val="28"/>
          <w:lang w:val="ru-RU"/>
        </w:rPr>
        <w:lastRenderedPageBreak/>
        <w:t>Список использованных источников к параграфу 2.1</w:t>
      </w:r>
    </w:p>
    <w:p w14:paraId="2393E881" w14:textId="77777777" w:rsidR="00D25C93" w:rsidRPr="00F67FAE" w:rsidRDefault="00000000">
      <w:pPr>
        <w:spacing w:before="40" w:after="40" w:line="360" w:lineRule="exact"/>
        <w:ind w:left="283" w:hanging="283"/>
        <w:jc w:val="both"/>
        <w:rPr>
          <w:lang w:val="ru-RU"/>
        </w:rPr>
      </w:pPr>
      <w:r w:rsidRPr="00F67FAE">
        <w:rPr>
          <w:rFonts w:ascii="Times New Roman" w:hAnsi="Times New Roman"/>
          <w:sz w:val="24"/>
          <w:lang w:val="ru-RU"/>
        </w:rPr>
        <w:t>[1</w:t>
      </w:r>
      <w:proofErr w:type="gramStart"/>
      <w:r w:rsidRPr="00F67FAE">
        <w:rPr>
          <w:rFonts w:ascii="Times New Roman" w:hAnsi="Times New Roman"/>
          <w:sz w:val="24"/>
          <w:lang w:val="ru-RU"/>
        </w:rPr>
        <w:t>]  Кругман</w:t>
      </w:r>
      <w:proofErr w:type="gramEnd"/>
      <w:r w:rsidRPr="00F67FAE">
        <w:rPr>
          <w:rFonts w:ascii="Times New Roman" w:hAnsi="Times New Roman"/>
          <w:sz w:val="24"/>
          <w:lang w:val="ru-RU"/>
        </w:rPr>
        <w:t xml:space="preserve"> П. Пространство и время в экономическом развитии // </w:t>
      </w:r>
      <w:r>
        <w:rPr>
          <w:rFonts w:ascii="Times New Roman" w:hAnsi="Times New Roman"/>
          <w:sz w:val="24"/>
        </w:rPr>
        <w:t>American</w:t>
      </w:r>
      <w:r w:rsidRPr="00F67FAE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Economic</w:t>
      </w:r>
      <w:r w:rsidRPr="00F67FAE">
        <w:rPr>
          <w:rFonts w:ascii="Times New Roman" w:hAnsi="Times New Roman"/>
          <w:sz w:val="24"/>
          <w:lang w:val="ru-RU"/>
        </w:rPr>
        <w:t xml:space="preserve"> </w:t>
      </w:r>
      <w:r>
        <w:rPr>
          <w:rFonts w:ascii="Times New Roman" w:hAnsi="Times New Roman"/>
          <w:sz w:val="24"/>
        </w:rPr>
        <w:t>Review</w:t>
      </w:r>
      <w:r w:rsidRPr="00F67FAE">
        <w:rPr>
          <w:rFonts w:ascii="Times New Roman" w:hAnsi="Times New Roman"/>
          <w:sz w:val="24"/>
          <w:lang w:val="ru-RU"/>
        </w:rPr>
        <w:t xml:space="preserve">. — 1991. — </w:t>
      </w:r>
      <w:r>
        <w:rPr>
          <w:rFonts w:ascii="Times New Roman" w:hAnsi="Times New Roman"/>
          <w:sz w:val="24"/>
        </w:rPr>
        <w:t>Vol</w:t>
      </w:r>
      <w:r w:rsidRPr="00F67FAE">
        <w:rPr>
          <w:rFonts w:ascii="Times New Roman" w:hAnsi="Times New Roman"/>
          <w:sz w:val="24"/>
          <w:lang w:val="ru-RU"/>
        </w:rPr>
        <w:t xml:space="preserve">. 81. — </w:t>
      </w:r>
      <w:r>
        <w:rPr>
          <w:rFonts w:ascii="Times New Roman" w:hAnsi="Times New Roman"/>
          <w:sz w:val="24"/>
        </w:rPr>
        <w:t>P</w:t>
      </w:r>
      <w:r w:rsidRPr="00F67FAE">
        <w:rPr>
          <w:rFonts w:ascii="Times New Roman" w:hAnsi="Times New Roman"/>
          <w:sz w:val="24"/>
          <w:lang w:val="ru-RU"/>
        </w:rPr>
        <w:t>. 179–183.</w:t>
      </w:r>
    </w:p>
    <w:p w14:paraId="7C4B62EB" w14:textId="77777777" w:rsidR="00D25C93" w:rsidRDefault="00000000">
      <w:pPr>
        <w:spacing w:before="40" w:after="40" w:line="360" w:lineRule="exact"/>
        <w:ind w:left="283" w:hanging="283"/>
        <w:jc w:val="both"/>
      </w:pPr>
      <w:r>
        <w:rPr>
          <w:rFonts w:ascii="Times New Roman" w:hAnsi="Times New Roman"/>
          <w:sz w:val="24"/>
        </w:rPr>
        <w:t>[2</w:t>
      </w:r>
      <w:proofErr w:type="gramStart"/>
      <w:r>
        <w:rPr>
          <w:rFonts w:ascii="Times New Roman" w:hAnsi="Times New Roman"/>
          <w:sz w:val="24"/>
        </w:rPr>
        <w:t>]  Keynes</w:t>
      </w:r>
      <w:proofErr w:type="gramEnd"/>
      <w:r>
        <w:rPr>
          <w:rFonts w:ascii="Times New Roman" w:hAnsi="Times New Roman"/>
          <w:sz w:val="24"/>
        </w:rPr>
        <w:t xml:space="preserve"> J. M. The General Theory of Employment, Interest and Money. — London: Macmillan, 1936. — 472 p.</w:t>
      </w:r>
    </w:p>
    <w:p w14:paraId="731ECB34" w14:textId="77777777" w:rsidR="00D25C93" w:rsidRDefault="00000000">
      <w:pPr>
        <w:spacing w:before="40" w:after="40" w:line="360" w:lineRule="exact"/>
        <w:ind w:left="283" w:hanging="283"/>
        <w:jc w:val="both"/>
      </w:pPr>
      <w:r>
        <w:rPr>
          <w:rFonts w:ascii="Times New Roman" w:hAnsi="Times New Roman"/>
          <w:sz w:val="24"/>
        </w:rPr>
        <w:t>[3]  Krugman P. Increasing Returns and Economic Geography // Journal of Political Economy. — 1991. — Vol. 99, № 3. — P. 483–499.</w:t>
      </w:r>
    </w:p>
    <w:p w14:paraId="7F667137" w14:textId="77777777" w:rsidR="00D25C93" w:rsidRDefault="00000000">
      <w:pPr>
        <w:spacing w:before="40" w:after="40" w:line="360" w:lineRule="exact"/>
        <w:ind w:left="283" w:hanging="283"/>
        <w:jc w:val="both"/>
      </w:pPr>
      <w:r>
        <w:rPr>
          <w:rFonts w:ascii="Times New Roman" w:hAnsi="Times New Roman"/>
          <w:sz w:val="24"/>
        </w:rPr>
        <w:t>[4]  OECD. Digital Economy Outlook 2024. — Paris: OECD Publishing, 2024. — 248 p.</w:t>
      </w:r>
    </w:p>
    <w:p w14:paraId="18123768" w14:textId="77777777" w:rsidR="00D25C93" w:rsidRDefault="00000000">
      <w:pPr>
        <w:spacing w:before="40" w:after="40" w:line="360" w:lineRule="exact"/>
        <w:ind w:left="283" w:hanging="283"/>
        <w:jc w:val="both"/>
      </w:pPr>
      <w:r>
        <w:rPr>
          <w:rFonts w:ascii="Times New Roman" w:hAnsi="Times New Roman"/>
          <w:sz w:val="24"/>
        </w:rPr>
        <w:t>[5]  Rodrik D. Industrial Policy for the Twenty-First Century // NBER Working Paper. — 2004. — № 10673.</w:t>
      </w:r>
    </w:p>
    <w:p w14:paraId="0DE43DF7" w14:textId="77777777" w:rsidR="00D25C93" w:rsidRDefault="00000000">
      <w:pPr>
        <w:spacing w:before="40" w:after="40" w:line="360" w:lineRule="exact"/>
        <w:ind w:left="283" w:hanging="283"/>
        <w:jc w:val="both"/>
      </w:pPr>
      <w:r>
        <w:rPr>
          <w:rFonts w:ascii="Times New Roman" w:hAnsi="Times New Roman"/>
          <w:sz w:val="24"/>
        </w:rPr>
        <w:t>[6]  Perroux F. Note on the Concept of Growth Poles // French Economic Study. — 1955. — Vol. 7. — P. 307–320.</w:t>
      </w:r>
    </w:p>
    <w:p w14:paraId="0829F484" w14:textId="77777777" w:rsidR="00D25C93" w:rsidRPr="00F67FAE" w:rsidRDefault="00000000">
      <w:pPr>
        <w:spacing w:before="40" w:after="40" w:line="360" w:lineRule="exact"/>
        <w:ind w:left="283" w:hanging="283"/>
        <w:jc w:val="both"/>
        <w:rPr>
          <w:lang w:val="fr-FR"/>
        </w:rPr>
      </w:pPr>
      <w:r w:rsidRPr="00F67FAE">
        <w:rPr>
          <w:rFonts w:ascii="Times New Roman" w:hAnsi="Times New Roman"/>
          <w:sz w:val="24"/>
          <w:lang w:val="fr-FR"/>
        </w:rPr>
        <w:t>[7</w:t>
      </w:r>
      <w:proofErr w:type="gramStart"/>
      <w:r w:rsidRPr="00F67FAE">
        <w:rPr>
          <w:rFonts w:ascii="Times New Roman" w:hAnsi="Times New Roman"/>
          <w:sz w:val="24"/>
          <w:lang w:val="fr-FR"/>
        </w:rPr>
        <w:t>]  Ministère</w:t>
      </w:r>
      <w:proofErr w:type="gramEnd"/>
      <w:r w:rsidRPr="00F67FAE">
        <w:rPr>
          <w:rFonts w:ascii="Times New Roman" w:hAnsi="Times New Roman"/>
          <w:sz w:val="24"/>
          <w:lang w:val="fr-FR"/>
        </w:rPr>
        <w:t xml:space="preserve"> de l'Économie et des Finances de Côte d'Ivoire. Rapport économique et financier 2025. — Abidjan, 2025. — 186 p.</w:t>
      </w:r>
    </w:p>
    <w:p w14:paraId="4C961FE1" w14:textId="77777777" w:rsidR="00D25C93" w:rsidRPr="00F67FAE" w:rsidRDefault="00000000">
      <w:pPr>
        <w:spacing w:before="40" w:after="40" w:line="360" w:lineRule="exact"/>
        <w:ind w:left="283" w:hanging="283"/>
        <w:jc w:val="both"/>
        <w:rPr>
          <w:lang w:val="fr-FR"/>
        </w:rPr>
      </w:pPr>
      <w:r w:rsidRPr="00F67FAE">
        <w:rPr>
          <w:rFonts w:ascii="Times New Roman" w:hAnsi="Times New Roman"/>
          <w:sz w:val="24"/>
          <w:lang w:val="fr-FR"/>
        </w:rPr>
        <w:t>[8</w:t>
      </w:r>
      <w:proofErr w:type="gramStart"/>
      <w:r w:rsidRPr="00F67FAE">
        <w:rPr>
          <w:rFonts w:ascii="Times New Roman" w:hAnsi="Times New Roman"/>
          <w:sz w:val="24"/>
          <w:lang w:val="fr-FR"/>
        </w:rPr>
        <w:t>]  Ministère</w:t>
      </w:r>
      <w:proofErr w:type="gramEnd"/>
      <w:r w:rsidRPr="00F67FAE">
        <w:rPr>
          <w:rFonts w:ascii="Times New Roman" w:hAnsi="Times New Roman"/>
          <w:sz w:val="24"/>
          <w:lang w:val="fr-FR"/>
        </w:rPr>
        <w:t xml:space="preserve"> de la Transformation Numérique et de la Poste. Rapport sur l'infrastructure numérique 2024. — Abidjan, 2024. — 94 p.</w:t>
      </w:r>
    </w:p>
    <w:p w14:paraId="3651CFDC" w14:textId="77777777" w:rsidR="00D25C93" w:rsidRDefault="00000000">
      <w:pPr>
        <w:spacing w:before="40" w:after="40" w:line="360" w:lineRule="exact"/>
        <w:ind w:left="283" w:hanging="283"/>
        <w:jc w:val="both"/>
      </w:pPr>
      <w:r>
        <w:rPr>
          <w:rFonts w:ascii="Times New Roman" w:hAnsi="Times New Roman"/>
          <w:sz w:val="24"/>
        </w:rPr>
        <w:t>[9</w:t>
      </w:r>
      <w:proofErr w:type="gramStart"/>
      <w:r>
        <w:rPr>
          <w:rFonts w:ascii="Times New Roman" w:hAnsi="Times New Roman"/>
          <w:sz w:val="24"/>
        </w:rPr>
        <w:t>]  IMF</w:t>
      </w:r>
      <w:proofErr w:type="gramEnd"/>
      <w:r>
        <w:rPr>
          <w:rFonts w:ascii="Times New Roman" w:hAnsi="Times New Roman"/>
          <w:sz w:val="24"/>
        </w:rPr>
        <w:t>. World Economic Outlook: Navigating Global Divergences. — Washington: IMF, 2024. — 214 p.</w:t>
      </w:r>
    </w:p>
    <w:p w14:paraId="7B9FEB95" w14:textId="77777777" w:rsidR="00D25C93" w:rsidRDefault="00000000">
      <w:pPr>
        <w:spacing w:before="40" w:after="40" w:line="360" w:lineRule="exact"/>
        <w:ind w:left="283" w:hanging="283"/>
        <w:jc w:val="both"/>
      </w:pPr>
      <w:r>
        <w:rPr>
          <w:rFonts w:ascii="Times New Roman" w:hAnsi="Times New Roman"/>
          <w:sz w:val="24"/>
        </w:rPr>
        <w:t>[10] World Bank. World Development Report 2024: The Middle Income Trap. — Washington: WB, 2024. — 310 p.</w:t>
      </w:r>
    </w:p>
    <w:p w14:paraId="411DA9F7" w14:textId="77777777" w:rsidR="00D25C93" w:rsidRDefault="00000000">
      <w:pPr>
        <w:spacing w:before="40" w:after="40" w:line="360" w:lineRule="exact"/>
        <w:ind w:left="283" w:hanging="283"/>
        <w:jc w:val="both"/>
      </w:pPr>
      <w:r>
        <w:rPr>
          <w:rFonts w:ascii="Times New Roman" w:hAnsi="Times New Roman"/>
          <w:sz w:val="24"/>
        </w:rPr>
        <w:t>[11] African Development Bank Group. Country Report 2025: Côte d'Ivoire. — Abidjan: AfDB, 2025. — 112 p.</w:t>
      </w:r>
    </w:p>
    <w:p w14:paraId="2A0E45DE" w14:textId="77777777" w:rsidR="00D25C93" w:rsidRDefault="00000000">
      <w:pPr>
        <w:spacing w:before="40" w:after="40" w:line="360" w:lineRule="exact"/>
        <w:ind w:left="283" w:hanging="283"/>
        <w:jc w:val="both"/>
      </w:pPr>
      <w:r>
        <w:rPr>
          <w:rFonts w:ascii="Times New Roman" w:hAnsi="Times New Roman"/>
          <w:sz w:val="24"/>
        </w:rPr>
        <w:t>[12] UNCTAD. Economic Development in Africa Report 2024: Diversification and Industrialization. — Geneva: UNCTAD, 2024. — 168 p.</w:t>
      </w:r>
    </w:p>
    <w:p w14:paraId="009B2706" w14:textId="77777777" w:rsidR="00D25C93" w:rsidRDefault="00000000">
      <w:pPr>
        <w:spacing w:before="40" w:after="40" w:line="360" w:lineRule="exact"/>
        <w:ind w:left="283" w:hanging="283"/>
        <w:jc w:val="both"/>
      </w:pPr>
      <w:r>
        <w:rPr>
          <w:rFonts w:ascii="Times New Roman" w:hAnsi="Times New Roman"/>
          <w:sz w:val="24"/>
        </w:rPr>
        <w:t>[13] World Bank. Identification for Development (ID4D) — Digital Platforms for Growth: Evidence from Sub-Saharan Africa. — Washington: WB, 2023. — 88 p.</w:t>
      </w:r>
    </w:p>
    <w:p w14:paraId="5B34CEB2" w14:textId="77777777" w:rsidR="00D25C93" w:rsidRPr="00F67FAE" w:rsidRDefault="00000000">
      <w:pPr>
        <w:spacing w:before="40" w:after="40" w:line="360" w:lineRule="exact"/>
        <w:ind w:left="283" w:hanging="283"/>
        <w:jc w:val="both"/>
        <w:rPr>
          <w:lang w:val="fr-FR"/>
        </w:rPr>
      </w:pPr>
      <w:r w:rsidRPr="00F67FAE">
        <w:rPr>
          <w:rFonts w:ascii="Times New Roman" w:hAnsi="Times New Roman"/>
          <w:sz w:val="24"/>
          <w:lang w:val="fr-FR"/>
        </w:rPr>
        <w:t xml:space="preserve">[14] CSRS — GSDE </w:t>
      </w:r>
      <w:proofErr w:type="spellStart"/>
      <w:r w:rsidRPr="00F67FAE">
        <w:rPr>
          <w:rFonts w:ascii="Times New Roman" w:hAnsi="Times New Roman"/>
          <w:sz w:val="24"/>
          <w:lang w:val="fr-FR"/>
        </w:rPr>
        <w:t>Research</w:t>
      </w:r>
      <w:proofErr w:type="spellEnd"/>
      <w:r w:rsidRPr="00F67FAE">
        <w:rPr>
          <w:rFonts w:ascii="Times New Roman" w:hAnsi="Times New Roman"/>
          <w:sz w:val="24"/>
          <w:lang w:val="fr-FR"/>
        </w:rPr>
        <w:t xml:space="preserve"> Group. Recherches en partenariat pour le développement durable 2025. — </w:t>
      </w:r>
      <w:proofErr w:type="gramStart"/>
      <w:r w:rsidRPr="00F67FAE">
        <w:rPr>
          <w:rFonts w:ascii="Times New Roman" w:hAnsi="Times New Roman"/>
          <w:sz w:val="24"/>
          <w:lang w:val="fr-FR"/>
        </w:rPr>
        <w:t>Abidjan:</w:t>
      </w:r>
      <w:proofErr w:type="gramEnd"/>
      <w:r w:rsidRPr="00F67FAE">
        <w:rPr>
          <w:rFonts w:ascii="Times New Roman" w:hAnsi="Times New Roman"/>
          <w:sz w:val="24"/>
          <w:lang w:val="fr-FR"/>
        </w:rPr>
        <w:t xml:space="preserve"> CSRS, 2025. — 96 p.</w:t>
      </w:r>
    </w:p>
    <w:p w14:paraId="13EA6161" w14:textId="77777777" w:rsidR="00D25C93" w:rsidRPr="00F67FAE" w:rsidRDefault="00000000">
      <w:pPr>
        <w:spacing w:before="40" w:after="40" w:line="360" w:lineRule="exact"/>
        <w:ind w:left="283" w:hanging="283"/>
        <w:jc w:val="both"/>
        <w:rPr>
          <w:lang w:val="ru-RU"/>
        </w:rPr>
      </w:pPr>
      <w:r w:rsidRPr="00F67FAE">
        <w:rPr>
          <w:rFonts w:ascii="Times New Roman" w:hAnsi="Times New Roman"/>
          <w:sz w:val="24"/>
          <w:lang w:val="ru-RU"/>
        </w:rPr>
        <w:t>[15] Портер М. Конкурентные преимущества наций: пер. с англ. — М.: Альпина Паблишер, 2016. — 947 с.</w:t>
      </w:r>
    </w:p>
    <w:p w14:paraId="21A67598" w14:textId="77777777" w:rsidR="00D25C93" w:rsidRDefault="00000000">
      <w:pPr>
        <w:spacing w:before="40" w:after="40" w:line="360" w:lineRule="exact"/>
        <w:ind w:left="283" w:hanging="283"/>
        <w:jc w:val="both"/>
      </w:pPr>
      <w:r>
        <w:rPr>
          <w:rFonts w:ascii="Times New Roman" w:hAnsi="Times New Roman"/>
          <w:sz w:val="24"/>
        </w:rPr>
        <w:t xml:space="preserve">[16] </w:t>
      </w:r>
      <w:proofErr w:type="spellStart"/>
      <w:r>
        <w:rPr>
          <w:rFonts w:ascii="Times New Roman" w:hAnsi="Times New Roman"/>
          <w:sz w:val="24"/>
        </w:rPr>
        <w:t>Рomer</w:t>
      </w:r>
      <w:proofErr w:type="spellEnd"/>
      <w:r>
        <w:rPr>
          <w:rFonts w:ascii="Times New Roman" w:hAnsi="Times New Roman"/>
          <w:sz w:val="24"/>
        </w:rPr>
        <w:t xml:space="preserve"> P. Endogenous Technological Change // Journal of Political Economy. — 1990. — Vol. 98, № 5. — P. S71–S102.</w:t>
      </w:r>
    </w:p>
    <w:p w14:paraId="09FA1A45" w14:textId="77777777" w:rsidR="00D25C93" w:rsidRPr="00F67FAE" w:rsidRDefault="00000000">
      <w:pPr>
        <w:spacing w:before="40" w:after="40" w:line="360" w:lineRule="exact"/>
        <w:ind w:left="283" w:hanging="283"/>
        <w:jc w:val="both"/>
        <w:rPr>
          <w:lang w:val="fr-FR"/>
        </w:rPr>
      </w:pPr>
      <w:r w:rsidRPr="00F67FAE">
        <w:rPr>
          <w:rFonts w:ascii="Times New Roman" w:hAnsi="Times New Roman"/>
          <w:sz w:val="24"/>
          <w:lang w:val="fr-FR"/>
        </w:rPr>
        <w:t xml:space="preserve">[17] BCEAO. Rapport annuel 2024. — </w:t>
      </w:r>
      <w:proofErr w:type="gramStart"/>
      <w:r w:rsidRPr="00F67FAE">
        <w:rPr>
          <w:rFonts w:ascii="Times New Roman" w:hAnsi="Times New Roman"/>
          <w:sz w:val="24"/>
          <w:lang w:val="fr-FR"/>
        </w:rPr>
        <w:t>Dakar:</w:t>
      </w:r>
      <w:proofErr w:type="gramEnd"/>
      <w:r w:rsidRPr="00F67FAE">
        <w:rPr>
          <w:rFonts w:ascii="Times New Roman" w:hAnsi="Times New Roman"/>
          <w:sz w:val="24"/>
          <w:lang w:val="fr-FR"/>
        </w:rPr>
        <w:t xml:space="preserve"> BCEAO, 2024. — 204 p.</w:t>
      </w:r>
    </w:p>
    <w:p w14:paraId="5ACE7892" w14:textId="77777777" w:rsidR="00D25C93" w:rsidRPr="00F67FAE" w:rsidRDefault="00000000">
      <w:pPr>
        <w:spacing w:before="40" w:after="40" w:line="360" w:lineRule="exact"/>
        <w:ind w:left="283" w:hanging="283"/>
        <w:jc w:val="both"/>
        <w:rPr>
          <w:lang w:val="fr-FR"/>
        </w:rPr>
      </w:pPr>
      <w:r w:rsidRPr="00F67FAE">
        <w:rPr>
          <w:rFonts w:ascii="Times New Roman" w:hAnsi="Times New Roman"/>
          <w:sz w:val="24"/>
          <w:lang w:val="ru-RU"/>
        </w:rPr>
        <w:t>[18] Агентство национальной статистики Кот-д'Ивуара (</w:t>
      </w:r>
      <w:proofErr w:type="spellStart"/>
      <w:r>
        <w:rPr>
          <w:rFonts w:ascii="Times New Roman" w:hAnsi="Times New Roman"/>
          <w:sz w:val="24"/>
        </w:rPr>
        <w:t>AnStat</w:t>
      </w:r>
      <w:proofErr w:type="spellEnd"/>
      <w:r w:rsidRPr="00F67FAE">
        <w:rPr>
          <w:rFonts w:ascii="Times New Roman" w:hAnsi="Times New Roman"/>
          <w:sz w:val="24"/>
          <w:lang w:val="ru-RU"/>
        </w:rPr>
        <w:t xml:space="preserve">). </w:t>
      </w:r>
      <w:r w:rsidRPr="00F67FAE">
        <w:rPr>
          <w:rFonts w:ascii="Times New Roman" w:hAnsi="Times New Roman"/>
          <w:sz w:val="24"/>
          <w:lang w:val="fr-FR"/>
        </w:rPr>
        <w:t xml:space="preserve">Rapport sur les Indicateurs Socio-Économiques 2024. — </w:t>
      </w:r>
      <w:proofErr w:type="spellStart"/>
      <w:r>
        <w:rPr>
          <w:rFonts w:ascii="Times New Roman" w:hAnsi="Times New Roman"/>
          <w:sz w:val="24"/>
        </w:rPr>
        <w:t>Абиджан</w:t>
      </w:r>
      <w:proofErr w:type="spellEnd"/>
      <w:r w:rsidRPr="00F67FAE">
        <w:rPr>
          <w:rFonts w:ascii="Times New Roman" w:hAnsi="Times New Roman"/>
          <w:sz w:val="24"/>
          <w:lang w:val="fr-FR"/>
        </w:rPr>
        <w:t xml:space="preserve">, 2024. — 142 </w:t>
      </w:r>
      <w:r>
        <w:rPr>
          <w:rFonts w:ascii="Times New Roman" w:hAnsi="Times New Roman"/>
          <w:sz w:val="24"/>
        </w:rPr>
        <w:t>с</w:t>
      </w:r>
      <w:r w:rsidRPr="00F67FAE">
        <w:rPr>
          <w:rFonts w:ascii="Times New Roman" w:hAnsi="Times New Roman"/>
          <w:sz w:val="24"/>
          <w:lang w:val="fr-FR"/>
        </w:rPr>
        <w:t>.</w:t>
      </w:r>
    </w:p>
    <w:p w14:paraId="3DF45906" w14:textId="77777777" w:rsidR="00D25C93" w:rsidRDefault="00000000">
      <w:pPr>
        <w:spacing w:before="40" w:after="40" w:line="360" w:lineRule="exact"/>
        <w:ind w:left="283" w:hanging="283"/>
        <w:jc w:val="both"/>
      </w:pPr>
      <w:r>
        <w:rPr>
          <w:rFonts w:ascii="Times New Roman" w:hAnsi="Times New Roman"/>
          <w:sz w:val="24"/>
        </w:rPr>
        <w:lastRenderedPageBreak/>
        <w:t>[19] European Commission. EU Deforestation Regulation (EUDR) — Implementation Guidelines 2024. — Brussels: EC, 2024. — 56 p.</w:t>
      </w:r>
    </w:p>
    <w:p w14:paraId="620808CE" w14:textId="77777777" w:rsidR="00D25C93" w:rsidRDefault="00000000">
      <w:pPr>
        <w:spacing w:before="40" w:after="40" w:line="360" w:lineRule="exact"/>
        <w:ind w:left="283" w:hanging="283"/>
        <w:jc w:val="both"/>
      </w:pPr>
      <w:r>
        <w:rPr>
          <w:rFonts w:ascii="Times New Roman" w:hAnsi="Times New Roman"/>
          <w:sz w:val="24"/>
        </w:rPr>
        <w:t>[20] Metcalfe R. M. Metcalfe's Law after 40 Years of Ethernet // Computer. — 2013. — Vol. 46, № 12. — P. 26–31.</w:t>
      </w:r>
    </w:p>
    <w:sectPr w:rsidR="00D25C93" w:rsidSect="00034616">
      <w:pgSz w:w="11906" w:h="16838"/>
      <w:pgMar w:top="1417" w:right="850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5543541">
    <w:abstractNumId w:val="8"/>
  </w:num>
  <w:num w:numId="2" w16cid:durableId="93404680">
    <w:abstractNumId w:val="6"/>
  </w:num>
  <w:num w:numId="3" w16cid:durableId="1026369352">
    <w:abstractNumId w:val="5"/>
  </w:num>
  <w:num w:numId="4" w16cid:durableId="1172137759">
    <w:abstractNumId w:val="4"/>
  </w:num>
  <w:num w:numId="5" w16cid:durableId="252589015">
    <w:abstractNumId w:val="7"/>
  </w:num>
  <w:num w:numId="6" w16cid:durableId="419984879">
    <w:abstractNumId w:val="3"/>
  </w:num>
  <w:num w:numId="7" w16cid:durableId="1693609136">
    <w:abstractNumId w:val="2"/>
  </w:num>
  <w:num w:numId="8" w16cid:durableId="2117360863">
    <w:abstractNumId w:val="1"/>
  </w:num>
  <w:num w:numId="9" w16cid:durableId="1159923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00B4"/>
    <w:rsid w:val="00326F90"/>
    <w:rsid w:val="00454D39"/>
    <w:rsid w:val="004754C7"/>
    <w:rsid w:val="007A5BF6"/>
    <w:rsid w:val="00AA1D8D"/>
    <w:rsid w:val="00B47730"/>
    <w:rsid w:val="00C30683"/>
    <w:rsid w:val="00CB0664"/>
    <w:rsid w:val="00D25C93"/>
    <w:rsid w:val="00F67F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3ED576"/>
  <w14:defaultImageDpi w14:val="300"/>
  <w15:docId w15:val="{D23B04DB-FC54-475D-9BB7-DBC675B11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25</Pages>
  <Words>5557</Words>
  <Characters>31675</Characters>
  <Application>Microsoft Office Word</Application>
  <DocSecurity>0</DocSecurity>
  <Lines>263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Mandritsa</cp:lastModifiedBy>
  <cp:revision>5</cp:revision>
  <dcterms:created xsi:type="dcterms:W3CDTF">2013-12-23T23:15:00Z</dcterms:created>
  <dcterms:modified xsi:type="dcterms:W3CDTF">2026-02-20T06:45:00Z</dcterms:modified>
  <cp:category/>
</cp:coreProperties>
</file>