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AAD3" w14:textId="1989CC5F" w:rsidR="00D75655" w:rsidRPr="00A03A07" w:rsidRDefault="00000000">
      <w:pPr>
        <w:spacing w:before="360" w:after="28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b/>
          <w:color w:val="1A5276"/>
          <w:sz w:val="32"/>
          <w:lang w:val="ru-RU"/>
        </w:rPr>
        <w:t>РАЗДЕЛ 2. ТЕОРЕТИКО-МЕТОДОЛОГИЧЕСКИЕ ОСНОВЫ ЦИФРОВОЙ ПЛАТФОРМИЗАЦИИ</w:t>
      </w:r>
      <w:r w:rsidR="00A03A07">
        <w:rPr>
          <w:rFonts w:ascii="Times New Roman" w:hAnsi="Times New Roman"/>
          <w:b/>
          <w:color w:val="1A5276"/>
          <w:sz w:val="32"/>
          <w:lang w:val="ru-RU"/>
        </w:rPr>
        <w:t xml:space="preserve"> </w:t>
      </w:r>
      <w:r w:rsidRPr="00A03A07">
        <w:rPr>
          <w:rFonts w:ascii="Times New Roman" w:hAnsi="Times New Roman"/>
          <w:b/>
          <w:color w:val="1A5276"/>
          <w:sz w:val="32"/>
          <w:lang w:val="ru-RU"/>
        </w:rPr>
        <w:t>КАК МЕХАНИЗМА СТРУКТУРНОЙ ТРАНСФОРМАЦИИ ЭКОНОМИКИ</w:t>
      </w:r>
      <w:r w:rsidRPr="00A03A07">
        <w:rPr>
          <w:rFonts w:ascii="Times New Roman" w:hAnsi="Times New Roman"/>
          <w:b/>
          <w:color w:val="1A5276"/>
          <w:sz w:val="32"/>
          <w:lang w:val="ru-RU"/>
        </w:rPr>
        <w:br/>
        <w:t>РЕСПУБЛИКИ КОТ-Д'ИВУАР</w:t>
      </w:r>
    </w:p>
    <w:p w14:paraId="1FBA0BDB" w14:textId="77777777" w:rsidR="00D75655" w:rsidRPr="00A03A07" w:rsidRDefault="00000000">
      <w:pPr>
        <w:spacing w:before="280" w:after="16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1A5276"/>
          <w:sz w:val="28"/>
          <w:lang w:val="ru-RU"/>
        </w:rPr>
        <w:t>2.2. Анализ кластеров в составе проекта «Берег Восхода»: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br/>
        <w:t>обоснование инвестиций, целевые показатели и архитектура цифровой платформы</w:t>
      </w:r>
    </w:p>
    <w:p w14:paraId="3F65A647" w14:textId="77777777" w:rsidR="00D75655" w:rsidRPr="00A03A07" w:rsidRDefault="00000000">
      <w:pPr>
        <w:spacing w:before="200" w:after="120" w:line="440" w:lineRule="exact"/>
        <w:rPr>
          <w:lang w:val="ru-RU"/>
        </w:rPr>
      </w:pPr>
      <w:r w:rsidRPr="00A03A07">
        <w:rPr>
          <w:rFonts w:ascii="Times New Roman" w:hAnsi="Times New Roman"/>
          <w:b/>
          <w:i/>
          <w:color w:val="1F4E79"/>
          <w:sz w:val="28"/>
          <w:lang w:val="ru-RU"/>
        </w:rPr>
        <w:t>2.2.1. Концептуальная рамка кластеризации и методологические основания</w:t>
      </w:r>
    </w:p>
    <w:p w14:paraId="39A8C3D7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Разработка кластерной модели проекта «Берег Восхода» основана на синтезе трёх стратегических ориентиров. Первый — национальная доктрина «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Эмержанс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» и Национальный проспективный документ «Кот-д'Ивуар 2040», закрепляющие целевую траекторию страны как региональной индустриальной державы к середине </w:t>
      </w:r>
      <w:r>
        <w:rPr>
          <w:rFonts w:ascii="Times New Roman" w:hAnsi="Times New Roman"/>
          <w:color w:val="000000"/>
          <w:sz w:val="28"/>
        </w:rPr>
        <w:t>XXI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века [7; 11]. Второй — Национальный план развития (ПНД) 2021–2025, устанавливающий приоритеты инфраструктурных и производственных инвестиций и задающий параметры государственно-частного партнёрства [7]. Третий — системы ООН (ЦУР 8, 9, 11, 17) и операционные параметры континентальной зоны свободной торговли </w:t>
      </w:r>
      <w:proofErr w:type="spellStart"/>
      <w:r>
        <w:rPr>
          <w:rFonts w:ascii="Times New Roman" w:hAnsi="Times New Roman"/>
          <w:color w:val="000000"/>
          <w:sz w:val="28"/>
        </w:rPr>
        <w:t>AfCFTA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, открывающей рынок для 54 государств совокупным ВВП свыше 3,4 трлн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[1; 12].</w:t>
      </w:r>
    </w:p>
    <w:p w14:paraId="1A6DE4FA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Кластерная архитектура опирается на теоретические положения, изложенные в параграфе 2.1: ни один отдельный сектор не способен обеспечить структурный скачок ВВП на 5–7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п.п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.; необходима одновременная активация нескольких взаимоусиливающих кластеров, координируемых цифровой платформой. Каждый кластер проекта отвечает трём критериям отбора: наличие сравнительного преимущества страны в данном секторе; высокий коэффициент добавленной стоимости по отношению к первоначальным инвестициям; и совместимость с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-стандартами,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критичными для привлечения европейского и американского капитала [4; 13; 19].</w:t>
      </w:r>
    </w:p>
    <w:p w14:paraId="04F60472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Базовое уравнение мультисекторального роста, унаследованное от параграфа 2.1, расширено в настоящем параграфе до шести кластеров:</w:t>
      </w:r>
    </w:p>
    <w:p w14:paraId="6D1530AD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ΔGDP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= </w:t>
      </w:r>
      <w:r>
        <w:rPr>
          <w:rFonts w:ascii="Times New Roman" w:hAnsi="Times New Roman"/>
          <w:i/>
          <w:color w:val="000000"/>
          <w:sz w:val="26"/>
        </w:rPr>
        <w:t>Σᵢ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₌₁⁶ (</w:t>
      </w:r>
      <w:r>
        <w:rPr>
          <w:rFonts w:ascii="Times New Roman" w:hAnsi="Times New Roman"/>
          <w:i/>
          <w:color w:val="000000"/>
          <w:sz w:val="26"/>
        </w:rPr>
        <w:t>ΔVAᵢ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× </w:t>
      </w:r>
      <w:r>
        <w:rPr>
          <w:rFonts w:ascii="Times New Roman" w:hAnsi="Times New Roman"/>
          <w:i/>
          <w:color w:val="000000"/>
          <w:sz w:val="26"/>
        </w:rPr>
        <w:t>kᵢ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) + </w:t>
      </w:r>
      <w:r>
        <w:rPr>
          <w:rFonts w:ascii="Times New Roman" w:hAnsi="Times New Roman"/>
          <w:i/>
          <w:color w:val="000000"/>
          <w:sz w:val="26"/>
        </w:rPr>
        <w:t>Γ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proofErr w:type="gramStart"/>
      <w:r>
        <w:rPr>
          <w:rFonts w:ascii="Times New Roman" w:hAnsi="Times New Roman"/>
          <w:i/>
          <w:color w:val="000000"/>
          <w:sz w:val="26"/>
        </w:rPr>
        <w:t>synergy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2.16)</w:t>
      </w:r>
    </w:p>
    <w:p w14:paraId="60F93D94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где: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ΔVAᵢ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прирост добавленной стоимости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-го кластера,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kᵢ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инвестиционный мультипликатор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>-го кластера;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Γ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synergy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синергетический эффект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межкластерного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взаимодействия через единую цифровую платформу.</w:t>
      </w:r>
    </w:p>
    <w:p w14:paraId="54BC43C9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Мультипликатор каждого кластера рассчитан по формуле открытой малой экономики с учётом предельной склонности к импорту </w:t>
      </w:r>
      <w:r>
        <w:rPr>
          <w:rFonts w:ascii="Times New Roman" w:hAnsi="Times New Roman"/>
          <w:color w:val="000000"/>
          <w:sz w:val="28"/>
        </w:rPr>
        <w:t>MPMᵢ</w:t>
      </w:r>
      <w:r w:rsidRPr="00A03A07">
        <w:rPr>
          <w:rFonts w:ascii="Times New Roman" w:hAnsi="Times New Roman"/>
          <w:color w:val="000000"/>
          <w:sz w:val="28"/>
          <w:lang w:val="ru-RU"/>
        </w:rPr>
        <w:t>:</w:t>
      </w:r>
    </w:p>
    <w:p w14:paraId="55815ADF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kᵢ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= 1 / (1 − </w:t>
      </w:r>
      <w:r>
        <w:rPr>
          <w:rFonts w:ascii="Times New Roman" w:hAnsi="Times New Roman"/>
          <w:i/>
          <w:color w:val="000000"/>
          <w:sz w:val="26"/>
        </w:rPr>
        <w:t>MPCᵢ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× (1 − </w:t>
      </w:r>
      <w:r>
        <w:rPr>
          <w:rFonts w:ascii="Times New Roman" w:hAnsi="Times New Roman"/>
          <w:i/>
          <w:color w:val="000000"/>
          <w:sz w:val="26"/>
        </w:rPr>
        <w:t>tᵢ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) + </w:t>
      </w:r>
      <w:proofErr w:type="gramStart"/>
      <w:r>
        <w:rPr>
          <w:rFonts w:ascii="Times New Roman" w:hAnsi="Times New Roman"/>
          <w:i/>
          <w:color w:val="000000"/>
          <w:sz w:val="26"/>
        </w:rPr>
        <w:t>MPMᵢ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)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2.17)</w:t>
      </w:r>
    </w:p>
    <w:p w14:paraId="5E880995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Авторская оценка параметров для экономики Кот-д'Ивуара: </w:t>
      </w:r>
      <w:r>
        <w:rPr>
          <w:rFonts w:ascii="Times New Roman" w:hAnsi="Times New Roman"/>
          <w:color w:val="000000"/>
          <w:sz w:val="28"/>
        </w:rPr>
        <w:t>MPC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= 0,70–0,75; </w:t>
      </w:r>
      <w:r>
        <w:rPr>
          <w:rFonts w:ascii="Times New Roman" w:hAnsi="Times New Roman"/>
          <w:color w:val="000000"/>
          <w:sz w:val="28"/>
        </w:rPr>
        <w:t>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= 0,18–0,22; </w:t>
      </w:r>
      <w:r>
        <w:rPr>
          <w:rFonts w:ascii="Times New Roman" w:hAnsi="Times New Roman"/>
          <w:color w:val="000000"/>
          <w:sz w:val="28"/>
        </w:rPr>
        <w:t>MPM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= 0,08–0,20 (различается по секторам в зависимости от локализации цепочки поставок) [2; 9; 10].</w:t>
      </w:r>
    </w:p>
    <w:p w14:paraId="23E47A8A" w14:textId="77777777" w:rsidR="00D7565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6614D8" wp14:editId="5F3A8898">
            <wp:extent cx="5400000" cy="27688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B8B5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1. Инвестиционная карта кластеров проекта «Берег Восхода»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 на основе данных [7; 11; 12].</w:t>
      </w:r>
    </w:p>
    <w:p w14:paraId="4DE3B08D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1 представляет сводную инвестиционную карту шести кластеров. Совокупный </w:t>
      </w:r>
      <w:r>
        <w:rPr>
          <w:rFonts w:ascii="Times New Roman" w:hAnsi="Times New Roman"/>
          <w:color w:val="000000"/>
          <w:sz w:val="28"/>
        </w:rPr>
        <w:t>CAPEX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составляет 13,1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при суммарном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 xml:space="preserve">потенциале добавленной стоимости 17,6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разрыв, соответствующий среднему мультипликатору 1,80 и стратегическому </w:t>
      </w:r>
      <w:r>
        <w:rPr>
          <w:rFonts w:ascii="Times New Roman" w:hAnsi="Times New Roman"/>
          <w:color w:val="000000"/>
          <w:sz w:val="28"/>
        </w:rPr>
        <w:t>ROI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всего портфеля ≈ 34,4%. Лидером по объёму инвестиций выступает индустриально-производственный кластер (3,5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, 27%), лидером по удельной добавленной стоимости — цифровая платформа (</w:t>
      </w:r>
      <w:r>
        <w:rPr>
          <w:rFonts w:ascii="Times New Roman" w:hAnsi="Times New Roman"/>
          <w:color w:val="000000"/>
          <w:sz w:val="28"/>
        </w:rPr>
        <w:t>ROI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≈ 100%): вложение 1,25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генерирует 2,5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за счёт сетевых внешних эффектов.</w:t>
      </w:r>
    </w:p>
    <w:p w14:paraId="32F8DEED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Таблица 1. Сводная инвестиционная модель кластеров проекта «Берег Восхода»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6"/>
        <w:gridCol w:w="1406"/>
        <w:gridCol w:w="1578"/>
        <w:gridCol w:w="1246"/>
        <w:gridCol w:w="1237"/>
        <w:gridCol w:w="1408"/>
      </w:tblGrid>
      <w:tr w:rsidR="00D75655" w14:paraId="70F9F82C" w14:textId="77777777">
        <w:trPr>
          <w:jc w:val="center"/>
        </w:trPr>
        <w:tc>
          <w:tcPr>
            <w:tcW w:w="2721" w:type="dxa"/>
            <w:shd w:val="clear" w:color="auto" w:fill="1A5276"/>
          </w:tcPr>
          <w:p w14:paraId="108CEB70" w14:textId="77777777" w:rsidR="00D7565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Кластер</w:t>
            </w:r>
            <w:proofErr w:type="spellEnd"/>
          </w:p>
        </w:tc>
        <w:tc>
          <w:tcPr>
            <w:tcW w:w="1417" w:type="dxa"/>
            <w:shd w:val="clear" w:color="auto" w:fill="1A5276"/>
          </w:tcPr>
          <w:p w14:paraId="0930EA2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CAPEX, млрд USD</w:t>
            </w:r>
          </w:p>
        </w:tc>
        <w:tc>
          <w:tcPr>
            <w:tcW w:w="1587" w:type="dxa"/>
            <w:shd w:val="clear" w:color="auto" w:fill="1A5276"/>
          </w:tcPr>
          <w:p w14:paraId="3493921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Потенциал ΔVA</w:t>
            </w:r>
          </w:p>
        </w:tc>
        <w:tc>
          <w:tcPr>
            <w:tcW w:w="1247" w:type="dxa"/>
            <w:shd w:val="clear" w:color="auto" w:fill="1A5276"/>
          </w:tcPr>
          <w:p w14:paraId="1C575CF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Мультипл. kᵢ</w:t>
            </w:r>
          </w:p>
        </w:tc>
        <w:tc>
          <w:tcPr>
            <w:tcW w:w="1247" w:type="dxa"/>
            <w:shd w:val="clear" w:color="auto" w:fill="1A5276"/>
          </w:tcPr>
          <w:p w14:paraId="5E96FBF9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Вклад в ВВП</w:t>
            </w:r>
          </w:p>
        </w:tc>
        <w:tc>
          <w:tcPr>
            <w:tcW w:w="1417" w:type="dxa"/>
            <w:shd w:val="clear" w:color="auto" w:fill="1A5276"/>
          </w:tcPr>
          <w:p w14:paraId="614D63C9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Горизонт</w:t>
            </w:r>
          </w:p>
        </w:tc>
      </w:tr>
      <w:tr w:rsidR="00D75655" w14:paraId="3DA7FBD3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40B2AE3D" w14:textId="77777777" w:rsidR="00D75655" w:rsidRDefault="00000000">
            <w:r>
              <w:rPr>
                <w:rFonts w:ascii="Times New Roman" w:hAnsi="Times New Roman"/>
                <w:sz w:val="20"/>
              </w:rPr>
              <w:t>I.  Агропереработка</w:t>
            </w:r>
          </w:p>
        </w:tc>
        <w:tc>
          <w:tcPr>
            <w:tcW w:w="1417" w:type="dxa"/>
            <w:shd w:val="clear" w:color="auto" w:fill="EBF5FB"/>
          </w:tcPr>
          <w:p w14:paraId="21D3368D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2,75</w:t>
            </w:r>
          </w:p>
        </w:tc>
        <w:tc>
          <w:tcPr>
            <w:tcW w:w="1587" w:type="dxa"/>
            <w:shd w:val="clear" w:color="auto" w:fill="EBF5FB"/>
          </w:tcPr>
          <w:p w14:paraId="3EE0714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 млрд USD</w:t>
            </w:r>
          </w:p>
        </w:tc>
        <w:tc>
          <w:tcPr>
            <w:tcW w:w="1247" w:type="dxa"/>
            <w:shd w:val="clear" w:color="auto" w:fill="EBF5FB"/>
          </w:tcPr>
          <w:p w14:paraId="4366712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1,80</w:t>
            </w:r>
          </w:p>
        </w:tc>
        <w:tc>
          <w:tcPr>
            <w:tcW w:w="1247" w:type="dxa"/>
            <w:shd w:val="clear" w:color="auto" w:fill="EBF5FB"/>
          </w:tcPr>
          <w:p w14:paraId="4C0FE67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+3,0%</w:t>
            </w:r>
          </w:p>
        </w:tc>
        <w:tc>
          <w:tcPr>
            <w:tcW w:w="1417" w:type="dxa"/>
            <w:shd w:val="clear" w:color="auto" w:fill="EBF5FB"/>
          </w:tcPr>
          <w:p w14:paraId="190A5D3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2025–2032</w:t>
            </w:r>
          </w:p>
        </w:tc>
      </w:tr>
      <w:tr w:rsidR="00D75655" w14:paraId="728965EE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7074A17F" w14:textId="77777777" w:rsidR="00D75655" w:rsidRDefault="00000000">
            <w:r>
              <w:rPr>
                <w:rFonts w:ascii="Times New Roman" w:hAnsi="Times New Roman"/>
                <w:sz w:val="20"/>
              </w:rPr>
              <w:t>II. Портово-логист. хаб</w:t>
            </w:r>
          </w:p>
        </w:tc>
        <w:tc>
          <w:tcPr>
            <w:tcW w:w="1417" w:type="dxa"/>
            <w:shd w:val="clear" w:color="auto" w:fill="FFFFFF"/>
          </w:tcPr>
          <w:p w14:paraId="456468C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2,20</w:t>
            </w:r>
          </w:p>
        </w:tc>
        <w:tc>
          <w:tcPr>
            <w:tcW w:w="1587" w:type="dxa"/>
            <w:shd w:val="clear" w:color="auto" w:fill="FFFFFF"/>
          </w:tcPr>
          <w:p w14:paraId="3814FDB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2,5 млрд USD</w:t>
            </w:r>
          </w:p>
        </w:tc>
        <w:tc>
          <w:tcPr>
            <w:tcW w:w="1247" w:type="dxa"/>
            <w:shd w:val="clear" w:color="auto" w:fill="FFFFFF"/>
          </w:tcPr>
          <w:p w14:paraId="1855A09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1,78</w:t>
            </w:r>
          </w:p>
        </w:tc>
        <w:tc>
          <w:tcPr>
            <w:tcW w:w="1247" w:type="dxa"/>
            <w:shd w:val="clear" w:color="auto" w:fill="FFFFFF"/>
          </w:tcPr>
          <w:p w14:paraId="27FE44D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+2,0%</w:t>
            </w:r>
          </w:p>
        </w:tc>
        <w:tc>
          <w:tcPr>
            <w:tcW w:w="1417" w:type="dxa"/>
            <w:shd w:val="clear" w:color="auto" w:fill="FFFFFF"/>
          </w:tcPr>
          <w:p w14:paraId="60A3448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2025–2031</w:t>
            </w:r>
          </w:p>
        </w:tc>
      </w:tr>
      <w:tr w:rsidR="00D75655" w14:paraId="394ABA95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1C1848B5" w14:textId="77777777" w:rsidR="00D75655" w:rsidRDefault="00000000">
            <w:r>
              <w:rPr>
                <w:rFonts w:ascii="Times New Roman" w:hAnsi="Times New Roman"/>
                <w:sz w:val="20"/>
              </w:rPr>
              <w:t>III. Инд.-производ. зона</w:t>
            </w:r>
          </w:p>
        </w:tc>
        <w:tc>
          <w:tcPr>
            <w:tcW w:w="1417" w:type="dxa"/>
            <w:shd w:val="clear" w:color="auto" w:fill="EBF5FB"/>
          </w:tcPr>
          <w:p w14:paraId="6AAA1B4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3,50</w:t>
            </w:r>
          </w:p>
        </w:tc>
        <w:tc>
          <w:tcPr>
            <w:tcW w:w="1587" w:type="dxa"/>
            <w:shd w:val="clear" w:color="auto" w:fill="EBF5FB"/>
          </w:tcPr>
          <w:p w14:paraId="1AE620C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4,5 млрд USD</w:t>
            </w:r>
          </w:p>
        </w:tc>
        <w:tc>
          <w:tcPr>
            <w:tcW w:w="1247" w:type="dxa"/>
            <w:shd w:val="clear" w:color="auto" w:fill="EBF5FB"/>
          </w:tcPr>
          <w:p w14:paraId="0983666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1,90</w:t>
            </w:r>
          </w:p>
        </w:tc>
        <w:tc>
          <w:tcPr>
            <w:tcW w:w="1247" w:type="dxa"/>
            <w:shd w:val="clear" w:color="auto" w:fill="EBF5FB"/>
          </w:tcPr>
          <w:p w14:paraId="10FC528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+3,5%</w:t>
            </w:r>
          </w:p>
        </w:tc>
        <w:tc>
          <w:tcPr>
            <w:tcW w:w="1417" w:type="dxa"/>
            <w:shd w:val="clear" w:color="auto" w:fill="EBF5FB"/>
          </w:tcPr>
          <w:p w14:paraId="3AF738C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2027–2035</w:t>
            </w:r>
          </w:p>
        </w:tc>
      </w:tr>
      <w:tr w:rsidR="00D75655" w14:paraId="51E6FC33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02E4C31E" w14:textId="77777777" w:rsidR="00D75655" w:rsidRDefault="00000000">
            <w:r>
              <w:rPr>
                <w:rFonts w:ascii="Times New Roman" w:hAnsi="Times New Roman"/>
                <w:sz w:val="20"/>
              </w:rPr>
              <w:t>IV. Цифровая платформа</w:t>
            </w:r>
          </w:p>
        </w:tc>
        <w:tc>
          <w:tcPr>
            <w:tcW w:w="1417" w:type="dxa"/>
            <w:shd w:val="clear" w:color="auto" w:fill="FFFFFF"/>
          </w:tcPr>
          <w:p w14:paraId="1D1E195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1,25</w:t>
            </w:r>
          </w:p>
        </w:tc>
        <w:tc>
          <w:tcPr>
            <w:tcW w:w="1587" w:type="dxa"/>
            <w:shd w:val="clear" w:color="auto" w:fill="FFFFFF"/>
          </w:tcPr>
          <w:p w14:paraId="26BEBE0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2,5 млрд USD</w:t>
            </w:r>
          </w:p>
        </w:tc>
        <w:tc>
          <w:tcPr>
            <w:tcW w:w="1247" w:type="dxa"/>
            <w:shd w:val="clear" w:color="auto" w:fill="FFFFFF"/>
          </w:tcPr>
          <w:p w14:paraId="7E8BFAF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2,05</w:t>
            </w:r>
          </w:p>
        </w:tc>
        <w:tc>
          <w:tcPr>
            <w:tcW w:w="1247" w:type="dxa"/>
            <w:shd w:val="clear" w:color="auto" w:fill="FFFFFF"/>
          </w:tcPr>
          <w:p w14:paraId="5B279DF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+2,0%</w:t>
            </w:r>
          </w:p>
        </w:tc>
        <w:tc>
          <w:tcPr>
            <w:tcW w:w="1417" w:type="dxa"/>
            <w:shd w:val="clear" w:color="auto" w:fill="FFFFFF"/>
          </w:tcPr>
          <w:p w14:paraId="19E3C41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2025–2033</w:t>
            </w:r>
          </w:p>
        </w:tc>
      </w:tr>
      <w:tr w:rsidR="00D75655" w14:paraId="10BF0B3F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256619CE" w14:textId="77777777" w:rsidR="00D75655" w:rsidRPr="00A03A07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V</w:t>
            </w: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.  Образование и </w:t>
            </w:r>
            <w:r>
              <w:rPr>
                <w:rFonts w:ascii="Times New Roman" w:hAnsi="Times New Roman"/>
                <w:sz w:val="20"/>
              </w:rPr>
              <w:t>R</w:t>
            </w:r>
            <w:r w:rsidRPr="00A03A07">
              <w:rPr>
                <w:rFonts w:ascii="Times New Roman" w:hAnsi="Times New Roman"/>
                <w:sz w:val="20"/>
                <w:lang w:val="ru-RU"/>
              </w:rPr>
              <w:t>&amp;</w:t>
            </w: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w="1417" w:type="dxa"/>
            <w:shd w:val="clear" w:color="auto" w:fill="EBF5FB"/>
          </w:tcPr>
          <w:p w14:paraId="58F8AF2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0,90</w:t>
            </w:r>
          </w:p>
        </w:tc>
        <w:tc>
          <w:tcPr>
            <w:tcW w:w="1587" w:type="dxa"/>
            <w:shd w:val="clear" w:color="auto" w:fill="EBF5FB"/>
          </w:tcPr>
          <w:p w14:paraId="57654C2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 млрд USD</w:t>
            </w:r>
          </w:p>
        </w:tc>
        <w:tc>
          <w:tcPr>
            <w:tcW w:w="1247" w:type="dxa"/>
            <w:shd w:val="clear" w:color="auto" w:fill="EBF5FB"/>
          </w:tcPr>
          <w:p w14:paraId="6427693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1,55</w:t>
            </w:r>
          </w:p>
        </w:tc>
        <w:tc>
          <w:tcPr>
            <w:tcW w:w="1247" w:type="dxa"/>
            <w:shd w:val="clear" w:color="auto" w:fill="EBF5FB"/>
          </w:tcPr>
          <w:p w14:paraId="56FBE57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+1,0%</w:t>
            </w:r>
          </w:p>
        </w:tc>
        <w:tc>
          <w:tcPr>
            <w:tcW w:w="1417" w:type="dxa"/>
            <w:shd w:val="clear" w:color="auto" w:fill="EBF5FB"/>
          </w:tcPr>
          <w:p w14:paraId="189E6CC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2026–2035</w:t>
            </w:r>
          </w:p>
        </w:tc>
      </w:tr>
      <w:tr w:rsidR="00D75655" w14:paraId="14D324B5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0C1F2F48" w14:textId="77777777" w:rsidR="00D75655" w:rsidRDefault="00000000">
            <w:r>
              <w:rPr>
                <w:rFonts w:ascii="Times New Roman" w:hAnsi="Times New Roman"/>
                <w:sz w:val="20"/>
              </w:rPr>
              <w:t>VI. Зелёная энергетика</w:t>
            </w:r>
          </w:p>
        </w:tc>
        <w:tc>
          <w:tcPr>
            <w:tcW w:w="1417" w:type="dxa"/>
            <w:shd w:val="clear" w:color="auto" w:fill="FFFFFF"/>
          </w:tcPr>
          <w:p w14:paraId="236583E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2,50</w:t>
            </w:r>
          </w:p>
        </w:tc>
        <w:tc>
          <w:tcPr>
            <w:tcW w:w="1587" w:type="dxa"/>
            <w:shd w:val="clear" w:color="auto" w:fill="FFFFFF"/>
          </w:tcPr>
          <w:p w14:paraId="0881BE8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 млрд USD</w:t>
            </w:r>
          </w:p>
        </w:tc>
        <w:tc>
          <w:tcPr>
            <w:tcW w:w="1247" w:type="dxa"/>
            <w:shd w:val="clear" w:color="auto" w:fill="FFFFFF"/>
          </w:tcPr>
          <w:p w14:paraId="747664A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1,70</w:t>
            </w:r>
          </w:p>
        </w:tc>
        <w:tc>
          <w:tcPr>
            <w:tcW w:w="1247" w:type="dxa"/>
            <w:shd w:val="clear" w:color="auto" w:fill="FFFFFF"/>
          </w:tcPr>
          <w:p w14:paraId="7D005C4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+1,5%</w:t>
            </w:r>
          </w:p>
        </w:tc>
        <w:tc>
          <w:tcPr>
            <w:tcW w:w="1417" w:type="dxa"/>
            <w:shd w:val="clear" w:color="auto" w:fill="FFFFFF"/>
          </w:tcPr>
          <w:p w14:paraId="11E18C6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2026–2035</w:t>
            </w:r>
          </w:p>
        </w:tc>
      </w:tr>
      <w:tr w:rsidR="00D75655" w14:paraId="3FFE3F91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0333E177" w14:textId="77777777" w:rsidR="00D75655" w:rsidRDefault="00000000">
            <w:r>
              <w:rPr>
                <w:rFonts w:ascii="Times New Roman" w:hAnsi="Times New Roman"/>
                <w:sz w:val="20"/>
              </w:rPr>
              <w:t>Синергетич. эффект Γ</w:t>
            </w:r>
          </w:p>
        </w:tc>
        <w:tc>
          <w:tcPr>
            <w:tcW w:w="1417" w:type="dxa"/>
            <w:shd w:val="clear" w:color="auto" w:fill="EBF5FB"/>
          </w:tcPr>
          <w:p w14:paraId="785D3E0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587" w:type="dxa"/>
            <w:shd w:val="clear" w:color="auto" w:fill="EBF5FB"/>
          </w:tcPr>
          <w:p w14:paraId="2C22CF9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 млрд USD</w:t>
            </w:r>
          </w:p>
        </w:tc>
        <w:tc>
          <w:tcPr>
            <w:tcW w:w="1247" w:type="dxa"/>
            <w:shd w:val="clear" w:color="auto" w:fill="EBF5FB"/>
          </w:tcPr>
          <w:p w14:paraId="4E83CF3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247" w:type="dxa"/>
            <w:shd w:val="clear" w:color="auto" w:fill="EBF5FB"/>
          </w:tcPr>
          <w:p w14:paraId="31B1639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+1,5%</w:t>
            </w:r>
          </w:p>
        </w:tc>
        <w:tc>
          <w:tcPr>
            <w:tcW w:w="1417" w:type="dxa"/>
            <w:shd w:val="clear" w:color="auto" w:fill="EBF5FB"/>
          </w:tcPr>
          <w:p w14:paraId="7D47A12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2029–2035</w:t>
            </w:r>
          </w:p>
        </w:tc>
      </w:tr>
      <w:tr w:rsidR="00D75655" w14:paraId="29D6CE73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17D974D2" w14:textId="77777777" w:rsidR="00D75655" w:rsidRDefault="00000000"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w="1417" w:type="dxa"/>
            <w:shd w:val="clear" w:color="auto" w:fill="FFFFFF"/>
          </w:tcPr>
          <w:p w14:paraId="0C635949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13,10</w:t>
            </w:r>
          </w:p>
        </w:tc>
        <w:tc>
          <w:tcPr>
            <w:tcW w:w="1587" w:type="dxa"/>
            <w:shd w:val="clear" w:color="auto" w:fill="FFFFFF"/>
          </w:tcPr>
          <w:p w14:paraId="5A64F37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17,6 млрд USD</w:t>
            </w:r>
          </w:p>
        </w:tc>
        <w:tc>
          <w:tcPr>
            <w:tcW w:w="1247" w:type="dxa"/>
            <w:shd w:val="clear" w:color="auto" w:fill="FFFFFF"/>
          </w:tcPr>
          <w:p w14:paraId="6DDC69E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1,80*</w:t>
            </w:r>
          </w:p>
        </w:tc>
        <w:tc>
          <w:tcPr>
            <w:tcW w:w="1247" w:type="dxa"/>
            <w:shd w:val="clear" w:color="auto" w:fill="FFFFFF"/>
          </w:tcPr>
          <w:p w14:paraId="3BD6B42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+14,5%</w:t>
            </w:r>
          </w:p>
        </w:tc>
        <w:tc>
          <w:tcPr>
            <w:tcW w:w="1417" w:type="dxa"/>
            <w:shd w:val="clear" w:color="auto" w:fill="FFFFFF"/>
          </w:tcPr>
          <w:p w14:paraId="36CB21A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2025–2035</w:t>
            </w:r>
          </w:p>
        </w:tc>
      </w:tr>
    </w:tbl>
    <w:p w14:paraId="30BACFE5" w14:textId="77777777" w:rsidR="00D75655" w:rsidRDefault="00D75655"/>
    <w:p w14:paraId="09C64DED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*средневзвешенное значение.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  <w:t>Источник: авторские расчёты на основе [7; 9; 11; 12].</w:t>
      </w:r>
    </w:p>
    <w:p w14:paraId="17A82663" w14:textId="77777777" w:rsidR="00D75655" w:rsidRPr="00A03A07" w:rsidRDefault="00D75655">
      <w:pPr>
        <w:rPr>
          <w:lang w:val="ru-RU"/>
        </w:rPr>
      </w:pPr>
    </w:p>
    <w:p w14:paraId="28D55AAA" w14:textId="77777777" w:rsidR="00D75655" w:rsidRPr="00A03A07" w:rsidRDefault="00000000">
      <w:pPr>
        <w:spacing w:before="24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1E8449"/>
          <w:sz w:val="28"/>
          <w:lang w:val="ru-RU"/>
        </w:rPr>
        <w:t xml:space="preserve">▌ КЛАСТЕР </w:t>
      </w:r>
      <w:proofErr w:type="gramStart"/>
      <w:r>
        <w:rPr>
          <w:rFonts w:ascii="Times New Roman" w:hAnsi="Times New Roman"/>
          <w:b/>
          <w:color w:val="1E8449"/>
          <w:sz w:val="28"/>
        </w:rPr>
        <w:t>I</w:t>
      </w:r>
      <w:r w:rsidRPr="00A03A07">
        <w:rPr>
          <w:rFonts w:ascii="Times New Roman" w:hAnsi="Times New Roman"/>
          <w:b/>
          <w:color w:val="1E8449"/>
          <w:sz w:val="28"/>
          <w:lang w:val="ru-RU"/>
        </w:rPr>
        <w:t xml:space="preserve">  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АГРОПЕРЕРАБОТКА</w:t>
      </w:r>
      <w:proofErr w:type="gramEnd"/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 И КАКАО-ИНДУСТРИЯ</w:t>
      </w:r>
    </w:p>
    <w:p w14:paraId="1C03F62A" w14:textId="77777777" w:rsidR="00D75655" w:rsidRPr="00A03A07" w:rsidRDefault="00000000">
      <w:pPr>
        <w:spacing w:before="16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2E4A62"/>
          <w:sz w:val="26"/>
          <w:lang w:val="ru-RU"/>
        </w:rPr>
        <w:t>Экономическая база и потенциал добавленной стоимости</w:t>
      </w:r>
    </w:p>
    <w:p w14:paraId="5F076AE5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Кот-д'Ивуар является бесспорным мировым лидером производства какао-бобов, обеспечивая 40–45% глобального объёма. Однако, несмотря на это доминирование, значительная часть добавленной стоимости производится за рубежом: в 2024 году внутри страны перерабатывалось лишь 35% урожая, тогда как 65% экспортировалось в сыром виде [7; 12]. Это означает, что страна систематически уступает ренту переработки европейским и американским кондитерским корпорациям. Цель кластера — переломить эту тенденцию, увеличив долю переработки до 65–80% к 2035 году.</w:t>
      </w:r>
    </w:p>
    <w:p w14:paraId="3A9CB187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 xml:space="preserve">Ключевым аргументом в пользу агрессивной стратегии переработки является многоуровневый ценовой разрыв в цепочке стоимости какао. Рисунок 2 наглядно иллюстрирует: от сырого боба (1 500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/т) до фармацевтических и косметических ингредиентов (12 000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/т) стоимость продукта возрастает в восемь раз. Каждый следующий передел умножает стоимость тонны на коэффициент 1,6–1,7. Именно эта лестница добавленной стоимости представляет собой реальную точку роста — при условии, что переработка осуществляется внутри страны.</w:t>
      </w:r>
    </w:p>
    <w:p w14:paraId="285355D2" w14:textId="77777777" w:rsidR="00D7565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3971F29" wp14:editId="37934FF9">
            <wp:extent cx="5400000" cy="2601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2199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2. Кластер агропереработки: цепочка стоимости какао-продуктов и структурный сдвиг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 Ценовые данные — [7; 12].</w:t>
      </w:r>
    </w:p>
    <w:p w14:paraId="25E5A8ED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Математически прирост добавленной стоимости агрокластера определяется как:</w:t>
      </w:r>
    </w:p>
    <w:p w14:paraId="768E445E" w14:textId="77777777" w:rsidR="00D75655" w:rsidRDefault="00000000">
      <w:pPr>
        <w:spacing w:before="80" w:after="80" w:line="440" w:lineRule="exact"/>
        <w:jc w:val="center"/>
      </w:pPr>
      <w:proofErr w:type="spellStart"/>
      <w:r>
        <w:rPr>
          <w:rFonts w:ascii="Times New Roman" w:hAnsi="Times New Roman"/>
          <w:i/>
          <w:color w:val="000000"/>
          <w:sz w:val="26"/>
        </w:rPr>
        <w:t>ΔVA_agro</w:t>
      </w:r>
      <w:proofErr w:type="spellEnd"/>
      <w:r>
        <w:rPr>
          <w:rFonts w:ascii="Times New Roman" w:hAnsi="Times New Roman"/>
          <w:i/>
          <w:color w:val="000000"/>
          <w:sz w:val="26"/>
        </w:rPr>
        <w:t xml:space="preserve"> = </w:t>
      </w:r>
      <w:proofErr w:type="spellStart"/>
      <w:r>
        <w:rPr>
          <w:rFonts w:ascii="Times New Roman" w:hAnsi="Times New Roman"/>
          <w:i/>
          <w:color w:val="000000"/>
          <w:sz w:val="26"/>
        </w:rPr>
        <w:t>Q_proc</w:t>
      </w:r>
      <w:proofErr w:type="spellEnd"/>
      <w:r>
        <w:rPr>
          <w:rFonts w:ascii="Times New Roman" w:hAnsi="Times New Roman"/>
          <w:i/>
          <w:color w:val="000000"/>
          <w:sz w:val="26"/>
        </w:rPr>
        <w:t xml:space="preserve"> × (P_final − P_raw) × (1 − LC_</w:t>
      </w:r>
      <w:proofErr w:type="gramStart"/>
      <w:r>
        <w:rPr>
          <w:rFonts w:ascii="Times New Roman" w:hAnsi="Times New Roman"/>
          <w:i/>
          <w:color w:val="000000"/>
          <w:sz w:val="26"/>
        </w:rPr>
        <w:t>import)</w:t>
      </w:r>
      <w:r>
        <w:rPr>
          <w:rFonts w:ascii="Times New Roman" w:hAnsi="Times New Roman"/>
          <w:color w:val="000000"/>
        </w:rPr>
        <w:t xml:space="preserve">  (</w:t>
      </w:r>
      <w:proofErr w:type="gramEnd"/>
      <w:r>
        <w:rPr>
          <w:rFonts w:ascii="Times New Roman" w:hAnsi="Times New Roman"/>
          <w:color w:val="000000"/>
        </w:rPr>
        <w:t>2.18)</w:t>
      </w:r>
    </w:p>
    <w:p w14:paraId="4AE1B3CC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где: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Q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proc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объём дополнительно перерабатываемого какао, соответствующий сдвигу с 35% до 65% (≈ 660 тыс. т/год);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P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final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средневзвешенная цена конечных продуктов переработки в расчёте на тонну сырья (≈ 4 800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/т при структуре выхода 35% масло / 45% порошок / 20% готовый шоколад);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lastRenderedPageBreak/>
        <w:t>P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raw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цена сырого боба (≈ 1 500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/т);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LC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import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доля импортных компонентов в затратах переработки (≈ 0,18).</w:t>
      </w:r>
    </w:p>
    <w:p w14:paraId="4FBB7772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ΔVA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proofErr w:type="spellStart"/>
      <w:r>
        <w:rPr>
          <w:rFonts w:ascii="Times New Roman" w:hAnsi="Times New Roman"/>
          <w:i/>
          <w:color w:val="000000"/>
          <w:sz w:val="26"/>
        </w:rPr>
        <w:t>agro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≈ 660 000 × (4 800 − 1 500) × 0,82 ≈ 1,79 млрд </w:t>
      </w:r>
      <w:proofErr w:type="gramStart"/>
      <w:r>
        <w:rPr>
          <w:rFonts w:ascii="Times New Roman" w:hAnsi="Times New Roman"/>
          <w:i/>
          <w:color w:val="000000"/>
          <w:sz w:val="26"/>
        </w:rPr>
        <w:t>USD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2.19)</w:t>
      </w:r>
    </w:p>
    <w:p w14:paraId="65E21E30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При полном развёртывании кластера с учётом мультипликатора занятости, логистических эффектов и развития сопутствующей инфраструктуры совокупный </w:t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оценивается в диапазоне 3,0–4,0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. Принципиально важна структура этого прироста: в отличие от формулы (2.2) из параграфа 2.1, здесь учитывается сдвиг вверх по цепочке добавленной стоимости, а не только рост объёмов при сохранении структуры продукции.</w:t>
      </w:r>
    </w:p>
    <w:p w14:paraId="2EAD061C" w14:textId="77777777" w:rsidR="00D75655" w:rsidRPr="00A03A07" w:rsidRDefault="00000000">
      <w:pPr>
        <w:spacing w:before="16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2E4A62"/>
          <w:sz w:val="26"/>
          <w:lang w:val="ru-RU"/>
        </w:rPr>
        <w:t>Инвестиционный профиль кластера</w:t>
      </w:r>
    </w:p>
    <w:p w14:paraId="3ED01E83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Таблица 2. Инвестиционный профиль кластера агропереработки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587"/>
        <w:gridCol w:w="1984"/>
        <w:gridCol w:w="1247"/>
      </w:tblGrid>
      <w:tr w:rsidR="00D75655" w14:paraId="552BF31E" w14:textId="77777777">
        <w:trPr>
          <w:jc w:val="center"/>
        </w:trPr>
        <w:tc>
          <w:tcPr>
            <w:tcW w:w="3402" w:type="dxa"/>
            <w:shd w:val="clear" w:color="auto" w:fill="1A5276"/>
          </w:tcPr>
          <w:p w14:paraId="512F6639" w14:textId="77777777" w:rsidR="00D7565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инвестиций</w:t>
            </w:r>
            <w:proofErr w:type="spellEnd"/>
          </w:p>
        </w:tc>
        <w:tc>
          <w:tcPr>
            <w:tcW w:w="1587" w:type="dxa"/>
            <w:shd w:val="clear" w:color="auto" w:fill="1A5276"/>
          </w:tcPr>
          <w:p w14:paraId="2271825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CAPEX, млрд USD</w:t>
            </w:r>
          </w:p>
        </w:tc>
        <w:tc>
          <w:tcPr>
            <w:tcW w:w="1984" w:type="dxa"/>
            <w:shd w:val="clear" w:color="auto" w:fill="1A5276"/>
          </w:tcPr>
          <w:p w14:paraId="77A2BB3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</w:t>
            </w:r>
          </w:p>
        </w:tc>
        <w:tc>
          <w:tcPr>
            <w:tcW w:w="1247" w:type="dxa"/>
            <w:shd w:val="clear" w:color="auto" w:fill="1A5276"/>
          </w:tcPr>
          <w:p w14:paraId="38F61FB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Горизонт</w:t>
            </w:r>
          </w:p>
        </w:tc>
      </w:tr>
      <w:tr w:rsidR="00D75655" w14:paraId="2B4755D1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121AA9DB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8–10 </w:t>
            </w:r>
            <w:proofErr w:type="spellStart"/>
            <w:r w:rsidRPr="00A03A07">
              <w:rPr>
                <w:rFonts w:ascii="Times New Roman" w:hAnsi="Times New Roman"/>
                <w:sz w:val="20"/>
                <w:lang w:val="ru-RU"/>
              </w:rPr>
              <w:t>перераб</w:t>
            </w:r>
            <w:proofErr w:type="spellEnd"/>
            <w:r w:rsidRPr="00A03A07">
              <w:rPr>
                <w:rFonts w:ascii="Times New Roman" w:hAnsi="Times New Roman"/>
                <w:sz w:val="20"/>
                <w:lang w:val="ru-RU"/>
              </w:rPr>
              <w:t>. комплексов (22 тыс. т/год каждый)</w:t>
            </w:r>
          </w:p>
        </w:tc>
        <w:tc>
          <w:tcPr>
            <w:tcW w:w="1587" w:type="dxa"/>
            <w:shd w:val="clear" w:color="auto" w:fill="EBF5FB"/>
          </w:tcPr>
          <w:p w14:paraId="23F2F5E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2,00–2,40</w:t>
            </w:r>
          </w:p>
        </w:tc>
        <w:tc>
          <w:tcPr>
            <w:tcW w:w="1984" w:type="dxa"/>
            <w:shd w:val="clear" w:color="auto" w:fill="EBF5FB"/>
          </w:tcPr>
          <w:p w14:paraId="3ACF5882" w14:textId="77777777" w:rsidR="00D75655" w:rsidRDefault="00000000">
            <w:r>
              <w:rPr>
                <w:rFonts w:ascii="Times New Roman" w:hAnsi="Times New Roman"/>
                <w:sz w:val="20"/>
              </w:rPr>
              <w:t>СП 50/50 (Azия, ОАЭ)</w:t>
            </w:r>
          </w:p>
        </w:tc>
        <w:tc>
          <w:tcPr>
            <w:tcW w:w="1247" w:type="dxa"/>
            <w:shd w:val="clear" w:color="auto" w:fill="EBF5FB"/>
          </w:tcPr>
          <w:p w14:paraId="3F834DA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2025–2030</w:t>
            </w:r>
          </w:p>
        </w:tc>
      </w:tr>
      <w:tr w:rsidR="00D75655" w14:paraId="7CBE6023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6AB3EB58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>Портовые мощности под продукцию глубокой переработки</w:t>
            </w:r>
          </w:p>
        </w:tc>
        <w:tc>
          <w:tcPr>
            <w:tcW w:w="1587" w:type="dxa"/>
            <w:shd w:val="clear" w:color="auto" w:fill="FFFFFF"/>
          </w:tcPr>
          <w:p w14:paraId="1358868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</w:t>
            </w:r>
          </w:p>
        </w:tc>
        <w:tc>
          <w:tcPr>
            <w:tcW w:w="1984" w:type="dxa"/>
            <w:shd w:val="clear" w:color="auto" w:fill="FFFFFF"/>
          </w:tcPr>
          <w:p w14:paraId="462ECB87" w14:textId="77777777" w:rsidR="00D75655" w:rsidRDefault="00000000">
            <w:r>
              <w:rPr>
                <w:rFonts w:ascii="Times New Roman" w:hAnsi="Times New Roman"/>
                <w:sz w:val="20"/>
              </w:rPr>
              <w:t>АфБР, ВБ</w:t>
            </w:r>
          </w:p>
        </w:tc>
        <w:tc>
          <w:tcPr>
            <w:tcW w:w="1247" w:type="dxa"/>
            <w:shd w:val="clear" w:color="auto" w:fill="FFFFFF"/>
          </w:tcPr>
          <w:p w14:paraId="0C42E0F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2026–2028</w:t>
            </w:r>
          </w:p>
        </w:tc>
      </w:tr>
      <w:tr w:rsidR="00D75655" w14:paraId="7A1AB458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2E7B2630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Цифровая </w:t>
            </w:r>
            <w:proofErr w:type="spellStart"/>
            <w:r w:rsidRPr="00A03A07">
              <w:rPr>
                <w:rFonts w:ascii="Times New Roman" w:hAnsi="Times New Roman"/>
                <w:sz w:val="20"/>
                <w:lang w:val="ru-RU"/>
              </w:rPr>
              <w:t>трейсабилити</w:t>
            </w:r>
            <w:proofErr w:type="spellEnd"/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 (блокчейн, </w:t>
            </w:r>
            <w:r>
              <w:rPr>
                <w:rFonts w:ascii="Times New Roman" w:hAnsi="Times New Roman"/>
                <w:sz w:val="20"/>
              </w:rPr>
              <w:t>EUDR</w:t>
            </w:r>
            <w:r w:rsidRPr="00A03A07">
              <w:rPr>
                <w:rFonts w:ascii="Times New Roman" w:hAnsi="Times New Roman"/>
                <w:sz w:val="20"/>
                <w:lang w:val="ru-RU"/>
              </w:rPr>
              <w:t>-соотв.)</w:t>
            </w:r>
          </w:p>
        </w:tc>
        <w:tc>
          <w:tcPr>
            <w:tcW w:w="1587" w:type="dxa"/>
            <w:shd w:val="clear" w:color="auto" w:fill="EBF5FB"/>
          </w:tcPr>
          <w:p w14:paraId="4574C28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w="1984" w:type="dxa"/>
            <w:shd w:val="clear" w:color="auto" w:fill="EBF5FB"/>
          </w:tcPr>
          <w:p w14:paraId="2B5671C8" w14:textId="77777777" w:rsidR="00D75655" w:rsidRDefault="00000000">
            <w:r>
              <w:rPr>
                <w:rFonts w:ascii="Times New Roman" w:hAnsi="Times New Roman"/>
                <w:sz w:val="20"/>
              </w:rPr>
              <w:t>Платформа, ESG-фонды</w:t>
            </w:r>
          </w:p>
        </w:tc>
        <w:tc>
          <w:tcPr>
            <w:tcW w:w="1247" w:type="dxa"/>
            <w:shd w:val="clear" w:color="auto" w:fill="EBF5FB"/>
          </w:tcPr>
          <w:p w14:paraId="2E57D1D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2025–2027</w:t>
            </w:r>
          </w:p>
        </w:tc>
      </w:tr>
      <w:tr w:rsidR="00D75655" w14:paraId="59CC29A1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6D85827C" w14:textId="77777777" w:rsidR="00D75655" w:rsidRPr="00A03A07" w:rsidRDefault="00000000">
            <w:pPr>
              <w:rPr>
                <w:lang w:val="ru-RU"/>
              </w:rPr>
            </w:pPr>
            <w:proofErr w:type="spellStart"/>
            <w:r w:rsidRPr="00A03A07">
              <w:rPr>
                <w:rFonts w:ascii="Times New Roman" w:hAnsi="Times New Roman"/>
                <w:sz w:val="20"/>
                <w:lang w:val="ru-RU"/>
              </w:rPr>
              <w:t>Агротехн</w:t>
            </w:r>
            <w:proofErr w:type="spellEnd"/>
            <w:r w:rsidRPr="00A03A07">
              <w:rPr>
                <w:rFonts w:ascii="Times New Roman" w:hAnsi="Times New Roman"/>
                <w:sz w:val="20"/>
                <w:lang w:val="ru-RU"/>
              </w:rPr>
              <w:t>. лаборатории и переподготовка кадров</w:t>
            </w:r>
          </w:p>
        </w:tc>
        <w:tc>
          <w:tcPr>
            <w:tcW w:w="1587" w:type="dxa"/>
            <w:shd w:val="clear" w:color="auto" w:fill="FFFFFF"/>
          </w:tcPr>
          <w:p w14:paraId="35EBCC4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0,05</w:t>
            </w:r>
          </w:p>
        </w:tc>
        <w:tc>
          <w:tcPr>
            <w:tcW w:w="1984" w:type="dxa"/>
            <w:shd w:val="clear" w:color="auto" w:fill="FFFFFF"/>
          </w:tcPr>
          <w:p w14:paraId="3207A12C" w14:textId="77777777" w:rsidR="00D75655" w:rsidRDefault="00000000">
            <w:r>
              <w:rPr>
                <w:rFonts w:ascii="Times New Roman" w:hAnsi="Times New Roman"/>
                <w:sz w:val="20"/>
              </w:rPr>
              <w:t>Гос. бюджет</w:t>
            </w:r>
          </w:p>
        </w:tc>
        <w:tc>
          <w:tcPr>
            <w:tcW w:w="1247" w:type="dxa"/>
            <w:shd w:val="clear" w:color="auto" w:fill="FFFFFF"/>
          </w:tcPr>
          <w:p w14:paraId="69BEDA5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2026–2028</w:t>
            </w:r>
          </w:p>
        </w:tc>
      </w:tr>
      <w:tr w:rsidR="00D75655" w14:paraId="1801E0B0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0865EB65" w14:textId="77777777" w:rsidR="00D75655" w:rsidRDefault="00000000"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w="1587" w:type="dxa"/>
            <w:shd w:val="clear" w:color="auto" w:fill="EBF5FB"/>
          </w:tcPr>
          <w:p w14:paraId="4904365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2,35–2,75</w:t>
            </w:r>
          </w:p>
        </w:tc>
        <w:tc>
          <w:tcPr>
            <w:tcW w:w="1984" w:type="dxa"/>
            <w:shd w:val="clear" w:color="auto" w:fill="EBF5FB"/>
          </w:tcPr>
          <w:p w14:paraId="41A68239" w14:textId="77777777" w:rsidR="00D75655" w:rsidRDefault="00D75655"/>
        </w:tc>
        <w:tc>
          <w:tcPr>
            <w:tcW w:w="1247" w:type="dxa"/>
            <w:shd w:val="clear" w:color="auto" w:fill="EBF5FB"/>
          </w:tcPr>
          <w:p w14:paraId="2BDEA8E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2025–2030</w:t>
            </w:r>
          </w:p>
        </w:tc>
      </w:tr>
    </w:tbl>
    <w:p w14:paraId="1B1579B6" w14:textId="77777777" w:rsidR="00D75655" w:rsidRDefault="00D75655"/>
    <w:p w14:paraId="21EAF052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Источник: авторские расчёты на основе [7; 11; 12; 19].</w:t>
      </w:r>
    </w:p>
    <w:p w14:paraId="4D122BEA" w14:textId="77777777" w:rsidR="00D75655" w:rsidRPr="00A03A07" w:rsidRDefault="00D75655">
      <w:pPr>
        <w:rPr>
          <w:lang w:val="ru-RU"/>
        </w:rPr>
      </w:pPr>
    </w:p>
    <w:p w14:paraId="4D2B9DB4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Особую роль в финансировании играют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-фонды, обусловленные исполнением регламента ЕС о продуктах, связанных с обезлесением (</w:t>
      </w:r>
      <w:r>
        <w:rPr>
          <w:rFonts w:ascii="Times New Roman" w:hAnsi="Times New Roman"/>
          <w:color w:val="000000"/>
          <w:sz w:val="28"/>
        </w:rPr>
        <w:t>EUDR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, 2023). Модуль </w:t>
      </w:r>
      <w:r>
        <w:rPr>
          <w:rFonts w:ascii="Times New Roman" w:hAnsi="Times New Roman"/>
          <w:color w:val="000000"/>
          <w:sz w:val="28"/>
        </w:rPr>
        <w:t>Traceability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платформы «Берег Восхода» обеспечивает полную цифровую прослеживаемость цепочки «ферма → порт → покупатель», что превращает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-верификацию из регуляторного бремени в конкурентное преимущество перед менее прозрачными поставщиками из Ганы и Камеруна [19].</w:t>
      </w:r>
    </w:p>
    <w:p w14:paraId="1D4DD93C" w14:textId="77777777" w:rsidR="00D75655" w:rsidRPr="00A03A07" w:rsidRDefault="00000000">
      <w:pPr>
        <w:spacing w:before="24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2E86C1"/>
          <w:sz w:val="28"/>
          <w:lang w:val="ru-RU"/>
        </w:rPr>
        <w:t xml:space="preserve">▌ КЛАСТЕР </w:t>
      </w:r>
      <w:proofErr w:type="gramStart"/>
      <w:r>
        <w:rPr>
          <w:rFonts w:ascii="Times New Roman" w:hAnsi="Times New Roman"/>
          <w:b/>
          <w:color w:val="2E86C1"/>
          <w:sz w:val="28"/>
        </w:rPr>
        <w:t>II</w:t>
      </w:r>
      <w:r w:rsidRPr="00A03A07">
        <w:rPr>
          <w:rFonts w:ascii="Times New Roman" w:hAnsi="Times New Roman"/>
          <w:b/>
          <w:color w:val="2E86C1"/>
          <w:sz w:val="28"/>
          <w:lang w:val="ru-RU"/>
        </w:rPr>
        <w:t xml:space="preserve">  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ПОРТОВО</w:t>
      </w:r>
      <w:proofErr w:type="gramEnd"/>
      <w:r w:rsidRPr="00A03A07">
        <w:rPr>
          <w:rFonts w:ascii="Times New Roman" w:hAnsi="Times New Roman"/>
          <w:b/>
          <w:color w:val="1A5276"/>
          <w:sz w:val="28"/>
          <w:lang w:val="ru-RU"/>
        </w:rPr>
        <w:t>-ЛОГИСТИЧЕСКИЙ ХАБ</w:t>
      </w:r>
    </w:p>
    <w:p w14:paraId="4E939A47" w14:textId="77777777" w:rsidR="00D75655" w:rsidRPr="00A03A07" w:rsidRDefault="00000000">
      <w:pPr>
        <w:spacing w:before="16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2E4A62"/>
          <w:sz w:val="26"/>
          <w:lang w:val="ru-RU"/>
        </w:rPr>
        <w:lastRenderedPageBreak/>
        <w:t>Стратегическая роль порта Абиджана в региональном контексте</w:t>
      </w:r>
    </w:p>
    <w:p w14:paraId="0F927A93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Порт Абиджана является ключевым узлом торговой инфраструктуры Западной Африки. В 2024 году через него прошло более 31 млн тонн грузов; порт обслуживает транзитные маршруты Буркина-Фасо, Мали, Нигера и Гвинеи, для которых Кот-д'Ивуар является основным выходом к морю [7; 11]. В рамках </w:t>
      </w:r>
      <w:proofErr w:type="spellStart"/>
      <w:r>
        <w:rPr>
          <w:rFonts w:ascii="Times New Roman" w:hAnsi="Times New Roman"/>
          <w:color w:val="000000"/>
          <w:sz w:val="28"/>
        </w:rPr>
        <w:t>AfCFTA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потенциал портового транзита кратно возрастает: по оценкам ЮНКТАД, либерализация внутриконтинентальной торговли может увеличить товарооборот на 52% к 2035 году [12].</w:t>
      </w:r>
    </w:p>
    <w:p w14:paraId="017518A5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Стратегический потенциал кластера определяется тремя факторами. Первый — рост грузооборота: увеличение с 31 до 50–55 млн тонн к 2035 году за счёт расширения терминальных мощностей и регионального транзита. Второй — цифровизация портовых операций: внедрение единого информационного окна, блокчейн-верификации грузов и </w:t>
      </w:r>
      <w:r>
        <w:rPr>
          <w:rFonts w:ascii="Times New Roman" w:hAnsi="Times New Roman"/>
          <w:color w:val="000000"/>
          <w:sz w:val="28"/>
        </w:rPr>
        <w:t>AI</w:t>
      </w:r>
      <w:r w:rsidRPr="00A03A07">
        <w:rPr>
          <w:rFonts w:ascii="Times New Roman" w:hAnsi="Times New Roman"/>
          <w:color w:val="000000"/>
          <w:sz w:val="28"/>
          <w:lang w:val="ru-RU"/>
        </w:rPr>
        <w:t>-оптимизации маршрутов снизит операционные издержки на 18–22% [4; 9]. Третий — развитие припортовых индустриальных зон (ПИЗ): создание производств глубокой переработки непосредственно в портовой зоне позволяет минимизировать логистические издержки кластера агропереработки.</w:t>
      </w:r>
    </w:p>
    <w:p w14:paraId="043F311C" w14:textId="77777777" w:rsidR="00D7565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96FC266" wp14:editId="3F818CB6">
            <wp:extent cx="5400000" cy="2579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B760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3. Портово-логистический кластер: прогноз грузооборота и структура транзита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 Данные по грузообороту — [7; 11].</w:t>
      </w:r>
    </w:p>
    <w:p w14:paraId="7EC67F53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3 демонстрирует расширяющийся разрыв между инерционным и оптимальным сценариями развития порта. К 2035 году при полной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реализации кластерной программы грузооборот достигнет 52 млн тонн, что на 33% выше инерционного сценария (39,2 млн тонн). Ключевой драйвер — рост транзита через страны Сахельской зоны, доля которого в суммарном грузообороте увеличится с 60% до 71%.</w:t>
      </w:r>
    </w:p>
    <w:p w14:paraId="200F7C7C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Добавленная стоимость логистического кластера определяется по формуле:</w:t>
      </w:r>
    </w:p>
    <w:p w14:paraId="0D276B4E" w14:textId="77777777" w:rsidR="00D75655" w:rsidRPr="00A03A07" w:rsidRDefault="00000000">
      <w:pPr>
        <w:spacing w:before="80" w:after="80" w:line="440" w:lineRule="exact"/>
        <w:jc w:val="center"/>
        <w:rPr>
          <w:lang w:val="fr-FR"/>
        </w:rPr>
      </w:pPr>
      <w:r>
        <w:rPr>
          <w:rFonts w:ascii="Times New Roman" w:hAnsi="Times New Roman"/>
          <w:i/>
          <w:color w:val="000000"/>
          <w:sz w:val="26"/>
        </w:rPr>
        <w:t>Δ</w:t>
      </w:r>
      <w:proofErr w:type="spellStart"/>
      <w:r w:rsidRPr="00A03A07">
        <w:rPr>
          <w:rFonts w:ascii="Times New Roman" w:hAnsi="Times New Roman"/>
          <w:i/>
          <w:color w:val="000000"/>
          <w:sz w:val="26"/>
          <w:lang w:val="fr-FR"/>
        </w:rPr>
        <w:t>VA_log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fr-FR"/>
        </w:rPr>
        <w:t xml:space="preserve"> = </w:t>
      </w:r>
      <w:r>
        <w:rPr>
          <w:rFonts w:ascii="Times New Roman" w:hAnsi="Times New Roman"/>
          <w:i/>
          <w:color w:val="000000"/>
          <w:sz w:val="26"/>
        </w:rPr>
        <w:t>Δ</w:t>
      </w:r>
      <w:proofErr w:type="spellStart"/>
      <w:r w:rsidRPr="00A03A07">
        <w:rPr>
          <w:rFonts w:ascii="Times New Roman" w:hAnsi="Times New Roman"/>
          <w:i/>
          <w:color w:val="000000"/>
          <w:sz w:val="26"/>
          <w:lang w:val="fr-FR"/>
        </w:rPr>
        <w:t>Q_transit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fr-FR"/>
        </w:rPr>
        <w:t xml:space="preserve"> × </w:t>
      </w:r>
      <w:proofErr w:type="spellStart"/>
      <w:r w:rsidRPr="00A03A07">
        <w:rPr>
          <w:rFonts w:ascii="Times New Roman" w:hAnsi="Times New Roman"/>
          <w:i/>
          <w:color w:val="000000"/>
          <w:sz w:val="26"/>
          <w:lang w:val="fr-FR"/>
        </w:rPr>
        <w:t>P_transit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fr-FR"/>
        </w:rPr>
        <w:t xml:space="preserve"> + </w:t>
      </w:r>
      <w:r>
        <w:rPr>
          <w:rFonts w:ascii="Times New Roman" w:hAnsi="Times New Roman"/>
          <w:i/>
          <w:color w:val="000000"/>
          <w:sz w:val="26"/>
        </w:rPr>
        <w:t>Δ</w:t>
      </w:r>
      <w:proofErr w:type="spellStart"/>
      <w:r w:rsidRPr="00A03A07">
        <w:rPr>
          <w:rFonts w:ascii="Times New Roman" w:hAnsi="Times New Roman"/>
          <w:i/>
          <w:color w:val="000000"/>
          <w:sz w:val="26"/>
          <w:lang w:val="fr-FR"/>
        </w:rPr>
        <w:t>Q_port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fr-FR"/>
        </w:rPr>
        <w:t xml:space="preserve"> × </w:t>
      </w:r>
      <w:proofErr w:type="spellStart"/>
      <w:r w:rsidRPr="00A03A07">
        <w:rPr>
          <w:rFonts w:ascii="Times New Roman" w:hAnsi="Times New Roman"/>
          <w:i/>
          <w:color w:val="000000"/>
          <w:sz w:val="26"/>
          <w:lang w:val="fr-FR"/>
        </w:rPr>
        <w:t>P_port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fr-FR"/>
        </w:rPr>
        <w:t xml:space="preserve"> + </w:t>
      </w:r>
      <w:r>
        <w:rPr>
          <w:rFonts w:ascii="Times New Roman" w:hAnsi="Times New Roman"/>
          <w:i/>
          <w:color w:val="000000"/>
          <w:sz w:val="26"/>
        </w:rPr>
        <w:t>Δ</w:t>
      </w:r>
      <w:r w:rsidRPr="00A03A07">
        <w:rPr>
          <w:rFonts w:ascii="Times New Roman" w:hAnsi="Times New Roman"/>
          <w:i/>
          <w:color w:val="000000"/>
          <w:sz w:val="26"/>
          <w:lang w:val="fr-FR"/>
        </w:rPr>
        <w:t>VA_</w:t>
      </w:r>
      <w:proofErr w:type="gramStart"/>
      <w:r w:rsidRPr="00A03A07">
        <w:rPr>
          <w:rFonts w:ascii="Times New Roman" w:hAnsi="Times New Roman"/>
          <w:i/>
          <w:color w:val="000000"/>
          <w:sz w:val="26"/>
          <w:lang w:val="fr-FR"/>
        </w:rPr>
        <w:t>PIZ</w:t>
      </w:r>
      <w:r w:rsidRPr="00A03A07">
        <w:rPr>
          <w:rFonts w:ascii="Times New Roman" w:hAnsi="Times New Roman"/>
          <w:color w:val="000000"/>
          <w:lang w:val="fr-FR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fr-FR"/>
        </w:rPr>
        <w:t>2.20)</w:t>
      </w:r>
    </w:p>
    <w:p w14:paraId="3C4C4309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где: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ΔQ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transit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прирост транзитного грузооборота (≈ 12 млн т/год);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P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transit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средняя портовая пошлина на транзит (≈ 28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/т);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ΔQ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port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прирост местного грузооборота (≈ 8 млн т/год);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P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port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доход на тонну по местным операциям (≈ 45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/т);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PIZ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добавленная стоимость от припортовых индустриальных зон (≈ 0,8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).</w:t>
      </w:r>
    </w:p>
    <w:p w14:paraId="54B496D8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ΔVA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r>
        <w:rPr>
          <w:rFonts w:ascii="Times New Roman" w:hAnsi="Times New Roman"/>
          <w:i/>
          <w:color w:val="000000"/>
          <w:sz w:val="26"/>
        </w:rPr>
        <w:t>log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≈ 0,34 + 0,36 + 0,80 ≈ 1,5 млрд </w:t>
      </w:r>
      <w:r>
        <w:rPr>
          <w:rFonts w:ascii="Times New Roman" w:hAnsi="Times New Roman"/>
          <w:i/>
          <w:color w:val="000000"/>
          <w:sz w:val="26"/>
        </w:rPr>
        <w:t>USD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(прямой </w:t>
      </w:r>
      <w:proofErr w:type="gramStart"/>
      <w:r w:rsidRPr="00A03A07">
        <w:rPr>
          <w:rFonts w:ascii="Times New Roman" w:hAnsi="Times New Roman"/>
          <w:i/>
          <w:color w:val="000000"/>
          <w:sz w:val="26"/>
          <w:lang w:val="ru-RU"/>
        </w:rPr>
        <w:t>эффект)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2.21)</w:t>
      </w:r>
    </w:p>
    <w:p w14:paraId="2F0BCFDC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С учётом мультипликатора </w:t>
      </w:r>
      <w:r>
        <w:rPr>
          <w:rFonts w:ascii="Times New Roman" w:hAnsi="Times New Roman"/>
          <w:color w:val="000000"/>
          <w:sz w:val="28"/>
        </w:rPr>
        <w:t>k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₂ = 1,78 и косвенных эффектов для смежных секторов суммарный вклад кластера в ВВП оценивается в 2,0–2,5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.</w:t>
      </w:r>
    </w:p>
    <w:p w14:paraId="7331FA45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Таблица 3. Инвестиционный профиль портово-логистического кластера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474"/>
        <w:gridCol w:w="2268"/>
        <w:gridCol w:w="1928"/>
      </w:tblGrid>
      <w:tr w:rsidR="00D75655" w14:paraId="6C5F9B1C" w14:textId="77777777">
        <w:trPr>
          <w:jc w:val="center"/>
        </w:trPr>
        <w:tc>
          <w:tcPr>
            <w:tcW w:w="3118" w:type="dxa"/>
            <w:shd w:val="clear" w:color="auto" w:fill="1A5276"/>
          </w:tcPr>
          <w:p w14:paraId="5F5B109E" w14:textId="77777777" w:rsidR="00D7565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Направление</w:t>
            </w:r>
            <w:proofErr w:type="spellEnd"/>
          </w:p>
        </w:tc>
        <w:tc>
          <w:tcPr>
            <w:tcW w:w="1474" w:type="dxa"/>
            <w:shd w:val="clear" w:color="auto" w:fill="1A5276"/>
          </w:tcPr>
          <w:p w14:paraId="4399587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CAPEX, млрд USD</w:t>
            </w:r>
          </w:p>
        </w:tc>
        <w:tc>
          <w:tcPr>
            <w:tcW w:w="2268" w:type="dxa"/>
            <w:shd w:val="clear" w:color="auto" w:fill="1A5276"/>
          </w:tcPr>
          <w:p w14:paraId="6CE28EC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 финансирования</w:t>
            </w:r>
          </w:p>
        </w:tc>
        <w:tc>
          <w:tcPr>
            <w:tcW w:w="1928" w:type="dxa"/>
            <w:shd w:val="clear" w:color="auto" w:fill="1A5276"/>
          </w:tcPr>
          <w:p w14:paraId="4A8BB30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Срок реализации</w:t>
            </w:r>
          </w:p>
        </w:tc>
      </w:tr>
      <w:tr w:rsidR="00D75655" w14:paraId="587FB988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2ACE6846" w14:textId="77777777" w:rsidR="00D75655" w:rsidRDefault="00000000">
            <w:r>
              <w:rPr>
                <w:rFonts w:ascii="Times New Roman" w:hAnsi="Times New Roman"/>
                <w:sz w:val="20"/>
              </w:rPr>
              <w:t>Расширение контейнерных терминалов</w:t>
            </w:r>
          </w:p>
        </w:tc>
        <w:tc>
          <w:tcPr>
            <w:tcW w:w="1474" w:type="dxa"/>
            <w:shd w:val="clear" w:color="auto" w:fill="EBF5FB"/>
          </w:tcPr>
          <w:p w14:paraId="4B831CD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0,80</w:t>
            </w:r>
          </w:p>
        </w:tc>
        <w:tc>
          <w:tcPr>
            <w:tcW w:w="2268" w:type="dxa"/>
            <w:shd w:val="clear" w:color="auto" w:fill="EBF5FB"/>
          </w:tcPr>
          <w:p w14:paraId="7FF76FE0" w14:textId="77777777" w:rsidR="00D75655" w:rsidRDefault="00000000">
            <w:r>
              <w:rPr>
                <w:rFonts w:ascii="Times New Roman" w:hAnsi="Times New Roman"/>
                <w:sz w:val="20"/>
              </w:rPr>
              <w:t>ГЧП, АфБР</w:t>
            </w:r>
          </w:p>
        </w:tc>
        <w:tc>
          <w:tcPr>
            <w:tcW w:w="1928" w:type="dxa"/>
            <w:shd w:val="clear" w:color="auto" w:fill="EBF5FB"/>
          </w:tcPr>
          <w:p w14:paraId="528BCE8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2025–2029</w:t>
            </w:r>
          </w:p>
        </w:tc>
      </w:tr>
      <w:tr w:rsidR="00D75655" w14:paraId="04AA304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6FD8D18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Цифровизация: единое окно, </w:t>
            </w:r>
            <w:r>
              <w:rPr>
                <w:rFonts w:ascii="Times New Roman" w:hAnsi="Times New Roman"/>
                <w:sz w:val="20"/>
              </w:rPr>
              <w:t>AI</w:t>
            </w:r>
            <w:r w:rsidRPr="00A03A07">
              <w:rPr>
                <w:rFonts w:ascii="Times New Roman" w:hAnsi="Times New Roman"/>
                <w:sz w:val="20"/>
                <w:lang w:val="ru-RU"/>
              </w:rPr>
              <w:t>-логистика</w:t>
            </w:r>
          </w:p>
        </w:tc>
        <w:tc>
          <w:tcPr>
            <w:tcW w:w="1474" w:type="dxa"/>
            <w:shd w:val="clear" w:color="auto" w:fill="FFFFFF"/>
          </w:tcPr>
          <w:p w14:paraId="381AA0C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0,40</w:t>
            </w:r>
          </w:p>
        </w:tc>
        <w:tc>
          <w:tcPr>
            <w:tcW w:w="2268" w:type="dxa"/>
            <w:shd w:val="clear" w:color="auto" w:fill="FFFFFF"/>
          </w:tcPr>
          <w:p w14:paraId="7096713E" w14:textId="77777777" w:rsidR="00D75655" w:rsidRDefault="00000000">
            <w:r>
              <w:rPr>
                <w:rFonts w:ascii="Times New Roman" w:hAnsi="Times New Roman"/>
                <w:sz w:val="20"/>
              </w:rPr>
              <w:t>Платформа, цифр. фонды</w:t>
            </w:r>
          </w:p>
        </w:tc>
        <w:tc>
          <w:tcPr>
            <w:tcW w:w="1928" w:type="dxa"/>
            <w:shd w:val="clear" w:color="auto" w:fill="FFFFFF"/>
          </w:tcPr>
          <w:p w14:paraId="568342E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2025–2027</w:t>
            </w:r>
          </w:p>
        </w:tc>
      </w:tr>
      <w:tr w:rsidR="00D75655" w14:paraId="416D6861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100AA22F" w14:textId="77777777" w:rsidR="00D75655" w:rsidRDefault="00000000">
            <w:r>
              <w:rPr>
                <w:rFonts w:ascii="Times New Roman" w:hAnsi="Times New Roman"/>
                <w:sz w:val="20"/>
              </w:rPr>
              <w:t>Припортовые индустриальные зоны</w:t>
            </w:r>
          </w:p>
        </w:tc>
        <w:tc>
          <w:tcPr>
            <w:tcW w:w="1474" w:type="dxa"/>
            <w:shd w:val="clear" w:color="auto" w:fill="EBF5FB"/>
          </w:tcPr>
          <w:p w14:paraId="02FC93C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0,60</w:t>
            </w:r>
          </w:p>
        </w:tc>
        <w:tc>
          <w:tcPr>
            <w:tcW w:w="2268" w:type="dxa"/>
            <w:shd w:val="clear" w:color="auto" w:fill="EBF5FB"/>
          </w:tcPr>
          <w:p w14:paraId="2EBD332C" w14:textId="77777777" w:rsidR="00D75655" w:rsidRDefault="00000000">
            <w:r>
              <w:rPr>
                <w:rFonts w:ascii="Times New Roman" w:hAnsi="Times New Roman"/>
                <w:sz w:val="20"/>
              </w:rPr>
              <w:t>Частные СП (Китай, Индия)</w:t>
            </w:r>
          </w:p>
        </w:tc>
        <w:tc>
          <w:tcPr>
            <w:tcW w:w="1928" w:type="dxa"/>
            <w:shd w:val="clear" w:color="auto" w:fill="EBF5FB"/>
          </w:tcPr>
          <w:p w14:paraId="2B60F39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2026–2030</w:t>
            </w:r>
          </w:p>
        </w:tc>
      </w:tr>
      <w:tr w:rsidR="00D75655" w14:paraId="470B7664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D4A357F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>Дороги и ж/д к порту</w:t>
            </w:r>
          </w:p>
        </w:tc>
        <w:tc>
          <w:tcPr>
            <w:tcW w:w="1474" w:type="dxa"/>
            <w:shd w:val="clear" w:color="auto" w:fill="FFFFFF"/>
          </w:tcPr>
          <w:p w14:paraId="42F2FDF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0,25</w:t>
            </w:r>
          </w:p>
        </w:tc>
        <w:tc>
          <w:tcPr>
            <w:tcW w:w="2268" w:type="dxa"/>
            <w:shd w:val="clear" w:color="auto" w:fill="FFFFFF"/>
          </w:tcPr>
          <w:p w14:paraId="7F05A260" w14:textId="77777777" w:rsidR="00D75655" w:rsidRDefault="00000000">
            <w:r>
              <w:rPr>
                <w:rFonts w:ascii="Times New Roman" w:hAnsi="Times New Roman"/>
                <w:sz w:val="20"/>
              </w:rPr>
              <w:t>Гос. бюджет, ВБ</w:t>
            </w:r>
          </w:p>
        </w:tc>
        <w:tc>
          <w:tcPr>
            <w:tcW w:w="1928" w:type="dxa"/>
            <w:shd w:val="clear" w:color="auto" w:fill="FFFFFF"/>
          </w:tcPr>
          <w:p w14:paraId="16333F2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2026–2030</w:t>
            </w:r>
          </w:p>
        </w:tc>
      </w:tr>
      <w:tr w:rsidR="00D75655" w14:paraId="6283866E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1DC9BA63" w14:textId="77777777" w:rsidR="00D75655" w:rsidRDefault="00000000">
            <w:r>
              <w:rPr>
                <w:rFonts w:ascii="Times New Roman" w:hAnsi="Times New Roman"/>
                <w:sz w:val="20"/>
              </w:rPr>
              <w:t>Расширение нефтяного терминала</w:t>
            </w:r>
          </w:p>
        </w:tc>
        <w:tc>
          <w:tcPr>
            <w:tcW w:w="1474" w:type="dxa"/>
            <w:shd w:val="clear" w:color="auto" w:fill="EBF5FB"/>
          </w:tcPr>
          <w:p w14:paraId="5F003C8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w="2268" w:type="dxa"/>
            <w:shd w:val="clear" w:color="auto" w:fill="EBF5FB"/>
          </w:tcPr>
          <w:p w14:paraId="27201690" w14:textId="77777777" w:rsidR="00D75655" w:rsidRDefault="00000000">
            <w:r>
              <w:rPr>
                <w:rFonts w:ascii="Times New Roman" w:hAnsi="Times New Roman"/>
                <w:sz w:val="20"/>
              </w:rPr>
              <w:t>Концессия</w:t>
            </w:r>
          </w:p>
        </w:tc>
        <w:tc>
          <w:tcPr>
            <w:tcW w:w="1928" w:type="dxa"/>
            <w:shd w:val="clear" w:color="auto" w:fill="EBF5FB"/>
          </w:tcPr>
          <w:p w14:paraId="150E594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2027–2029</w:t>
            </w:r>
          </w:p>
        </w:tc>
      </w:tr>
      <w:tr w:rsidR="00D75655" w14:paraId="0DF12122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AC9060C" w14:textId="77777777" w:rsidR="00D75655" w:rsidRDefault="00000000"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w="1474" w:type="dxa"/>
            <w:shd w:val="clear" w:color="auto" w:fill="FFFFFF"/>
          </w:tcPr>
          <w:p w14:paraId="3CF9DD4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2,20</w:t>
            </w:r>
          </w:p>
        </w:tc>
        <w:tc>
          <w:tcPr>
            <w:tcW w:w="2268" w:type="dxa"/>
            <w:shd w:val="clear" w:color="auto" w:fill="FFFFFF"/>
          </w:tcPr>
          <w:p w14:paraId="58AA4A8D" w14:textId="77777777" w:rsidR="00D75655" w:rsidRDefault="00D75655"/>
        </w:tc>
        <w:tc>
          <w:tcPr>
            <w:tcW w:w="1928" w:type="dxa"/>
            <w:shd w:val="clear" w:color="auto" w:fill="FFFFFF"/>
          </w:tcPr>
          <w:p w14:paraId="17FADCB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2025–2030</w:t>
            </w:r>
          </w:p>
        </w:tc>
      </w:tr>
    </w:tbl>
    <w:p w14:paraId="7690DCFB" w14:textId="77777777" w:rsidR="00D75655" w:rsidRDefault="00D75655"/>
    <w:p w14:paraId="2E7A7BE6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Источник: авторские расчёты на основе [7; 11; 12].</w:t>
      </w:r>
    </w:p>
    <w:p w14:paraId="2BF003FE" w14:textId="77777777" w:rsidR="00D75655" w:rsidRPr="00A03A07" w:rsidRDefault="00D75655">
      <w:pPr>
        <w:rPr>
          <w:lang w:val="ru-RU"/>
        </w:rPr>
      </w:pPr>
    </w:p>
    <w:p w14:paraId="31D5EE28" w14:textId="77777777" w:rsidR="00D75655" w:rsidRPr="00A03A07" w:rsidRDefault="00000000">
      <w:pPr>
        <w:spacing w:before="24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E67E22"/>
          <w:sz w:val="28"/>
          <w:lang w:val="ru-RU"/>
        </w:rPr>
        <w:t xml:space="preserve">▌ КЛАСТЕР </w:t>
      </w:r>
      <w:proofErr w:type="gramStart"/>
      <w:r>
        <w:rPr>
          <w:rFonts w:ascii="Times New Roman" w:hAnsi="Times New Roman"/>
          <w:b/>
          <w:color w:val="E67E22"/>
          <w:sz w:val="28"/>
        </w:rPr>
        <w:t>III</w:t>
      </w:r>
      <w:r w:rsidRPr="00A03A07">
        <w:rPr>
          <w:rFonts w:ascii="Times New Roman" w:hAnsi="Times New Roman"/>
          <w:b/>
          <w:color w:val="E67E22"/>
          <w:sz w:val="28"/>
          <w:lang w:val="ru-RU"/>
        </w:rPr>
        <w:t xml:space="preserve">  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ИНДУСТРИАЛЬНО</w:t>
      </w:r>
      <w:proofErr w:type="gramEnd"/>
      <w:r w:rsidRPr="00A03A07">
        <w:rPr>
          <w:rFonts w:ascii="Times New Roman" w:hAnsi="Times New Roman"/>
          <w:b/>
          <w:color w:val="1A5276"/>
          <w:sz w:val="28"/>
          <w:lang w:val="ru-RU"/>
        </w:rPr>
        <w:t>-ПРОИЗВОДСТВЕННЫЙ КЛАСТЕР (СЭЗ)</w:t>
      </w:r>
    </w:p>
    <w:p w14:paraId="771E47EC" w14:textId="77777777" w:rsidR="00D75655" w:rsidRPr="00A03A07" w:rsidRDefault="00000000">
      <w:pPr>
        <w:spacing w:before="16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2E4A62"/>
          <w:sz w:val="26"/>
          <w:lang w:val="ru-RU"/>
        </w:rPr>
        <w:lastRenderedPageBreak/>
        <w:t>Особые экономические зоны как инструмент индустриализации</w:t>
      </w:r>
    </w:p>
    <w:p w14:paraId="5FBA2F4E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Индустриально-производственный кластер представляет собой систему специальных экономических зон (СЭЗ) в прибрежной зоне страны, ориентированных на производство продукции с высокой добавленной стоимостью для экспорта в рамках </w:t>
      </w:r>
      <w:proofErr w:type="spellStart"/>
      <w:r>
        <w:rPr>
          <w:rFonts w:ascii="Times New Roman" w:hAnsi="Times New Roman"/>
          <w:color w:val="000000"/>
          <w:sz w:val="28"/>
        </w:rPr>
        <w:t>AfCFTA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и на рынки УЕМОА. Создание СЭЗ является испытанной стратегией: Маврикий, Эфиопия и Руанда уже продемонстрировали, что грамотно выстроенные экономические зоны способны кратно ускорить индустриализацию без избыточной нагрузки на национальный бюджет [5; 11].</w:t>
      </w:r>
    </w:p>
    <w:p w14:paraId="04B5A5DF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Ключевые направления промышленного кластера охватывают четыре связанные отрасли. Пищевая и агропромышленная переработка расширяет вниз по цепочке результаты кластера </w:t>
      </w:r>
      <w:r>
        <w:rPr>
          <w:rFonts w:ascii="Times New Roman" w:hAnsi="Times New Roman"/>
          <w:color w:val="000000"/>
          <w:sz w:val="28"/>
        </w:rPr>
        <w:t>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: производство упакованных продуктов питания, кофе, пальмового масла, кешью. Нефтехимическое производство задействует добывающий потенциал шельфа Кот-д'Ивуара (добыча нефти — 38 тыс. </w:t>
      </w:r>
      <w:proofErr w:type="spellStart"/>
      <w:proofErr w:type="gramStart"/>
      <w:r w:rsidRPr="00A03A07">
        <w:rPr>
          <w:rFonts w:ascii="Times New Roman" w:hAnsi="Times New Roman"/>
          <w:color w:val="000000"/>
          <w:sz w:val="28"/>
          <w:lang w:val="ru-RU"/>
        </w:rPr>
        <w:t>барр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>./</w:t>
      </w:r>
      <w:proofErr w:type="spellStart"/>
      <w:proofErr w:type="gramEnd"/>
      <w:r w:rsidRPr="00A03A07">
        <w:rPr>
          <w:rFonts w:ascii="Times New Roman" w:hAnsi="Times New Roman"/>
          <w:color w:val="000000"/>
          <w:sz w:val="28"/>
          <w:lang w:val="ru-RU"/>
        </w:rPr>
        <w:t>сут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>.) для производства полимеров, удобрений, строительных материалов. Лёгкая промышленность (текстиль, обувь, упаковка) ориентирована на ёмкий субрегиональный рынок 250 млн потребителей. Металлообработка и машиностроение формируют индустриальную базу для обслуживания горнодобывающего комплекса Сахельской зоны [7; 11].</w:t>
      </w:r>
    </w:p>
    <w:p w14:paraId="47A90A04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Формальная оценка потенциала добавленной стоимости кластера строится на сравнении структуры импорта: ежегодно страны УЕМОА импортируют промышленных товаров примерно на 28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. Замещение даже 12–15% этого импорта производством внутри страны даёт:</w:t>
      </w:r>
    </w:p>
    <w:p w14:paraId="3AF22986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ΔVA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proofErr w:type="spellStart"/>
      <w:r>
        <w:rPr>
          <w:rFonts w:ascii="Times New Roman" w:hAnsi="Times New Roman"/>
          <w:i/>
          <w:color w:val="000000"/>
          <w:sz w:val="26"/>
        </w:rPr>
        <w:t>ind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≈ 28,0 × 0,135 × 0,85 × </w:t>
      </w:r>
      <w:r>
        <w:rPr>
          <w:rFonts w:ascii="Times New Roman" w:hAnsi="Times New Roman"/>
          <w:i/>
          <w:color w:val="000000"/>
          <w:sz w:val="26"/>
        </w:rPr>
        <w:t>k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₃ ≈ 4,1–4,9 млрд </w:t>
      </w:r>
      <w:proofErr w:type="gramStart"/>
      <w:r>
        <w:rPr>
          <w:rFonts w:ascii="Times New Roman" w:hAnsi="Times New Roman"/>
          <w:i/>
          <w:color w:val="000000"/>
          <w:sz w:val="26"/>
        </w:rPr>
        <w:t>USD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2.22)</w:t>
      </w:r>
    </w:p>
    <w:p w14:paraId="772FCCFF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где коэффициент 0,85 учитывает долю добавленной стоимости в выручке обрабатывающей промышленности при данном уровне локализации.</w:t>
      </w:r>
    </w:p>
    <w:p w14:paraId="7FD8523C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Инвестиционная потребность кластера — наибольшая среди шести: 3,0–4,0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. Это обусловлено капиталоёмкостью производственной инфраструктуры. Вместе с тем кластер обладает наибольшим мультипликатором занятости: каждое рабочее место в обрабатывающей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промышленности создаёт 1,7–2,1 косвенного рабочего места в смежных секторах [5; 10].</w:t>
      </w:r>
    </w:p>
    <w:p w14:paraId="28D7D4E3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Таблица 4. Инвестиционный профиль индустриально-производственного кластера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474"/>
        <w:gridCol w:w="1984"/>
        <w:gridCol w:w="1928"/>
      </w:tblGrid>
      <w:tr w:rsidR="00D75655" w14:paraId="1BE2BC11" w14:textId="77777777">
        <w:trPr>
          <w:jc w:val="center"/>
        </w:trPr>
        <w:tc>
          <w:tcPr>
            <w:tcW w:w="3118" w:type="dxa"/>
            <w:shd w:val="clear" w:color="auto" w:fill="1A5276"/>
          </w:tcPr>
          <w:p w14:paraId="7B0EE380" w14:textId="77777777" w:rsidR="00D7565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Направление</w:t>
            </w:r>
            <w:proofErr w:type="spellEnd"/>
          </w:p>
        </w:tc>
        <w:tc>
          <w:tcPr>
            <w:tcW w:w="1474" w:type="dxa"/>
            <w:shd w:val="clear" w:color="auto" w:fill="1A5276"/>
          </w:tcPr>
          <w:p w14:paraId="053A99F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CAPEX, млрд USD</w:t>
            </w:r>
          </w:p>
        </w:tc>
        <w:tc>
          <w:tcPr>
            <w:tcW w:w="1984" w:type="dxa"/>
            <w:shd w:val="clear" w:color="auto" w:fill="1A5276"/>
          </w:tcPr>
          <w:p w14:paraId="3430708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</w:t>
            </w:r>
          </w:p>
        </w:tc>
        <w:tc>
          <w:tcPr>
            <w:tcW w:w="1928" w:type="dxa"/>
            <w:shd w:val="clear" w:color="auto" w:fill="1A5276"/>
          </w:tcPr>
          <w:p w14:paraId="41595A1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Целевая отрасль</w:t>
            </w:r>
          </w:p>
        </w:tc>
      </w:tr>
      <w:tr w:rsidR="00D75655" w14:paraId="4077464A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64558E1F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>Пищевая и АПК-переработка (СЭЗ #1)</w:t>
            </w:r>
          </w:p>
        </w:tc>
        <w:tc>
          <w:tcPr>
            <w:tcW w:w="1474" w:type="dxa"/>
            <w:shd w:val="clear" w:color="auto" w:fill="EBF5FB"/>
          </w:tcPr>
          <w:p w14:paraId="413A331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0,90</w:t>
            </w:r>
          </w:p>
        </w:tc>
        <w:tc>
          <w:tcPr>
            <w:tcW w:w="1984" w:type="dxa"/>
            <w:shd w:val="clear" w:color="auto" w:fill="EBF5FB"/>
          </w:tcPr>
          <w:p w14:paraId="70C62462" w14:textId="77777777" w:rsidR="00D75655" w:rsidRDefault="00000000">
            <w:r>
              <w:rPr>
                <w:rFonts w:ascii="Times New Roman" w:hAnsi="Times New Roman"/>
                <w:sz w:val="20"/>
              </w:rPr>
              <w:t>СП (Индия, Турция)</w:t>
            </w:r>
          </w:p>
        </w:tc>
        <w:tc>
          <w:tcPr>
            <w:tcW w:w="1928" w:type="dxa"/>
            <w:shd w:val="clear" w:color="auto" w:fill="EBF5FB"/>
          </w:tcPr>
          <w:p w14:paraId="7C6EC48D" w14:textId="77777777" w:rsidR="00D75655" w:rsidRDefault="00000000">
            <w:r>
              <w:rPr>
                <w:rFonts w:ascii="Times New Roman" w:hAnsi="Times New Roman"/>
                <w:sz w:val="20"/>
              </w:rPr>
              <w:t>Экспорт УЕМОА</w:t>
            </w:r>
          </w:p>
        </w:tc>
      </w:tr>
      <w:tr w:rsidR="00D75655" w14:paraId="5198232F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AD06278" w14:textId="77777777" w:rsidR="00D75655" w:rsidRDefault="00000000">
            <w:r>
              <w:rPr>
                <w:rFonts w:ascii="Times New Roman" w:hAnsi="Times New Roman"/>
                <w:sz w:val="20"/>
              </w:rPr>
              <w:t>Нефтехимия и полимеры</w:t>
            </w:r>
          </w:p>
        </w:tc>
        <w:tc>
          <w:tcPr>
            <w:tcW w:w="1474" w:type="dxa"/>
            <w:shd w:val="clear" w:color="auto" w:fill="FFFFFF"/>
          </w:tcPr>
          <w:p w14:paraId="675E6A69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0,80</w:t>
            </w:r>
          </w:p>
        </w:tc>
        <w:tc>
          <w:tcPr>
            <w:tcW w:w="1984" w:type="dxa"/>
            <w:shd w:val="clear" w:color="auto" w:fill="FFFFFF"/>
          </w:tcPr>
          <w:p w14:paraId="2C252FAA" w14:textId="77777777" w:rsidR="00D75655" w:rsidRDefault="00000000">
            <w:r>
              <w:rPr>
                <w:rFonts w:ascii="Times New Roman" w:hAnsi="Times New Roman"/>
                <w:sz w:val="20"/>
              </w:rPr>
              <w:t>Сов. пред. с Total Energies</w:t>
            </w:r>
          </w:p>
        </w:tc>
        <w:tc>
          <w:tcPr>
            <w:tcW w:w="1928" w:type="dxa"/>
            <w:shd w:val="clear" w:color="auto" w:fill="FFFFFF"/>
          </w:tcPr>
          <w:p w14:paraId="29A2475A" w14:textId="77777777" w:rsidR="00D75655" w:rsidRDefault="00000000">
            <w:r>
              <w:rPr>
                <w:rFonts w:ascii="Times New Roman" w:hAnsi="Times New Roman"/>
                <w:sz w:val="20"/>
              </w:rPr>
              <w:t>Субрег. рынок</w:t>
            </w:r>
          </w:p>
        </w:tc>
      </w:tr>
      <w:tr w:rsidR="00D75655" w14:paraId="6CBB5CC7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548A9398" w14:textId="77777777" w:rsidR="00D75655" w:rsidRDefault="00000000">
            <w:r>
              <w:rPr>
                <w:rFonts w:ascii="Times New Roman" w:hAnsi="Times New Roman"/>
                <w:sz w:val="20"/>
              </w:rPr>
              <w:t>Лёгкая промышленность (текстиль, обувь)</w:t>
            </w:r>
          </w:p>
        </w:tc>
        <w:tc>
          <w:tcPr>
            <w:tcW w:w="1474" w:type="dxa"/>
            <w:shd w:val="clear" w:color="auto" w:fill="EBF5FB"/>
          </w:tcPr>
          <w:p w14:paraId="634D200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0,70</w:t>
            </w:r>
          </w:p>
        </w:tc>
        <w:tc>
          <w:tcPr>
            <w:tcW w:w="1984" w:type="dxa"/>
            <w:shd w:val="clear" w:color="auto" w:fill="EBF5FB"/>
          </w:tcPr>
          <w:p w14:paraId="20D2CFBD" w14:textId="77777777" w:rsidR="00D75655" w:rsidRDefault="00000000">
            <w:r>
              <w:rPr>
                <w:rFonts w:ascii="Times New Roman" w:hAnsi="Times New Roman"/>
                <w:sz w:val="20"/>
              </w:rPr>
              <w:t>Китай, Вьетнам</w:t>
            </w:r>
          </w:p>
        </w:tc>
        <w:tc>
          <w:tcPr>
            <w:tcW w:w="1928" w:type="dxa"/>
            <w:shd w:val="clear" w:color="auto" w:fill="EBF5FB"/>
          </w:tcPr>
          <w:p w14:paraId="527850AA" w14:textId="77777777" w:rsidR="00D75655" w:rsidRDefault="00000000">
            <w:r>
              <w:rPr>
                <w:rFonts w:ascii="Times New Roman" w:hAnsi="Times New Roman"/>
                <w:sz w:val="20"/>
              </w:rPr>
              <w:t>AfCFTA</w:t>
            </w:r>
          </w:p>
        </w:tc>
      </w:tr>
      <w:tr w:rsidR="00D75655" w14:paraId="6432776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AE32205" w14:textId="77777777" w:rsidR="00D75655" w:rsidRDefault="00000000">
            <w:r>
              <w:rPr>
                <w:rFonts w:ascii="Times New Roman" w:hAnsi="Times New Roman"/>
                <w:sz w:val="20"/>
              </w:rPr>
              <w:t>Металлооб. / машиностроение</w:t>
            </w:r>
          </w:p>
        </w:tc>
        <w:tc>
          <w:tcPr>
            <w:tcW w:w="1474" w:type="dxa"/>
            <w:shd w:val="clear" w:color="auto" w:fill="FFFFFF"/>
          </w:tcPr>
          <w:p w14:paraId="269D110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w="1984" w:type="dxa"/>
            <w:shd w:val="clear" w:color="auto" w:fill="FFFFFF"/>
          </w:tcPr>
          <w:p w14:paraId="72A31314" w14:textId="77777777" w:rsidR="00D75655" w:rsidRDefault="00000000">
            <w:r>
              <w:rPr>
                <w:rFonts w:ascii="Times New Roman" w:hAnsi="Times New Roman"/>
                <w:sz w:val="20"/>
              </w:rPr>
              <w:t>Корея, ОАЭ</w:t>
            </w:r>
          </w:p>
        </w:tc>
        <w:tc>
          <w:tcPr>
            <w:tcW w:w="1928" w:type="dxa"/>
            <w:shd w:val="clear" w:color="auto" w:fill="FFFFFF"/>
          </w:tcPr>
          <w:p w14:paraId="751FE8CA" w14:textId="77777777" w:rsidR="00D75655" w:rsidRDefault="00000000">
            <w:r>
              <w:rPr>
                <w:rFonts w:ascii="Times New Roman" w:hAnsi="Times New Roman"/>
                <w:sz w:val="20"/>
              </w:rPr>
              <w:t>Горн. сектор ЭКОВАС</w:t>
            </w:r>
          </w:p>
        </w:tc>
      </w:tr>
      <w:tr w:rsidR="00D75655" w14:paraId="3F077FB7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7F1BAB84" w14:textId="77777777" w:rsidR="00D75655" w:rsidRDefault="00000000">
            <w:r>
              <w:rPr>
                <w:rFonts w:ascii="Times New Roman" w:hAnsi="Times New Roman"/>
                <w:sz w:val="20"/>
              </w:rPr>
              <w:t>Строй. материалы, стекло, керамика</w:t>
            </w:r>
          </w:p>
        </w:tc>
        <w:tc>
          <w:tcPr>
            <w:tcW w:w="1474" w:type="dxa"/>
            <w:shd w:val="clear" w:color="auto" w:fill="EBF5FB"/>
          </w:tcPr>
          <w:p w14:paraId="638FE5E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0,35</w:t>
            </w:r>
          </w:p>
        </w:tc>
        <w:tc>
          <w:tcPr>
            <w:tcW w:w="1984" w:type="dxa"/>
            <w:shd w:val="clear" w:color="auto" w:fill="EBF5FB"/>
          </w:tcPr>
          <w:p w14:paraId="2272DD8E" w14:textId="77777777" w:rsidR="00D75655" w:rsidRDefault="00000000">
            <w:r>
              <w:rPr>
                <w:rFonts w:ascii="Times New Roman" w:hAnsi="Times New Roman"/>
                <w:sz w:val="20"/>
              </w:rPr>
              <w:t>Частные СП</w:t>
            </w:r>
          </w:p>
        </w:tc>
        <w:tc>
          <w:tcPr>
            <w:tcW w:w="1928" w:type="dxa"/>
            <w:shd w:val="clear" w:color="auto" w:fill="EBF5FB"/>
          </w:tcPr>
          <w:p w14:paraId="2BAA4AE2" w14:textId="77777777" w:rsidR="00D75655" w:rsidRDefault="00000000">
            <w:r>
              <w:rPr>
                <w:rFonts w:ascii="Times New Roman" w:hAnsi="Times New Roman"/>
                <w:sz w:val="20"/>
              </w:rPr>
              <w:t>Внутр. рынок</w:t>
            </w:r>
          </w:p>
        </w:tc>
      </w:tr>
      <w:tr w:rsidR="00D75655" w14:paraId="2370FBDE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DBB717D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Инфраструктура зон (дороги, </w:t>
            </w:r>
            <w:proofErr w:type="spellStart"/>
            <w:r w:rsidRPr="00A03A07">
              <w:rPr>
                <w:rFonts w:ascii="Times New Roman" w:hAnsi="Times New Roman"/>
                <w:sz w:val="20"/>
                <w:lang w:val="ru-RU"/>
              </w:rPr>
              <w:t>энерг</w:t>
            </w:r>
            <w:proofErr w:type="spellEnd"/>
            <w:r w:rsidRPr="00A03A07">
              <w:rPr>
                <w:rFonts w:ascii="Times New Roman" w:hAnsi="Times New Roman"/>
                <w:sz w:val="20"/>
                <w:lang w:val="ru-RU"/>
              </w:rPr>
              <w:t>., вода)</w:t>
            </w:r>
          </w:p>
        </w:tc>
        <w:tc>
          <w:tcPr>
            <w:tcW w:w="1474" w:type="dxa"/>
            <w:shd w:val="clear" w:color="auto" w:fill="FFFFFF"/>
          </w:tcPr>
          <w:p w14:paraId="3AFD925D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0,25</w:t>
            </w:r>
          </w:p>
        </w:tc>
        <w:tc>
          <w:tcPr>
            <w:tcW w:w="1984" w:type="dxa"/>
            <w:shd w:val="clear" w:color="auto" w:fill="FFFFFF"/>
          </w:tcPr>
          <w:p w14:paraId="2CE4DE57" w14:textId="77777777" w:rsidR="00D75655" w:rsidRDefault="00000000">
            <w:r>
              <w:rPr>
                <w:rFonts w:ascii="Times New Roman" w:hAnsi="Times New Roman"/>
                <w:sz w:val="20"/>
              </w:rPr>
              <w:t>Гос. бюджет, АфБР</w:t>
            </w:r>
          </w:p>
        </w:tc>
        <w:tc>
          <w:tcPr>
            <w:tcW w:w="1928" w:type="dxa"/>
            <w:shd w:val="clear" w:color="auto" w:fill="FFFFFF"/>
          </w:tcPr>
          <w:p w14:paraId="6332804D" w14:textId="77777777" w:rsidR="00D75655" w:rsidRDefault="00000000">
            <w:r>
              <w:rPr>
                <w:rFonts w:ascii="Times New Roman" w:hAnsi="Times New Roman"/>
                <w:sz w:val="20"/>
              </w:rPr>
              <w:t>Общая</w:t>
            </w:r>
          </w:p>
        </w:tc>
      </w:tr>
      <w:tr w:rsidR="00D75655" w14:paraId="03C5818A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407B2AB9" w14:textId="77777777" w:rsidR="00D75655" w:rsidRDefault="00000000"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w="1474" w:type="dxa"/>
            <w:shd w:val="clear" w:color="auto" w:fill="EBF5FB"/>
          </w:tcPr>
          <w:p w14:paraId="5022C21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3,50</w:t>
            </w:r>
          </w:p>
        </w:tc>
        <w:tc>
          <w:tcPr>
            <w:tcW w:w="1984" w:type="dxa"/>
            <w:shd w:val="clear" w:color="auto" w:fill="EBF5FB"/>
          </w:tcPr>
          <w:p w14:paraId="607CBFC0" w14:textId="77777777" w:rsidR="00D75655" w:rsidRDefault="00D75655"/>
        </w:tc>
        <w:tc>
          <w:tcPr>
            <w:tcW w:w="1928" w:type="dxa"/>
            <w:shd w:val="clear" w:color="auto" w:fill="EBF5FB"/>
          </w:tcPr>
          <w:p w14:paraId="2CD508F6" w14:textId="77777777" w:rsidR="00D75655" w:rsidRDefault="00000000">
            <w:r>
              <w:rPr>
                <w:rFonts w:ascii="Times New Roman" w:hAnsi="Times New Roman"/>
                <w:sz w:val="20"/>
              </w:rPr>
              <w:t>2027–2035</w:t>
            </w:r>
          </w:p>
        </w:tc>
      </w:tr>
    </w:tbl>
    <w:p w14:paraId="4B073923" w14:textId="77777777" w:rsidR="00D75655" w:rsidRDefault="00D75655"/>
    <w:p w14:paraId="6F27E1C8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Источник: авторские расчёты на основе данных [5; 7; 11; 12].</w:t>
      </w:r>
    </w:p>
    <w:p w14:paraId="680DAF56" w14:textId="77777777" w:rsidR="00D75655" w:rsidRPr="00A03A07" w:rsidRDefault="00D75655">
      <w:pPr>
        <w:rPr>
          <w:lang w:val="ru-RU"/>
        </w:rPr>
      </w:pPr>
    </w:p>
    <w:p w14:paraId="700C75D8" w14:textId="77777777" w:rsidR="00D75655" w:rsidRPr="00A03A07" w:rsidRDefault="00000000">
      <w:pPr>
        <w:spacing w:before="24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▌ КЛАСТЕР </w:t>
      </w:r>
      <w:proofErr w:type="gramStart"/>
      <w:r>
        <w:rPr>
          <w:rFonts w:ascii="Times New Roman" w:hAnsi="Times New Roman"/>
          <w:b/>
          <w:color w:val="1A5276"/>
          <w:sz w:val="28"/>
        </w:rPr>
        <w:t>IV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  ЦИФРОВАЯ</w:t>
      </w:r>
      <w:proofErr w:type="gramEnd"/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 ПЛАТФОРМА «БЕРЕГ ВОСХОДА» И </w:t>
      </w:r>
      <w:r>
        <w:rPr>
          <w:rFonts w:ascii="Times New Roman" w:hAnsi="Times New Roman"/>
          <w:b/>
          <w:color w:val="1A5276"/>
          <w:sz w:val="28"/>
        </w:rPr>
        <w:t>FINTECH</w:t>
      </w:r>
    </w:p>
    <w:p w14:paraId="2911C61F" w14:textId="77777777" w:rsidR="00D75655" w:rsidRPr="00A03A07" w:rsidRDefault="00000000">
      <w:pPr>
        <w:spacing w:before="16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2E4A62"/>
          <w:sz w:val="26"/>
          <w:lang w:val="ru-RU"/>
        </w:rPr>
        <w:t>Архитектура платформы: шесть функциональных модулей</w:t>
      </w:r>
    </w:p>
    <w:p w14:paraId="29EA6768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Цифровая платформа является системообразующим элементом всего проекта: именно она обеспечивает координацию, прозрачность и синергию остальных пяти кластеров. В отличие от отраслевых кластеров, платформа не создаёт добавленную стоимость непосредственно в виде физических товаров — она снижает транзакционные издержки и генерирует сетевые внешние эффекты, которые умножают отдачу всех остальных инвестиций [4; 9; 20].</w:t>
      </w:r>
    </w:p>
    <w:p w14:paraId="208DD9F3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Расширенная функция платформы:</w:t>
      </w:r>
    </w:p>
    <w:p w14:paraId="7CEEF898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P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= </w:t>
      </w:r>
      <w:proofErr w:type="gramStart"/>
      <w:r>
        <w:rPr>
          <w:rFonts w:ascii="Times New Roman" w:hAnsi="Times New Roman"/>
          <w:i/>
          <w:color w:val="000000"/>
          <w:sz w:val="26"/>
        </w:rPr>
        <w:t>f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(</w:t>
      </w:r>
      <w:proofErr w:type="gramEnd"/>
      <w:r>
        <w:rPr>
          <w:rFonts w:ascii="Times New Roman" w:hAnsi="Times New Roman"/>
          <w:i/>
          <w:color w:val="000000"/>
          <w:sz w:val="26"/>
        </w:rPr>
        <w:t>C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, </w:t>
      </w:r>
      <w:r>
        <w:rPr>
          <w:rFonts w:ascii="Times New Roman" w:hAnsi="Times New Roman"/>
          <w:i/>
          <w:color w:val="000000"/>
          <w:sz w:val="26"/>
        </w:rPr>
        <w:t>F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, </w:t>
      </w:r>
      <w:r>
        <w:rPr>
          <w:rFonts w:ascii="Times New Roman" w:hAnsi="Times New Roman"/>
          <w:i/>
          <w:color w:val="000000"/>
          <w:sz w:val="26"/>
        </w:rPr>
        <w:t>T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, </w:t>
      </w:r>
      <w:r>
        <w:rPr>
          <w:rFonts w:ascii="Times New Roman" w:hAnsi="Times New Roman"/>
          <w:i/>
          <w:color w:val="000000"/>
          <w:sz w:val="26"/>
        </w:rPr>
        <w:t>L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, </w:t>
      </w:r>
      <w:r>
        <w:rPr>
          <w:rFonts w:ascii="Times New Roman" w:hAnsi="Times New Roman"/>
          <w:i/>
          <w:color w:val="000000"/>
          <w:sz w:val="26"/>
        </w:rPr>
        <w:t>D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, </w:t>
      </w:r>
      <w:proofErr w:type="gramStart"/>
      <w:r>
        <w:rPr>
          <w:rFonts w:ascii="Times New Roman" w:hAnsi="Times New Roman"/>
          <w:i/>
          <w:color w:val="000000"/>
          <w:sz w:val="26"/>
        </w:rPr>
        <w:t>G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)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2.23)</w:t>
      </w:r>
    </w:p>
    <w:p w14:paraId="76C3DDB2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где: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C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Contract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Management</w:t>
      </w:r>
      <w:r w:rsidRPr="00A03A07">
        <w:rPr>
          <w:rFonts w:ascii="Times New Roman" w:hAnsi="Times New Roman"/>
          <w:color w:val="000000"/>
          <w:sz w:val="28"/>
          <w:lang w:val="ru-RU"/>
        </w:rPr>
        <w:t>: цифровое управление и автоматическое исполнение (смарт-контракты) торговых, логистических и инвестиционных соглашений;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lastRenderedPageBreak/>
        <w:t>F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Finance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hAnsi="Times New Roman"/>
          <w:color w:val="000000"/>
          <w:sz w:val="28"/>
        </w:rPr>
        <w:t>FinTech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: интеграция </w:t>
      </w:r>
      <w:r>
        <w:rPr>
          <w:rFonts w:ascii="Times New Roman" w:hAnsi="Times New Roman"/>
          <w:color w:val="000000"/>
          <w:sz w:val="28"/>
        </w:rPr>
        <w:t>Mobile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Money</w:t>
      </w:r>
      <w:r w:rsidRPr="00A03A07">
        <w:rPr>
          <w:rFonts w:ascii="Times New Roman" w:hAnsi="Times New Roman"/>
          <w:color w:val="000000"/>
          <w:sz w:val="28"/>
          <w:lang w:val="ru-RU"/>
        </w:rPr>
        <w:t>, смарт-кредитования, исламских финансовых инструментов и факторинга для МСП;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Traceability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: блокчейн-верификация цепочек поставок от фермы до конечного покупателя (ответ на требования </w:t>
      </w:r>
      <w:r>
        <w:rPr>
          <w:rFonts w:ascii="Times New Roman" w:hAnsi="Times New Roman"/>
          <w:color w:val="000000"/>
          <w:sz w:val="28"/>
        </w:rPr>
        <w:t>EUDR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-инвесторов);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L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Logistics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AI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-оптимизация грузопотоков, цифровые таможенные процедуры, </w:t>
      </w:r>
      <w:r>
        <w:rPr>
          <w:rFonts w:ascii="Times New Roman" w:hAnsi="Times New Roman"/>
          <w:color w:val="000000"/>
          <w:sz w:val="28"/>
        </w:rPr>
        <w:t>GPS</w:t>
      </w:r>
      <w:r w:rsidRPr="00A03A07">
        <w:rPr>
          <w:rFonts w:ascii="Times New Roman" w:hAnsi="Times New Roman"/>
          <w:color w:val="000000"/>
          <w:sz w:val="28"/>
          <w:lang w:val="ru-RU"/>
        </w:rPr>
        <w:t>-мониторинг;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Data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hAnsi="Times New Roman"/>
          <w:color w:val="000000"/>
          <w:sz w:val="28"/>
        </w:rPr>
        <w:t>AI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Analytics</w:t>
      </w:r>
      <w:r w:rsidRPr="00A03A07">
        <w:rPr>
          <w:rFonts w:ascii="Times New Roman" w:hAnsi="Times New Roman"/>
          <w:color w:val="000000"/>
          <w:sz w:val="28"/>
          <w:lang w:val="ru-RU"/>
        </w:rPr>
        <w:t>: обработка данных всех участников платформы, предиктивное управление запасами и спросом;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Governance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hAnsi="Times New Roman"/>
          <w:color w:val="000000"/>
          <w:sz w:val="28"/>
        </w:rPr>
        <w:t>Compliance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: цифровой регулятор, антикоррупционный мониторинг, соответствие нормативным требованиям </w:t>
      </w:r>
      <w:proofErr w:type="spellStart"/>
      <w:r>
        <w:rPr>
          <w:rFonts w:ascii="Times New Roman" w:hAnsi="Times New Roman"/>
          <w:color w:val="000000"/>
          <w:sz w:val="28"/>
        </w:rPr>
        <w:t>AfCFTA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и ЕС.</w:t>
      </w:r>
    </w:p>
    <w:p w14:paraId="531CE6E1" w14:textId="77777777" w:rsidR="00D7565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7FFEACC" wp14:editId="5FDF754A">
            <wp:extent cx="5580000" cy="3822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3143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4. Детальная архитектура цифровой платформы «Берег Восхода»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Авторская разработка.</w:t>
      </w:r>
    </w:p>
    <w:p w14:paraId="18B8A3EB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4 отображает архитектуру платформы как экосистему, в центре которой находится платформенное ядро, реализующее функцию (2.23). Шесть тематических модулей соответствуют шести кластерам проекта. Каждый модуль обменивается данными с ядром по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 xml:space="preserve">стандартизованному </w:t>
      </w:r>
      <w:r>
        <w:rPr>
          <w:rFonts w:ascii="Times New Roman" w:hAnsi="Times New Roman"/>
          <w:color w:val="000000"/>
          <w:sz w:val="28"/>
        </w:rPr>
        <w:t>API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это обеспечивает как операционную независимость кластеров, так и их стратегическую координацию. В нижней части схемы показаны пять категорий пользователей: фермеры (12 000+), предприятия (800+), банки (35+), государственные структуры и международные инвесторы.</w:t>
      </w:r>
    </w:p>
    <w:p w14:paraId="7E753A45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Совокупный экономический эффект платформы обусловлен двумя механизмами. Прямой эффект (снижение транзакционных издержек) определяется из формулы (2.6):</w:t>
      </w:r>
    </w:p>
    <w:p w14:paraId="72496957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ΔTC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r>
        <w:rPr>
          <w:rFonts w:ascii="Times New Roman" w:hAnsi="Times New Roman"/>
          <w:i/>
          <w:color w:val="000000"/>
          <w:sz w:val="26"/>
        </w:rPr>
        <w:t>total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= </w:t>
      </w:r>
      <w:r>
        <w:rPr>
          <w:rFonts w:ascii="Times New Roman" w:hAnsi="Times New Roman"/>
          <w:i/>
          <w:color w:val="000000"/>
          <w:sz w:val="26"/>
        </w:rPr>
        <w:t>Σᵢ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</w:t>
      </w:r>
      <w:r>
        <w:rPr>
          <w:rFonts w:ascii="Times New Roman" w:hAnsi="Times New Roman"/>
          <w:i/>
          <w:color w:val="000000"/>
          <w:sz w:val="26"/>
        </w:rPr>
        <w:t>αᵢ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× </w:t>
      </w:r>
      <w:r>
        <w:rPr>
          <w:rFonts w:ascii="Times New Roman" w:hAnsi="Times New Roman"/>
          <w:i/>
          <w:color w:val="000000"/>
          <w:sz w:val="26"/>
        </w:rPr>
        <w:t>TC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proofErr w:type="spellStart"/>
      <w:r>
        <w:rPr>
          <w:rFonts w:ascii="Times New Roman" w:hAnsi="Times New Roman"/>
          <w:i/>
          <w:color w:val="000000"/>
          <w:sz w:val="26"/>
        </w:rPr>
        <w:t>i</w:t>
      </w:r>
      <w:proofErr w:type="spellEnd"/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,0 × </w:t>
      </w:r>
      <w:r>
        <w:rPr>
          <w:rFonts w:ascii="Times New Roman" w:hAnsi="Times New Roman"/>
          <w:i/>
          <w:color w:val="000000"/>
          <w:sz w:val="26"/>
        </w:rPr>
        <w:t>eᵢ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≈ 0,90 млрд </w:t>
      </w:r>
      <w:r>
        <w:rPr>
          <w:rFonts w:ascii="Times New Roman" w:hAnsi="Times New Roman"/>
          <w:i/>
          <w:color w:val="000000"/>
          <w:sz w:val="26"/>
        </w:rPr>
        <w:t>USD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/</w:t>
      </w:r>
      <w:proofErr w:type="gramStart"/>
      <w:r w:rsidRPr="00A03A07">
        <w:rPr>
          <w:rFonts w:ascii="Times New Roman" w:hAnsi="Times New Roman"/>
          <w:i/>
          <w:color w:val="000000"/>
          <w:sz w:val="26"/>
          <w:lang w:val="ru-RU"/>
        </w:rPr>
        <w:t>год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2.24)</w:t>
      </w:r>
    </w:p>
    <w:p w14:paraId="055B2D9D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Это эквивалентно ≈ 1,0% ВВП страны — ежегодная «экономия», реинвестируемая в дополнительный рост. Косвенный эффект (сетевой внешний эффект по закону Меткалфа) при </w:t>
      </w:r>
      <w:r>
        <w:rPr>
          <w:rFonts w:ascii="Times New Roman" w:hAnsi="Times New Roman"/>
          <w:color w:val="000000"/>
          <w:sz w:val="28"/>
        </w:rPr>
        <w:t>n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= 12 000 участников и </w:t>
      </w:r>
      <w:r>
        <w:rPr>
          <w:rFonts w:ascii="Times New Roman" w:hAnsi="Times New Roman"/>
          <w:color w:val="000000"/>
          <w:sz w:val="28"/>
        </w:rPr>
        <w:t>β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≈ 15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:</w:t>
      </w:r>
    </w:p>
    <w:p w14:paraId="15F18F05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t>V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(</w:t>
      </w:r>
      <w:r>
        <w:rPr>
          <w:rFonts w:ascii="Times New Roman" w:hAnsi="Times New Roman"/>
          <w:i/>
          <w:color w:val="000000"/>
          <w:sz w:val="26"/>
        </w:rPr>
        <w:t>n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) = </w:t>
      </w:r>
      <w:r>
        <w:rPr>
          <w:rFonts w:ascii="Times New Roman" w:hAnsi="Times New Roman"/>
          <w:i/>
          <w:color w:val="000000"/>
          <w:sz w:val="26"/>
        </w:rPr>
        <w:t>β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× </w:t>
      </w:r>
      <w:r>
        <w:rPr>
          <w:rFonts w:ascii="Times New Roman" w:hAnsi="Times New Roman"/>
          <w:i/>
          <w:color w:val="000000"/>
          <w:sz w:val="26"/>
        </w:rPr>
        <w:t>n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² = 15 × (12 </w:t>
      </w:r>
      <w:proofErr w:type="gramStart"/>
      <w:r w:rsidRPr="00A03A07">
        <w:rPr>
          <w:rFonts w:ascii="Times New Roman" w:hAnsi="Times New Roman"/>
          <w:i/>
          <w:color w:val="000000"/>
          <w:sz w:val="26"/>
          <w:lang w:val="ru-RU"/>
        </w:rPr>
        <w:t>000)²</w:t>
      </w:r>
      <w:proofErr w:type="gramEnd"/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= 2,16 млрд </w:t>
      </w:r>
      <w:proofErr w:type="gramStart"/>
      <w:r>
        <w:rPr>
          <w:rFonts w:ascii="Times New Roman" w:hAnsi="Times New Roman"/>
          <w:i/>
          <w:color w:val="000000"/>
          <w:sz w:val="26"/>
        </w:rPr>
        <w:t>USD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2.25)</w:t>
      </w:r>
    </w:p>
    <w:p w14:paraId="6F086205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Суммарная </w:t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платформы, включая доходы от </w:t>
      </w:r>
      <w:r>
        <w:rPr>
          <w:rFonts w:ascii="Times New Roman" w:hAnsi="Times New Roman"/>
          <w:color w:val="000000"/>
          <w:sz w:val="28"/>
        </w:rPr>
        <w:t>FinTech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-сервисов и цифрового маркетплейса </w:t>
      </w:r>
      <w:proofErr w:type="spellStart"/>
      <w:r>
        <w:rPr>
          <w:rFonts w:ascii="Times New Roman" w:hAnsi="Times New Roman"/>
          <w:color w:val="000000"/>
          <w:sz w:val="28"/>
        </w:rPr>
        <w:t>AfCFTA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, оценивается в 2,0–2,5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.</w:t>
      </w:r>
    </w:p>
    <w:p w14:paraId="2FA5444A" w14:textId="77777777" w:rsidR="00D75655" w:rsidRPr="00A03A07" w:rsidRDefault="00000000">
      <w:pPr>
        <w:spacing w:before="24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7D3C98"/>
          <w:sz w:val="28"/>
          <w:lang w:val="ru-RU"/>
        </w:rPr>
        <w:t xml:space="preserve">▌ КЛАСТЕР </w:t>
      </w:r>
      <w:proofErr w:type="gramStart"/>
      <w:r>
        <w:rPr>
          <w:rFonts w:ascii="Times New Roman" w:hAnsi="Times New Roman"/>
          <w:b/>
          <w:color w:val="7D3C98"/>
          <w:sz w:val="28"/>
        </w:rPr>
        <w:t>V</w:t>
      </w:r>
      <w:r w:rsidRPr="00A03A07">
        <w:rPr>
          <w:rFonts w:ascii="Times New Roman" w:hAnsi="Times New Roman"/>
          <w:b/>
          <w:color w:val="7D3C98"/>
          <w:sz w:val="28"/>
          <w:lang w:val="ru-RU"/>
        </w:rPr>
        <w:t xml:space="preserve">  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ОБРАЗОВАТЕЛЬНЫЙ</w:t>
      </w:r>
      <w:proofErr w:type="gramEnd"/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 И </w:t>
      </w:r>
      <w:r>
        <w:rPr>
          <w:rFonts w:ascii="Times New Roman" w:hAnsi="Times New Roman"/>
          <w:b/>
          <w:color w:val="1A5276"/>
          <w:sz w:val="28"/>
        </w:rPr>
        <w:t>R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&amp;</w:t>
      </w:r>
      <w:r>
        <w:rPr>
          <w:rFonts w:ascii="Times New Roman" w:hAnsi="Times New Roman"/>
          <w:b/>
          <w:color w:val="1A5276"/>
          <w:sz w:val="28"/>
        </w:rPr>
        <w:t>D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 КЛАСТЕР</w:t>
      </w:r>
    </w:p>
    <w:p w14:paraId="7239A911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Образовательный и научно-исследовательский кластер выполняет функцию «питательной среды» для всей платформенной экосистемы: он обеспечивает кадровый суверенитет — возможность постепенно заменять зарубежных специалистов (чья доля в высококвалифицированных должностях промышленных СЭЗ составляет сегодня до 40%) местными кадрами [7; 14]. Стратегически </w:t>
      </w:r>
      <w:r>
        <w:rPr>
          <w:rFonts w:ascii="Times New Roman" w:hAnsi="Times New Roman"/>
          <w:color w:val="000000"/>
          <w:sz w:val="28"/>
        </w:rPr>
        <w:t>R</w:t>
      </w:r>
      <w:r w:rsidRPr="00A03A07">
        <w:rPr>
          <w:rFonts w:ascii="Times New Roman" w:hAnsi="Times New Roman"/>
          <w:color w:val="000000"/>
          <w:sz w:val="28"/>
          <w:lang w:val="ru-RU"/>
        </w:rPr>
        <w:t>&amp;</w:t>
      </w:r>
      <w:r>
        <w:rPr>
          <w:rFonts w:ascii="Times New Roman" w:hAnsi="Times New Roman"/>
          <w:color w:val="000000"/>
          <w:sz w:val="28"/>
        </w:rPr>
        <w:t>D</w:t>
      </w:r>
      <w:r w:rsidRPr="00A03A07">
        <w:rPr>
          <w:rFonts w:ascii="Times New Roman" w:hAnsi="Times New Roman"/>
          <w:color w:val="000000"/>
          <w:sz w:val="28"/>
          <w:lang w:val="ru-RU"/>
        </w:rPr>
        <w:t>-кластер соответствует сценарию «индустриальной державы» Национального проспективного документа «Кот-д'Ивуар 2040» [7].</w:t>
      </w:r>
    </w:p>
    <w:p w14:paraId="2917D761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Инвестиционная программа кластера охватывает четыре направления: технопарки при промышленных зонах (</w:t>
      </w:r>
      <w:r>
        <w:rPr>
          <w:rFonts w:ascii="Times New Roman" w:hAnsi="Times New Roman"/>
          <w:color w:val="000000"/>
          <w:sz w:val="28"/>
        </w:rPr>
        <w:t>CAPEX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≈ 0,30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); </w:t>
      </w:r>
      <w:r>
        <w:rPr>
          <w:rFonts w:ascii="Times New Roman" w:hAnsi="Times New Roman"/>
          <w:color w:val="000000"/>
          <w:sz w:val="28"/>
        </w:rPr>
        <w:t>STEM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-университет и инженерные школы (≈ 0,25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); </w:t>
      </w:r>
      <w:r>
        <w:rPr>
          <w:rFonts w:ascii="Times New Roman" w:hAnsi="Times New Roman"/>
          <w:color w:val="000000"/>
          <w:sz w:val="28"/>
        </w:rPr>
        <w:t>IT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-академии и центры цифровых профессий (≈ 0,20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);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агробиотехнологические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лаборатории (≈ 0,15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). Совокупный </w:t>
      </w:r>
      <w:r>
        <w:rPr>
          <w:rFonts w:ascii="Times New Roman" w:hAnsi="Times New Roman"/>
          <w:color w:val="000000"/>
          <w:sz w:val="28"/>
        </w:rPr>
        <w:t>CAPEX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≈ 0,90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,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финансирование: государственный бюджет (40%), межд. партнёры в области образования (35%), частный корпоративный сектор (25%).</w:t>
      </w:r>
    </w:p>
    <w:p w14:paraId="12AE74CA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Экономический эффект кластера носит преимущественно долгосрочный характер (горизонт 2030–2040): рост производительности труда (+1,5–2% ежегодно после 2030 года), снижение импорта высококвалифицированных специалистов, формирование технологического экспорта (программное обеспечение, агробиотехнологии) стоимостью ≈ 0,5–0,8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/год к 2035 году. Прямой вклад в ВВП до 2035 года оценивается в 1,0–1,2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[14; 16].</w:t>
      </w:r>
    </w:p>
    <w:p w14:paraId="49C326F9" w14:textId="77777777" w:rsidR="00D75655" w:rsidRPr="00A03A07" w:rsidRDefault="00000000">
      <w:pPr>
        <w:spacing w:before="240" w:after="8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148F77"/>
          <w:sz w:val="28"/>
          <w:lang w:val="ru-RU"/>
        </w:rPr>
        <w:t xml:space="preserve">▌ КЛАСТЕР </w:t>
      </w:r>
      <w:proofErr w:type="gramStart"/>
      <w:r>
        <w:rPr>
          <w:rFonts w:ascii="Times New Roman" w:hAnsi="Times New Roman"/>
          <w:b/>
          <w:color w:val="148F77"/>
          <w:sz w:val="28"/>
        </w:rPr>
        <w:t>VI</w:t>
      </w:r>
      <w:r w:rsidRPr="00A03A07">
        <w:rPr>
          <w:rFonts w:ascii="Times New Roman" w:hAnsi="Times New Roman"/>
          <w:b/>
          <w:color w:val="148F77"/>
          <w:sz w:val="28"/>
          <w:lang w:val="ru-RU"/>
        </w:rPr>
        <w:t xml:space="preserve">  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ЗЕЛЁНАЯ</w:t>
      </w:r>
      <w:proofErr w:type="gramEnd"/>
      <w:r w:rsidRPr="00A03A07">
        <w:rPr>
          <w:rFonts w:ascii="Times New Roman" w:hAnsi="Times New Roman"/>
          <w:b/>
          <w:color w:val="1A5276"/>
          <w:sz w:val="28"/>
          <w:lang w:val="ru-RU"/>
        </w:rPr>
        <w:t xml:space="preserve"> ЭНЕРГЕТИКА И </w:t>
      </w:r>
      <w:r>
        <w:rPr>
          <w:rFonts w:ascii="Times New Roman" w:hAnsi="Times New Roman"/>
          <w:b/>
          <w:color w:val="1A5276"/>
          <w:sz w:val="28"/>
        </w:rPr>
        <w:t>ESG</w:t>
      </w:r>
      <w:r w:rsidRPr="00A03A07">
        <w:rPr>
          <w:rFonts w:ascii="Times New Roman" w:hAnsi="Times New Roman"/>
          <w:b/>
          <w:color w:val="1A5276"/>
          <w:sz w:val="28"/>
          <w:lang w:val="ru-RU"/>
        </w:rPr>
        <w:t>-ИНФРАСТРУКТУРА</w:t>
      </w:r>
    </w:p>
    <w:p w14:paraId="5EBB0422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Зелёная энергетика и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-инфраструктура — кластер, непосредственно отвечающий на два ключевых структурных вызова: энергетический дефицит как сдерживающий фактор промышленного роста, и нарастающие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-требования инвесторов как обязательное условие доступа к европейскому и американскому капиталу [4; 11; 19].</w:t>
      </w:r>
    </w:p>
    <w:p w14:paraId="479A78D9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Кот-д'Ивуар обладает значительным потенциалом возобновляемой энергетики: солнечная инсоляция в прибрежной зоне достигает 1 800–2 200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кВт·ч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/м²/год; отходы какао-переработки (скорлупа, жмых, органические стоки) составляют около 1,2 млн т/год — пригодный биоэнергетический ресурс мощностью ≈ 120 МВт [7; 11]. К 2024 году установленная электрогенерация страны составляет около 2 600 МВт, что при планируемом промышленном росте явно недостаточно: только промышленная зона (Кластер </w:t>
      </w:r>
      <w:r>
        <w:rPr>
          <w:rFonts w:ascii="Times New Roman" w:hAnsi="Times New Roman"/>
          <w:color w:val="000000"/>
          <w:sz w:val="28"/>
        </w:rPr>
        <w:t>III</w:t>
      </w:r>
      <w:r w:rsidRPr="00A03A07">
        <w:rPr>
          <w:rFonts w:ascii="Times New Roman" w:hAnsi="Times New Roman"/>
          <w:color w:val="000000"/>
          <w:sz w:val="28"/>
          <w:lang w:val="ru-RU"/>
        </w:rPr>
        <w:t>) потребует дополнительно 600–800 МВт [7].</w:t>
      </w:r>
    </w:p>
    <w:p w14:paraId="0C1AF746" w14:textId="77777777" w:rsidR="00D75655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AA38847" wp14:editId="0EAFD0F5">
            <wp:extent cx="5400000" cy="25790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F520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 xml:space="preserve">Рисунок 7. Зелёная энергетика: прогноз роста мощностей ВИЭ и потенциал </w:t>
      </w:r>
      <w:r>
        <w:rPr>
          <w:rFonts w:ascii="Times New Roman" w:hAnsi="Times New Roman"/>
          <w:i/>
          <w:color w:val="555555"/>
        </w:rPr>
        <w:t>carbon</w:t>
      </w:r>
      <w:r w:rsidRPr="00A03A07">
        <w:rPr>
          <w:rFonts w:ascii="Times New Roman" w:hAnsi="Times New Roman"/>
          <w:i/>
          <w:color w:val="555555"/>
          <w:lang w:val="ru-RU"/>
        </w:rPr>
        <w:t xml:space="preserve"> </w:t>
      </w:r>
      <w:r>
        <w:rPr>
          <w:rFonts w:ascii="Times New Roman" w:hAnsi="Times New Roman"/>
          <w:i/>
          <w:color w:val="555555"/>
        </w:rPr>
        <w:t>credits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 Данные по энергетике — [7; 11].</w:t>
      </w:r>
    </w:p>
    <w:p w14:paraId="17A4850C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7 демонстрирует, что к 2035 году совокупные мощности ВИЭ в прибрежной зоне возрастут с текущих 0,5 ГВт до ≈ 8,7 ГВт (солнечная + биомасса + существующая гидро). Параллельно формируется потенциал дохода от углеродных кредитов: по пяти направлениям (переработка отходов какао, восстановление лесного покрова, чистая энергетика, устойчивое сельское хозяйство, «голубой углерод» мангровых экосистем) суммарный ежегодный доход может достичь ≈ 1,45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к 2035 году. Это превращает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-программу из издержек в самостоятельный источник выручки платформы.</w:t>
      </w:r>
    </w:p>
    <w:p w14:paraId="1D90EE96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Добавленная стоимость кластера определяется суммой трёх составляющих:</w:t>
      </w:r>
    </w:p>
    <w:p w14:paraId="5C1DAB92" w14:textId="77777777" w:rsidR="00D75655" w:rsidRDefault="00000000">
      <w:pPr>
        <w:spacing w:before="80" w:after="80" w:line="440" w:lineRule="exact"/>
        <w:jc w:val="center"/>
      </w:pPr>
      <w:proofErr w:type="spellStart"/>
      <w:r>
        <w:rPr>
          <w:rFonts w:ascii="Times New Roman" w:hAnsi="Times New Roman"/>
          <w:i/>
          <w:color w:val="000000"/>
          <w:sz w:val="26"/>
        </w:rPr>
        <w:t>ΔVA_green</w:t>
      </w:r>
      <w:proofErr w:type="spellEnd"/>
      <w:r>
        <w:rPr>
          <w:rFonts w:ascii="Times New Roman" w:hAnsi="Times New Roman"/>
          <w:i/>
          <w:color w:val="000000"/>
          <w:sz w:val="26"/>
        </w:rPr>
        <w:t xml:space="preserve"> = </w:t>
      </w:r>
      <w:proofErr w:type="spellStart"/>
      <w:r>
        <w:rPr>
          <w:rFonts w:ascii="Times New Roman" w:hAnsi="Times New Roman"/>
          <w:i/>
          <w:color w:val="000000"/>
          <w:sz w:val="26"/>
        </w:rPr>
        <w:t>ΔVA_energy</w:t>
      </w:r>
      <w:proofErr w:type="spellEnd"/>
      <w:r>
        <w:rPr>
          <w:rFonts w:ascii="Times New Roman" w:hAnsi="Times New Roman"/>
          <w:i/>
          <w:color w:val="000000"/>
          <w:sz w:val="26"/>
        </w:rPr>
        <w:t xml:space="preserve"> + ΔVA_carbon + ΔVA_green_</w:t>
      </w:r>
      <w:proofErr w:type="gramStart"/>
      <w:r>
        <w:rPr>
          <w:rFonts w:ascii="Times New Roman" w:hAnsi="Times New Roman"/>
          <w:i/>
          <w:color w:val="000000"/>
          <w:sz w:val="26"/>
        </w:rPr>
        <w:t>ind</w:t>
      </w:r>
      <w:r>
        <w:rPr>
          <w:rFonts w:ascii="Times New Roman" w:hAnsi="Times New Roman"/>
          <w:color w:val="000000"/>
        </w:rPr>
        <w:t xml:space="preserve">  (</w:t>
      </w:r>
      <w:proofErr w:type="gramEnd"/>
      <w:r>
        <w:rPr>
          <w:rFonts w:ascii="Times New Roman" w:hAnsi="Times New Roman"/>
          <w:color w:val="000000"/>
        </w:rPr>
        <w:t>2.26)</w:t>
      </w:r>
    </w:p>
    <w:p w14:paraId="794BF5A3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где: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energy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стоимость произведённой электроэнергии ВИЭ за вычетом </w:t>
      </w:r>
      <w:r>
        <w:rPr>
          <w:rFonts w:ascii="Times New Roman" w:hAnsi="Times New Roman"/>
          <w:color w:val="000000"/>
          <w:sz w:val="28"/>
        </w:rPr>
        <w:t>CAPEX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(≈ 0,55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/год при тарифе 0,08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кВт·ч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>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carbon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доходы от реализации углеродных кредитов (≈ 0,80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/год к 2035);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green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hAnsi="Times New Roman"/>
          <w:color w:val="000000"/>
          <w:sz w:val="28"/>
        </w:rPr>
        <w:t>ind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— добавленная стоимость производства «зелёного водорода» и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-сертифицированных промышленных товаров (≈ 0,40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/год).</w:t>
      </w:r>
    </w:p>
    <w:p w14:paraId="721B5E74" w14:textId="77777777" w:rsidR="00D75655" w:rsidRPr="00A03A07" w:rsidRDefault="00000000">
      <w:pPr>
        <w:spacing w:before="80" w:after="80" w:line="440" w:lineRule="exact"/>
        <w:jc w:val="center"/>
        <w:rPr>
          <w:lang w:val="ru-RU"/>
        </w:rPr>
      </w:pPr>
      <w:r>
        <w:rPr>
          <w:rFonts w:ascii="Times New Roman" w:hAnsi="Times New Roman"/>
          <w:i/>
          <w:color w:val="000000"/>
          <w:sz w:val="26"/>
        </w:rPr>
        <w:lastRenderedPageBreak/>
        <w:t>ΔVA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>_</w:t>
      </w:r>
      <w:r>
        <w:rPr>
          <w:rFonts w:ascii="Times New Roman" w:hAnsi="Times New Roman"/>
          <w:i/>
          <w:color w:val="000000"/>
          <w:sz w:val="26"/>
        </w:rPr>
        <w:t>green</w:t>
      </w:r>
      <w:r w:rsidRPr="00A03A07">
        <w:rPr>
          <w:rFonts w:ascii="Times New Roman" w:hAnsi="Times New Roman"/>
          <w:i/>
          <w:color w:val="000000"/>
          <w:sz w:val="26"/>
          <w:lang w:val="ru-RU"/>
        </w:rPr>
        <w:t xml:space="preserve"> ≈ 0,55 + 0,80 + 0,40 ≈ 1,75 млрд </w:t>
      </w:r>
      <w:proofErr w:type="gramStart"/>
      <w:r>
        <w:rPr>
          <w:rFonts w:ascii="Times New Roman" w:hAnsi="Times New Roman"/>
          <w:i/>
          <w:color w:val="000000"/>
          <w:sz w:val="26"/>
        </w:rPr>
        <w:t>USD</w:t>
      </w:r>
      <w:r w:rsidRPr="00A03A07">
        <w:rPr>
          <w:rFonts w:ascii="Times New Roman" w:hAnsi="Times New Roman"/>
          <w:color w:val="000000"/>
          <w:lang w:val="ru-RU"/>
        </w:rPr>
        <w:t xml:space="preserve">  (</w:t>
      </w:r>
      <w:proofErr w:type="gramEnd"/>
      <w:r w:rsidRPr="00A03A07">
        <w:rPr>
          <w:rFonts w:ascii="Times New Roman" w:hAnsi="Times New Roman"/>
          <w:color w:val="000000"/>
          <w:lang w:val="ru-RU"/>
        </w:rPr>
        <w:t>2.27)</w:t>
      </w:r>
    </w:p>
    <w:p w14:paraId="1F038C3E" w14:textId="77777777" w:rsidR="00D75655" w:rsidRPr="00A03A07" w:rsidRDefault="00000000">
      <w:pPr>
        <w:spacing w:before="200" w:after="120" w:line="440" w:lineRule="exact"/>
        <w:rPr>
          <w:lang w:val="ru-RU"/>
        </w:rPr>
      </w:pPr>
      <w:r w:rsidRPr="00A03A07">
        <w:rPr>
          <w:rFonts w:ascii="Times New Roman" w:hAnsi="Times New Roman"/>
          <w:b/>
          <w:i/>
          <w:color w:val="1F4E79"/>
          <w:sz w:val="28"/>
          <w:lang w:val="ru-RU"/>
        </w:rPr>
        <w:t>2.2.3. Сводная модель привлечения инвестиций</w:t>
      </w:r>
    </w:p>
    <w:p w14:paraId="6627E2FD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Финансовая архитектура проекта «Берег Восхода» построена на принципе диверсификации источников, снижающей концентрацию рисков и уменьшающей нагрузку на государственный бюджет. Семь типов инвесторов формируют портфель с различными горизонтами, ожидаемой доходностью и условиями участия [11; 12; 14].</w:t>
      </w:r>
    </w:p>
    <w:p w14:paraId="233BF428" w14:textId="77777777" w:rsidR="00D7565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9EFED39" wp14:editId="546C493F">
            <wp:extent cx="5400000" cy="2752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59C1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5. Структура и фазовое распределение инвестиций проекта «Берег Восхода»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 на основе [11; 12].</w:t>
      </w:r>
    </w:p>
    <w:p w14:paraId="310A15EF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5 показывает, что наибольший объём инвестиций приходится на Фазу </w:t>
      </w:r>
      <w:r>
        <w:rPr>
          <w:rFonts w:ascii="Times New Roman" w:hAnsi="Times New Roman"/>
          <w:color w:val="000000"/>
          <w:sz w:val="28"/>
        </w:rPr>
        <w:t>II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(2028–2030): 5,0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, что соответствует выходу промышленного кластера на стадию масштабирования. В Фазе </w:t>
      </w:r>
      <w:r>
        <w:rPr>
          <w:rFonts w:ascii="Times New Roman" w:hAnsi="Times New Roman"/>
          <w:color w:val="000000"/>
          <w:sz w:val="28"/>
        </w:rPr>
        <w:t>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доминируют государственные и многосторонние источники (формирование нормативной базы, первичная инфраструктура); в Фазах </w:t>
      </w:r>
      <w:r>
        <w:rPr>
          <w:rFonts w:ascii="Times New Roman" w:hAnsi="Times New Roman"/>
          <w:color w:val="000000"/>
          <w:sz w:val="28"/>
        </w:rPr>
        <w:t>II</w:t>
      </w:r>
      <w:r w:rsidRPr="00A03A07">
        <w:rPr>
          <w:rFonts w:ascii="Times New Roman" w:hAnsi="Times New Roman"/>
          <w:color w:val="000000"/>
          <w:sz w:val="28"/>
          <w:lang w:val="ru-RU"/>
        </w:rPr>
        <w:t>–</w:t>
      </w:r>
      <w:r>
        <w:rPr>
          <w:rFonts w:ascii="Times New Roman" w:hAnsi="Times New Roman"/>
          <w:color w:val="000000"/>
          <w:sz w:val="28"/>
        </w:rPr>
        <w:t>III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нарастает доля частного капитала и суверенных фондов.</w:t>
      </w:r>
    </w:p>
    <w:p w14:paraId="6AF83CFA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Таблица 5. Структура инвесторов и условия участия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417"/>
        <w:gridCol w:w="907"/>
        <w:gridCol w:w="1814"/>
        <w:gridCol w:w="2268"/>
      </w:tblGrid>
      <w:tr w:rsidR="00D75655" w14:paraId="50C9F018" w14:textId="77777777">
        <w:trPr>
          <w:jc w:val="center"/>
        </w:trPr>
        <w:tc>
          <w:tcPr>
            <w:tcW w:w="2381" w:type="dxa"/>
            <w:shd w:val="clear" w:color="auto" w:fill="1A5276"/>
          </w:tcPr>
          <w:p w14:paraId="504823C7" w14:textId="77777777" w:rsidR="00D7565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инвестора</w:t>
            </w:r>
            <w:proofErr w:type="spellEnd"/>
          </w:p>
        </w:tc>
        <w:tc>
          <w:tcPr>
            <w:tcW w:w="1417" w:type="dxa"/>
            <w:shd w:val="clear" w:color="auto" w:fill="1A5276"/>
          </w:tcPr>
          <w:p w14:paraId="7A9164ED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Объём, млрд USD</w:t>
            </w:r>
          </w:p>
        </w:tc>
        <w:tc>
          <w:tcPr>
            <w:tcW w:w="907" w:type="dxa"/>
            <w:shd w:val="clear" w:color="auto" w:fill="1A5276"/>
          </w:tcPr>
          <w:p w14:paraId="36D9DDE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Доля</w:t>
            </w:r>
          </w:p>
        </w:tc>
        <w:tc>
          <w:tcPr>
            <w:tcW w:w="1814" w:type="dxa"/>
            <w:shd w:val="clear" w:color="auto" w:fill="1A5276"/>
          </w:tcPr>
          <w:p w14:paraId="5F236A1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2268" w:type="dxa"/>
            <w:shd w:val="clear" w:color="auto" w:fill="1A5276"/>
          </w:tcPr>
          <w:p w14:paraId="6CA9FFD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Ключевые условия</w:t>
            </w:r>
          </w:p>
        </w:tc>
      </w:tr>
      <w:tr w:rsidR="00D75655" w14:paraId="61C50A52" w14:textId="77777777">
        <w:trPr>
          <w:jc w:val="center"/>
        </w:trPr>
        <w:tc>
          <w:tcPr>
            <w:tcW w:w="2381" w:type="dxa"/>
            <w:shd w:val="clear" w:color="auto" w:fill="EBF5FB"/>
          </w:tcPr>
          <w:p w14:paraId="6E0C99B7" w14:textId="77777777" w:rsidR="00D75655" w:rsidRDefault="00000000">
            <w:r>
              <w:rPr>
                <w:rFonts w:ascii="Times New Roman" w:hAnsi="Times New Roman"/>
                <w:sz w:val="20"/>
              </w:rPr>
              <w:t>Гос. бюджет КДИ</w:t>
            </w:r>
          </w:p>
        </w:tc>
        <w:tc>
          <w:tcPr>
            <w:tcW w:w="1417" w:type="dxa"/>
            <w:shd w:val="clear" w:color="auto" w:fill="EBF5FB"/>
          </w:tcPr>
          <w:p w14:paraId="7471E8E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2,00</w:t>
            </w:r>
          </w:p>
        </w:tc>
        <w:tc>
          <w:tcPr>
            <w:tcW w:w="907" w:type="dxa"/>
            <w:shd w:val="clear" w:color="auto" w:fill="EBF5FB"/>
          </w:tcPr>
          <w:p w14:paraId="50FFF30D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814" w:type="dxa"/>
            <w:shd w:val="clear" w:color="auto" w:fill="EBF5FB"/>
          </w:tcPr>
          <w:p w14:paraId="061C288C" w14:textId="77777777" w:rsidR="00D75655" w:rsidRDefault="00000000">
            <w:r>
              <w:rPr>
                <w:rFonts w:ascii="Times New Roman" w:hAnsi="Times New Roman"/>
                <w:sz w:val="20"/>
              </w:rPr>
              <w:t>Прямые инвестиции</w:t>
            </w:r>
          </w:p>
        </w:tc>
        <w:tc>
          <w:tcPr>
            <w:tcW w:w="2268" w:type="dxa"/>
            <w:shd w:val="clear" w:color="auto" w:fill="EBF5FB"/>
          </w:tcPr>
          <w:p w14:paraId="014C28C7" w14:textId="77777777" w:rsidR="00D75655" w:rsidRDefault="00000000">
            <w:r>
              <w:rPr>
                <w:rFonts w:ascii="Times New Roman" w:hAnsi="Times New Roman"/>
                <w:sz w:val="20"/>
              </w:rPr>
              <w:t>Гос. гарантии</w:t>
            </w:r>
          </w:p>
        </w:tc>
      </w:tr>
      <w:tr w:rsidR="00D75655" w14:paraId="4F00A0D6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5F29D630" w14:textId="77777777" w:rsidR="00D75655" w:rsidRDefault="00000000">
            <w:r>
              <w:rPr>
                <w:rFonts w:ascii="Times New Roman" w:hAnsi="Times New Roman"/>
                <w:sz w:val="20"/>
              </w:rPr>
              <w:t>АфБР / МВФ / ВБ</w:t>
            </w:r>
          </w:p>
        </w:tc>
        <w:tc>
          <w:tcPr>
            <w:tcW w:w="1417" w:type="dxa"/>
            <w:shd w:val="clear" w:color="auto" w:fill="FFFFFF"/>
          </w:tcPr>
          <w:p w14:paraId="630AD20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2,50</w:t>
            </w:r>
          </w:p>
        </w:tc>
        <w:tc>
          <w:tcPr>
            <w:tcW w:w="907" w:type="dxa"/>
            <w:shd w:val="clear" w:color="auto" w:fill="FFFFFF"/>
          </w:tcPr>
          <w:p w14:paraId="3128CB5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19%</w:t>
            </w:r>
          </w:p>
        </w:tc>
        <w:tc>
          <w:tcPr>
            <w:tcW w:w="1814" w:type="dxa"/>
            <w:shd w:val="clear" w:color="auto" w:fill="FFFFFF"/>
          </w:tcPr>
          <w:p w14:paraId="050D65D5" w14:textId="77777777" w:rsidR="00D75655" w:rsidRDefault="00000000">
            <w:r>
              <w:rPr>
                <w:rFonts w:ascii="Times New Roman" w:hAnsi="Times New Roman"/>
                <w:sz w:val="20"/>
              </w:rPr>
              <w:t>Льготные кредиты</w:t>
            </w:r>
          </w:p>
        </w:tc>
        <w:tc>
          <w:tcPr>
            <w:tcW w:w="2268" w:type="dxa"/>
            <w:shd w:val="clear" w:color="auto" w:fill="FFFFFF"/>
          </w:tcPr>
          <w:p w14:paraId="6E0849B5" w14:textId="77777777" w:rsidR="00D75655" w:rsidRDefault="00000000">
            <w:r>
              <w:rPr>
                <w:rFonts w:ascii="Times New Roman" w:hAnsi="Times New Roman"/>
                <w:sz w:val="20"/>
              </w:rPr>
              <w:t>ESG-стандарты</w:t>
            </w:r>
          </w:p>
        </w:tc>
      </w:tr>
      <w:tr w:rsidR="00D75655" w14:paraId="6A3063F9" w14:textId="77777777">
        <w:trPr>
          <w:jc w:val="center"/>
        </w:trPr>
        <w:tc>
          <w:tcPr>
            <w:tcW w:w="2381" w:type="dxa"/>
            <w:shd w:val="clear" w:color="auto" w:fill="EBF5FB"/>
          </w:tcPr>
          <w:p w14:paraId="662703C9" w14:textId="77777777" w:rsidR="00D75655" w:rsidRDefault="00000000">
            <w:r>
              <w:rPr>
                <w:rFonts w:ascii="Times New Roman" w:hAnsi="Times New Roman"/>
                <w:sz w:val="20"/>
              </w:rPr>
              <w:t>Частные СП (50/50)</w:t>
            </w:r>
          </w:p>
        </w:tc>
        <w:tc>
          <w:tcPr>
            <w:tcW w:w="1417" w:type="dxa"/>
            <w:shd w:val="clear" w:color="auto" w:fill="EBF5FB"/>
          </w:tcPr>
          <w:p w14:paraId="01C9324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3,50</w:t>
            </w:r>
          </w:p>
        </w:tc>
        <w:tc>
          <w:tcPr>
            <w:tcW w:w="907" w:type="dxa"/>
            <w:shd w:val="clear" w:color="auto" w:fill="EBF5FB"/>
          </w:tcPr>
          <w:p w14:paraId="1E99A13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27%</w:t>
            </w:r>
          </w:p>
        </w:tc>
        <w:tc>
          <w:tcPr>
            <w:tcW w:w="1814" w:type="dxa"/>
            <w:shd w:val="clear" w:color="auto" w:fill="EBF5FB"/>
          </w:tcPr>
          <w:p w14:paraId="06CB486E" w14:textId="77777777" w:rsidR="00D75655" w:rsidRDefault="00000000">
            <w:r>
              <w:rPr>
                <w:rFonts w:ascii="Times New Roman" w:hAnsi="Times New Roman"/>
                <w:sz w:val="20"/>
              </w:rPr>
              <w:t>Акционерный капитал</w:t>
            </w:r>
          </w:p>
        </w:tc>
        <w:tc>
          <w:tcPr>
            <w:tcW w:w="2268" w:type="dxa"/>
            <w:shd w:val="clear" w:color="auto" w:fill="EBF5FB"/>
          </w:tcPr>
          <w:p w14:paraId="3FA64EF8" w14:textId="77777777" w:rsidR="00D75655" w:rsidRDefault="00000000">
            <w:r>
              <w:rPr>
                <w:rFonts w:ascii="Times New Roman" w:hAnsi="Times New Roman"/>
                <w:sz w:val="20"/>
              </w:rPr>
              <w:t>10 лет налог. каникул</w:t>
            </w:r>
          </w:p>
        </w:tc>
      </w:tr>
      <w:tr w:rsidR="00D75655" w14:paraId="6DA59548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5D78262A" w14:textId="77777777" w:rsidR="00D75655" w:rsidRDefault="00000000">
            <w:r>
              <w:rPr>
                <w:rFonts w:ascii="Times New Roman" w:hAnsi="Times New Roman"/>
                <w:sz w:val="20"/>
              </w:rPr>
              <w:lastRenderedPageBreak/>
              <w:t>ESG / Green Bonds</w:t>
            </w:r>
          </w:p>
        </w:tc>
        <w:tc>
          <w:tcPr>
            <w:tcW w:w="1417" w:type="dxa"/>
            <w:shd w:val="clear" w:color="auto" w:fill="FFFFFF"/>
          </w:tcPr>
          <w:p w14:paraId="655D09E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1,50</w:t>
            </w:r>
          </w:p>
        </w:tc>
        <w:tc>
          <w:tcPr>
            <w:tcW w:w="907" w:type="dxa"/>
            <w:shd w:val="clear" w:color="auto" w:fill="FFFFFF"/>
          </w:tcPr>
          <w:p w14:paraId="3D50B07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11%</w:t>
            </w:r>
          </w:p>
        </w:tc>
        <w:tc>
          <w:tcPr>
            <w:tcW w:w="1814" w:type="dxa"/>
            <w:shd w:val="clear" w:color="auto" w:fill="FFFFFF"/>
          </w:tcPr>
          <w:p w14:paraId="5B8D9F43" w14:textId="77777777" w:rsidR="00D75655" w:rsidRDefault="00000000">
            <w:r>
              <w:rPr>
                <w:rFonts w:ascii="Times New Roman" w:hAnsi="Times New Roman"/>
                <w:sz w:val="20"/>
              </w:rPr>
              <w:t>Облигации</w:t>
            </w:r>
          </w:p>
        </w:tc>
        <w:tc>
          <w:tcPr>
            <w:tcW w:w="2268" w:type="dxa"/>
            <w:shd w:val="clear" w:color="auto" w:fill="FFFFFF"/>
          </w:tcPr>
          <w:p w14:paraId="6323C0BA" w14:textId="77777777" w:rsidR="00D75655" w:rsidRDefault="00000000">
            <w:r>
              <w:rPr>
                <w:rFonts w:ascii="Times New Roman" w:hAnsi="Times New Roman"/>
                <w:sz w:val="20"/>
              </w:rPr>
              <w:t>EUDR, SDG-соотв.</w:t>
            </w:r>
          </w:p>
        </w:tc>
      </w:tr>
      <w:tr w:rsidR="00D75655" w14:paraId="5723EFA0" w14:textId="77777777">
        <w:trPr>
          <w:jc w:val="center"/>
        </w:trPr>
        <w:tc>
          <w:tcPr>
            <w:tcW w:w="2381" w:type="dxa"/>
            <w:shd w:val="clear" w:color="auto" w:fill="EBF5FB"/>
          </w:tcPr>
          <w:p w14:paraId="045CD2B6" w14:textId="77777777" w:rsidR="00D75655" w:rsidRDefault="00000000">
            <w:r>
              <w:rPr>
                <w:rFonts w:ascii="Times New Roman" w:hAnsi="Times New Roman"/>
                <w:sz w:val="20"/>
              </w:rPr>
              <w:t>Суверенные фонды</w:t>
            </w:r>
          </w:p>
        </w:tc>
        <w:tc>
          <w:tcPr>
            <w:tcW w:w="1417" w:type="dxa"/>
            <w:shd w:val="clear" w:color="auto" w:fill="EBF5FB"/>
          </w:tcPr>
          <w:p w14:paraId="780C44C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1,20</w:t>
            </w:r>
          </w:p>
        </w:tc>
        <w:tc>
          <w:tcPr>
            <w:tcW w:w="907" w:type="dxa"/>
            <w:shd w:val="clear" w:color="auto" w:fill="EBF5FB"/>
          </w:tcPr>
          <w:p w14:paraId="09B7EDD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9%</w:t>
            </w:r>
          </w:p>
        </w:tc>
        <w:tc>
          <w:tcPr>
            <w:tcW w:w="1814" w:type="dxa"/>
            <w:shd w:val="clear" w:color="auto" w:fill="EBF5FB"/>
          </w:tcPr>
          <w:p w14:paraId="702B759E" w14:textId="77777777" w:rsidR="00D75655" w:rsidRDefault="00000000">
            <w:r>
              <w:rPr>
                <w:rFonts w:ascii="Times New Roman" w:hAnsi="Times New Roman"/>
                <w:sz w:val="20"/>
              </w:rPr>
              <w:t>Долгоср. инвестиции</w:t>
            </w:r>
          </w:p>
        </w:tc>
        <w:tc>
          <w:tcPr>
            <w:tcW w:w="2268" w:type="dxa"/>
            <w:shd w:val="clear" w:color="auto" w:fill="EBF5FB"/>
          </w:tcPr>
          <w:p w14:paraId="4E4C108E" w14:textId="77777777" w:rsidR="00D75655" w:rsidRDefault="00000000">
            <w:r>
              <w:rPr>
                <w:rFonts w:ascii="Times New Roman" w:hAnsi="Times New Roman"/>
                <w:sz w:val="20"/>
              </w:rPr>
              <w:t>Реп. прибыли</w:t>
            </w:r>
          </w:p>
        </w:tc>
      </w:tr>
      <w:tr w:rsidR="00D75655" w14:paraId="222D282F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18ACB760" w14:textId="77777777" w:rsidR="00D75655" w:rsidRDefault="00000000">
            <w:r>
              <w:rPr>
                <w:rFonts w:ascii="Times New Roman" w:hAnsi="Times New Roman"/>
                <w:sz w:val="20"/>
              </w:rPr>
              <w:t>Кит. инд. фонды</w:t>
            </w:r>
          </w:p>
        </w:tc>
        <w:tc>
          <w:tcPr>
            <w:tcW w:w="1417" w:type="dxa"/>
            <w:shd w:val="clear" w:color="auto" w:fill="FFFFFF"/>
          </w:tcPr>
          <w:p w14:paraId="3503A71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1,50</w:t>
            </w:r>
          </w:p>
        </w:tc>
        <w:tc>
          <w:tcPr>
            <w:tcW w:w="907" w:type="dxa"/>
            <w:shd w:val="clear" w:color="auto" w:fill="FFFFFF"/>
          </w:tcPr>
          <w:p w14:paraId="682D95D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11%</w:t>
            </w:r>
          </w:p>
        </w:tc>
        <w:tc>
          <w:tcPr>
            <w:tcW w:w="1814" w:type="dxa"/>
            <w:shd w:val="clear" w:color="auto" w:fill="FFFFFF"/>
          </w:tcPr>
          <w:p w14:paraId="37DB12D5" w14:textId="77777777" w:rsidR="00D75655" w:rsidRDefault="00000000">
            <w:r>
              <w:rPr>
                <w:rFonts w:ascii="Times New Roman" w:hAnsi="Times New Roman"/>
                <w:sz w:val="20"/>
              </w:rPr>
              <w:t>СЭЗ-концессии</w:t>
            </w:r>
          </w:p>
        </w:tc>
        <w:tc>
          <w:tcPr>
            <w:tcW w:w="2268" w:type="dxa"/>
            <w:shd w:val="clear" w:color="auto" w:fill="FFFFFF"/>
          </w:tcPr>
          <w:p w14:paraId="6A6E3D28" w14:textId="77777777" w:rsidR="00D75655" w:rsidRDefault="00000000">
            <w:r>
              <w:rPr>
                <w:rFonts w:ascii="Times New Roman" w:hAnsi="Times New Roman"/>
                <w:sz w:val="20"/>
              </w:rPr>
              <w:t>Доступ к порту</w:t>
            </w:r>
          </w:p>
        </w:tc>
      </w:tr>
      <w:tr w:rsidR="00D75655" w14:paraId="09B00A68" w14:textId="77777777">
        <w:trPr>
          <w:jc w:val="center"/>
        </w:trPr>
        <w:tc>
          <w:tcPr>
            <w:tcW w:w="2381" w:type="dxa"/>
            <w:shd w:val="clear" w:color="auto" w:fill="EBF5FB"/>
          </w:tcPr>
          <w:p w14:paraId="396B6832" w14:textId="77777777" w:rsidR="00D75655" w:rsidRDefault="00000000">
            <w:r>
              <w:rPr>
                <w:rFonts w:ascii="Times New Roman" w:hAnsi="Times New Roman"/>
                <w:sz w:val="20"/>
              </w:rPr>
              <w:t>Цифровые инфр. фонды</w:t>
            </w:r>
          </w:p>
        </w:tc>
        <w:tc>
          <w:tcPr>
            <w:tcW w:w="1417" w:type="dxa"/>
            <w:shd w:val="clear" w:color="auto" w:fill="EBF5FB"/>
          </w:tcPr>
          <w:p w14:paraId="688906D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1,00</w:t>
            </w:r>
          </w:p>
        </w:tc>
        <w:tc>
          <w:tcPr>
            <w:tcW w:w="907" w:type="dxa"/>
            <w:shd w:val="clear" w:color="auto" w:fill="EBF5FB"/>
          </w:tcPr>
          <w:p w14:paraId="6BD7C37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8%</w:t>
            </w:r>
          </w:p>
        </w:tc>
        <w:tc>
          <w:tcPr>
            <w:tcW w:w="1814" w:type="dxa"/>
            <w:shd w:val="clear" w:color="auto" w:fill="EBF5FB"/>
          </w:tcPr>
          <w:p w14:paraId="4F736F65" w14:textId="77777777" w:rsidR="00D75655" w:rsidRDefault="00000000">
            <w:r>
              <w:rPr>
                <w:rFonts w:ascii="Times New Roman" w:hAnsi="Times New Roman"/>
                <w:sz w:val="20"/>
              </w:rPr>
              <w:t>Доля в платформе</w:t>
            </w:r>
          </w:p>
        </w:tc>
        <w:tc>
          <w:tcPr>
            <w:tcW w:w="2268" w:type="dxa"/>
            <w:shd w:val="clear" w:color="auto" w:fill="EBF5FB"/>
          </w:tcPr>
          <w:p w14:paraId="1A855F91" w14:textId="77777777" w:rsidR="00D75655" w:rsidRDefault="00000000">
            <w:r>
              <w:rPr>
                <w:rFonts w:ascii="Times New Roman" w:hAnsi="Times New Roman"/>
                <w:sz w:val="20"/>
              </w:rPr>
              <w:t>Open API, данные</w:t>
            </w:r>
          </w:p>
        </w:tc>
      </w:tr>
      <w:tr w:rsidR="00D75655" w14:paraId="7585392E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418BEB42" w14:textId="77777777" w:rsidR="00D75655" w:rsidRDefault="00000000"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w="1417" w:type="dxa"/>
            <w:shd w:val="clear" w:color="auto" w:fill="FFFFFF"/>
          </w:tcPr>
          <w:p w14:paraId="2FCD14A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13,20</w:t>
            </w:r>
          </w:p>
        </w:tc>
        <w:tc>
          <w:tcPr>
            <w:tcW w:w="907" w:type="dxa"/>
            <w:shd w:val="clear" w:color="auto" w:fill="FFFFFF"/>
          </w:tcPr>
          <w:p w14:paraId="699DFDB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w="1814" w:type="dxa"/>
            <w:shd w:val="clear" w:color="auto" w:fill="FFFFFF"/>
          </w:tcPr>
          <w:p w14:paraId="6D1A63E3" w14:textId="77777777" w:rsidR="00D75655" w:rsidRDefault="00D75655"/>
        </w:tc>
        <w:tc>
          <w:tcPr>
            <w:tcW w:w="2268" w:type="dxa"/>
            <w:shd w:val="clear" w:color="auto" w:fill="FFFFFF"/>
          </w:tcPr>
          <w:p w14:paraId="2876ED95" w14:textId="77777777" w:rsidR="00D75655" w:rsidRDefault="00D75655"/>
        </w:tc>
      </w:tr>
    </w:tbl>
    <w:p w14:paraId="12EF8191" w14:textId="77777777" w:rsidR="00D75655" w:rsidRDefault="00D75655"/>
    <w:p w14:paraId="094A41DD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Источник: авторские расчёты на основе [11; 12; 14].</w:t>
      </w:r>
    </w:p>
    <w:p w14:paraId="00CD78E1" w14:textId="77777777" w:rsidR="00D75655" w:rsidRPr="00A03A07" w:rsidRDefault="00D75655">
      <w:pPr>
        <w:rPr>
          <w:lang w:val="ru-RU"/>
        </w:rPr>
      </w:pPr>
    </w:p>
    <w:p w14:paraId="65A30F0D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Механизм совместных предприятий (СП 50/50) является ключевым инструментом привлечения стратегического капитала. Его принципиальное преимущество — распределение управленческих и финансовых рисков между государством и частным партнёром при сохранении контроля над стратегически значимыми активами. Для иностранного инвестора СП предоставляет доступ к уникальным ресурсным активам (какао, порт, земля) и рынку 250 млн потребителей УЕМОА без обременения полным страновым риском. Для государства — гарантию трансфера технологий и локализации квалифицированных рабочих мест [5; 11].</w:t>
      </w:r>
    </w:p>
    <w:p w14:paraId="3B855238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Пакет стимулов для инвесторов включает: налоговые каникулы на 10–15 лет (льгота по КПН); нулевые ввозные пошлины на производственное оборудование; цифровую регуляторную «песочницу» для </w:t>
      </w:r>
      <w:r>
        <w:rPr>
          <w:rFonts w:ascii="Times New Roman" w:hAnsi="Times New Roman"/>
          <w:color w:val="000000"/>
          <w:sz w:val="28"/>
        </w:rPr>
        <w:t>FinTech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-проектов; гарантию свободной репатриации прибыли; участие государства в строительстве магистральной инфраструктуры (дороги, энергетика, вода); страховое покрытие политических рисков через механизм </w:t>
      </w:r>
      <w:r>
        <w:rPr>
          <w:rFonts w:ascii="Times New Roman" w:hAnsi="Times New Roman"/>
          <w:color w:val="000000"/>
          <w:sz w:val="28"/>
        </w:rPr>
        <w:t>MIGA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(Всемирный банк) [10; 11].</w:t>
      </w:r>
    </w:p>
    <w:p w14:paraId="04B01440" w14:textId="77777777" w:rsidR="00D75655" w:rsidRDefault="00000000">
      <w:pPr>
        <w:spacing w:before="200" w:after="120" w:line="440" w:lineRule="exact"/>
      </w:pPr>
      <w:r>
        <w:rPr>
          <w:rFonts w:ascii="Times New Roman" w:hAnsi="Times New Roman"/>
          <w:b/>
          <w:i/>
          <w:color w:val="1F4E79"/>
          <w:sz w:val="28"/>
        </w:rPr>
        <w:t>2.2.4. Сравнительный анализ рентабельности кластеров</w:t>
      </w:r>
    </w:p>
    <w:p w14:paraId="72058FEC" w14:textId="77777777" w:rsidR="00D75655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42CFCD" wp14:editId="732AC41C">
            <wp:extent cx="5400000" cy="25895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452C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6. Мультипликаторы и рентабельность инвестиций по кластерам «Берег Восхода»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</w:t>
      </w:r>
    </w:p>
    <w:p w14:paraId="79BD8D4F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6 позволяет сравнить два ключевых параметра эффективности каждого кластера. По мультипликатору </w:t>
      </w:r>
      <w:r>
        <w:rPr>
          <w:rFonts w:ascii="Times New Roman" w:hAnsi="Times New Roman"/>
          <w:color w:val="000000"/>
          <w:sz w:val="28"/>
        </w:rPr>
        <w:t>kᵢ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(левая панель) лидирует цифровая платформа (</w:t>
      </w:r>
      <w:r>
        <w:rPr>
          <w:rFonts w:ascii="Times New Roman" w:hAnsi="Times New Roman"/>
          <w:color w:val="000000"/>
          <w:sz w:val="28"/>
        </w:rPr>
        <w:t>k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₄ = 2,05): это объясняется низкой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импортоёмкостью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и высоким сетевым внешним эффектом. Второе место занимает промышленный кластер (</w:t>
      </w:r>
      <w:r>
        <w:rPr>
          <w:rFonts w:ascii="Times New Roman" w:hAnsi="Times New Roman"/>
          <w:color w:val="000000"/>
          <w:sz w:val="28"/>
        </w:rPr>
        <w:t>k</w:t>
      </w:r>
      <w:r w:rsidRPr="00A03A07">
        <w:rPr>
          <w:rFonts w:ascii="Times New Roman" w:hAnsi="Times New Roman"/>
          <w:color w:val="000000"/>
          <w:sz w:val="28"/>
          <w:lang w:val="ru-RU"/>
        </w:rPr>
        <w:t>₃ = 1,90), третье — агропереработка (</w:t>
      </w:r>
      <w:r>
        <w:rPr>
          <w:rFonts w:ascii="Times New Roman" w:hAnsi="Times New Roman"/>
          <w:color w:val="000000"/>
          <w:sz w:val="28"/>
        </w:rPr>
        <w:t>k</w:t>
      </w:r>
      <w:r w:rsidRPr="00A03A07">
        <w:rPr>
          <w:rFonts w:ascii="Times New Roman" w:hAnsi="Times New Roman"/>
          <w:color w:val="000000"/>
          <w:sz w:val="28"/>
          <w:lang w:val="ru-RU"/>
        </w:rPr>
        <w:t>₁ = 1,80). Среднее значение мультипликатора по портфелю составляет 1,80 — выше, чем при инерционном росте (≈ 1,50) за счёт платформенной координации.</w:t>
      </w:r>
    </w:p>
    <w:p w14:paraId="77E31837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По показателю </w:t>
      </w:r>
      <w:r>
        <w:rPr>
          <w:rFonts w:ascii="Times New Roman" w:hAnsi="Times New Roman"/>
          <w:color w:val="000000"/>
          <w:sz w:val="28"/>
        </w:rPr>
        <w:t>ROI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(правая панель) лидерство сохраняет цифровая платформа (100%): капитальные вложения 1,25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генерируют 2,5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добавленной стоимости. Агропереработка (</w:t>
      </w:r>
      <w:r>
        <w:rPr>
          <w:rFonts w:ascii="Times New Roman" w:hAnsi="Times New Roman"/>
          <w:color w:val="000000"/>
          <w:sz w:val="28"/>
        </w:rPr>
        <w:t>ROI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≈ 27%) и портово-логистический кластер (</w:t>
      </w:r>
      <w:r>
        <w:rPr>
          <w:rFonts w:ascii="Times New Roman" w:hAnsi="Times New Roman"/>
          <w:color w:val="000000"/>
          <w:sz w:val="28"/>
        </w:rPr>
        <w:t>ROI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≈ 14%) демонстрируют более умеренную доходность, однако именно они создают критическую физическую инфраструктуру, без которой цифровая платформа лишается операционного контента. В этом смысле оценка </w:t>
      </w:r>
      <w:r>
        <w:rPr>
          <w:rFonts w:ascii="Times New Roman" w:hAnsi="Times New Roman"/>
          <w:color w:val="000000"/>
          <w:sz w:val="28"/>
        </w:rPr>
        <w:t>ROI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отдельных кластеров не должна интерпретироваться изолированно: вся добавленная стоимость портфеля достижима только в связке всех шести кластеров.</w:t>
      </w:r>
    </w:p>
    <w:p w14:paraId="5E24F462" w14:textId="77777777" w:rsidR="00D75655" w:rsidRPr="00A03A07" w:rsidRDefault="00000000">
      <w:pPr>
        <w:spacing w:before="200" w:after="120" w:line="440" w:lineRule="exact"/>
        <w:rPr>
          <w:lang w:val="ru-RU"/>
        </w:rPr>
      </w:pPr>
      <w:r w:rsidRPr="00A03A07">
        <w:rPr>
          <w:rFonts w:ascii="Times New Roman" w:hAnsi="Times New Roman"/>
          <w:b/>
          <w:i/>
          <w:color w:val="1F4E79"/>
          <w:sz w:val="28"/>
          <w:lang w:val="ru-RU"/>
        </w:rPr>
        <w:t>2.2.5. Сводные целевые показатели проекта к 2035 году</w:t>
      </w:r>
    </w:p>
    <w:p w14:paraId="4AC03DED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Интеграция результатов по шести кластерам позволяет сформулировать целевую матрицу показателей проекта «Берег Восхода» к 2035 году по пяти измерениям: ВВП, занятость, экспорт, энергетика и цифровизация.</w:t>
      </w:r>
    </w:p>
    <w:p w14:paraId="4C147D45" w14:textId="77777777" w:rsidR="00D7565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AB261CE" wp14:editId="385EEA96">
            <wp:extent cx="5580000" cy="41124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A78B" w14:textId="77777777" w:rsidR="00D75655" w:rsidRPr="00A03A07" w:rsidRDefault="00000000">
      <w:pPr>
        <w:spacing w:before="40" w:after="160" w:line="440" w:lineRule="exact"/>
        <w:jc w:val="center"/>
        <w:rPr>
          <w:lang w:val="ru-RU"/>
        </w:rPr>
      </w:pPr>
      <w:r w:rsidRPr="00A03A07">
        <w:rPr>
          <w:rFonts w:ascii="Times New Roman" w:hAnsi="Times New Roman"/>
          <w:i/>
          <w:color w:val="555555"/>
          <w:lang w:val="ru-RU"/>
        </w:rPr>
        <w:t>Рисунок 8. Сводный дашборд целевых показателей проекта «Берег Восхода» — 2035</w:t>
      </w:r>
      <w:r w:rsidRPr="00A03A07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 Данные — [7; 9; 11; 12; 14].</w:t>
      </w:r>
    </w:p>
    <w:p w14:paraId="0526536B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Рисунок 8 представляет панель из пяти аналитических блоков. Водопадная диаграмма (верхний левый блок) иллюстрирует, как от базового ВВП 57,6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последовательное добавление вкладов шести кластеров и синергетического эффекта формирует суммарный прирост ≈ 17,6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, что при реализации соответствует переходу экономики на качественно иную траекторию. График занятости (верхний центральный) показывает создание 460 тыс. рабочих мест (160 тыс. прямых + 300 тыс. косвенных). Сдвиг в структуре экспорта (верхний правый) отражает ключевую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трансформацию: доля сырья в экспорте падает с 65% до 20%, тогда как готовая продукция и цифровые услуги занимают 47% против нынешних 14%.</w:t>
      </w:r>
    </w:p>
    <w:p w14:paraId="2A5AF422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Таблица 6. Целевые показатели проекта «Берег Восхода» к 2035 году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361"/>
        <w:gridCol w:w="1531"/>
        <w:gridCol w:w="1531"/>
        <w:gridCol w:w="1531"/>
      </w:tblGrid>
      <w:tr w:rsidR="00D75655" w14:paraId="661CFEBD" w14:textId="77777777">
        <w:trPr>
          <w:jc w:val="center"/>
        </w:trPr>
        <w:tc>
          <w:tcPr>
            <w:tcW w:w="3118" w:type="dxa"/>
            <w:shd w:val="clear" w:color="auto" w:fill="1A5276"/>
          </w:tcPr>
          <w:p w14:paraId="7E548208" w14:textId="77777777" w:rsidR="00D75655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Показатель</w:t>
            </w:r>
            <w:proofErr w:type="spellEnd"/>
          </w:p>
        </w:tc>
        <w:tc>
          <w:tcPr>
            <w:tcW w:w="1361" w:type="dxa"/>
            <w:shd w:val="clear" w:color="auto" w:fill="1A5276"/>
          </w:tcPr>
          <w:p w14:paraId="0B0D6A4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2024 (базовый)</w:t>
            </w:r>
          </w:p>
        </w:tc>
        <w:tc>
          <w:tcPr>
            <w:tcW w:w="1531" w:type="dxa"/>
            <w:shd w:val="clear" w:color="auto" w:fill="1A5276"/>
          </w:tcPr>
          <w:p w14:paraId="1CB261D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2035 — умерен.</w:t>
            </w:r>
          </w:p>
        </w:tc>
        <w:tc>
          <w:tcPr>
            <w:tcW w:w="1531" w:type="dxa"/>
            <w:shd w:val="clear" w:color="auto" w:fill="1A5276"/>
          </w:tcPr>
          <w:p w14:paraId="02600BE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2035 — оптим.</w:t>
            </w:r>
          </w:p>
        </w:tc>
        <w:tc>
          <w:tcPr>
            <w:tcW w:w="1531" w:type="dxa"/>
            <w:shd w:val="clear" w:color="auto" w:fill="1A5276"/>
          </w:tcPr>
          <w:p w14:paraId="39B4BF55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Прирост (опт.)</w:t>
            </w:r>
          </w:p>
        </w:tc>
      </w:tr>
      <w:tr w:rsidR="00D75655" w14:paraId="346DF00F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016587DC" w14:textId="77777777" w:rsidR="00D75655" w:rsidRDefault="00000000">
            <w:r>
              <w:rPr>
                <w:rFonts w:ascii="Times New Roman" w:hAnsi="Times New Roman"/>
                <w:sz w:val="20"/>
              </w:rPr>
              <w:t>ВВП, трлн франков КФА</w:t>
            </w:r>
          </w:p>
        </w:tc>
        <w:tc>
          <w:tcPr>
            <w:tcW w:w="1361" w:type="dxa"/>
            <w:shd w:val="clear" w:color="auto" w:fill="EBF5FB"/>
          </w:tcPr>
          <w:p w14:paraId="2F19A55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57,6</w:t>
            </w:r>
          </w:p>
        </w:tc>
        <w:tc>
          <w:tcPr>
            <w:tcW w:w="1531" w:type="dxa"/>
            <w:shd w:val="clear" w:color="auto" w:fill="EBF5FB"/>
          </w:tcPr>
          <w:p w14:paraId="05E7D63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</w:t>
            </w:r>
          </w:p>
        </w:tc>
        <w:tc>
          <w:tcPr>
            <w:tcW w:w="1531" w:type="dxa"/>
            <w:shd w:val="clear" w:color="auto" w:fill="EBF5FB"/>
          </w:tcPr>
          <w:p w14:paraId="2A11CD6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163</w:t>
            </w:r>
          </w:p>
        </w:tc>
        <w:tc>
          <w:tcPr>
            <w:tcW w:w="1531" w:type="dxa"/>
            <w:shd w:val="clear" w:color="auto" w:fill="EBF5FB"/>
          </w:tcPr>
          <w:p w14:paraId="0801498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+183%</w:t>
            </w:r>
          </w:p>
        </w:tc>
      </w:tr>
      <w:tr w:rsidR="00D75655" w14:paraId="43CCE98B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89F39E3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Дополнит. </w:t>
            </w:r>
            <w:r>
              <w:rPr>
                <w:rFonts w:ascii="Times New Roman" w:hAnsi="Times New Roman"/>
                <w:sz w:val="20"/>
              </w:rPr>
              <w:t>ΔVA</w:t>
            </w: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 от платформы, млрд </w:t>
            </w:r>
            <w:r>
              <w:rPr>
                <w:rFonts w:ascii="Times New Roman" w:hAnsi="Times New Roman"/>
                <w:sz w:val="20"/>
              </w:rPr>
              <w:t>USD</w:t>
            </w:r>
          </w:p>
        </w:tc>
        <w:tc>
          <w:tcPr>
            <w:tcW w:w="1361" w:type="dxa"/>
            <w:shd w:val="clear" w:color="auto" w:fill="FFFFFF"/>
          </w:tcPr>
          <w:p w14:paraId="0F7CB82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531" w:type="dxa"/>
            <w:shd w:val="clear" w:color="auto" w:fill="FFFFFF"/>
          </w:tcPr>
          <w:p w14:paraId="3EB0B98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9,5</w:t>
            </w:r>
          </w:p>
        </w:tc>
        <w:tc>
          <w:tcPr>
            <w:tcW w:w="1531" w:type="dxa"/>
            <w:shd w:val="clear" w:color="auto" w:fill="FFFFFF"/>
          </w:tcPr>
          <w:p w14:paraId="1CCB682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17,6</w:t>
            </w:r>
          </w:p>
        </w:tc>
        <w:tc>
          <w:tcPr>
            <w:tcW w:w="1531" w:type="dxa"/>
            <w:shd w:val="clear" w:color="auto" w:fill="FFFFFF"/>
          </w:tcPr>
          <w:p w14:paraId="4268A69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+17,6 млрд</w:t>
            </w:r>
          </w:p>
        </w:tc>
      </w:tr>
      <w:tr w:rsidR="00D75655" w14:paraId="67BDD50F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272853C9" w14:textId="77777777" w:rsidR="00D75655" w:rsidRDefault="00000000">
            <w:r>
              <w:rPr>
                <w:rFonts w:ascii="Times New Roman" w:hAnsi="Times New Roman"/>
                <w:sz w:val="20"/>
              </w:rPr>
              <w:t>Доля переработки какао, %</w:t>
            </w:r>
          </w:p>
        </w:tc>
        <w:tc>
          <w:tcPr>
            <w:tcW w:w="1361" w:type="dxa"/>
            <w:shd w:val="clear" w:color="auto" w:fill="EBF5FB"/>
          </w:tcPr>
          <w:p w14:paraId="51231B2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31" w:type="dxa"/>
            <w:shd w:val="clear" w:color="auto" w:fill="EBF5FB"/>
          </w:tcPr>
          <w:p w14:paraId="4AD4F4B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w="1531" w:type="dxa"/>
            <w:shd w:val="clear" w:color="auto" w:fill="EBF5FB"/>
          </w:tcPr>
          <w:p w14:paraId="66BDED7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531" w:type="dxa"/>
            <w:shd w:val="clear" w:color="auto" w:fill="EBF5FB"/>
          </w:tcPr>
          <w:p w14:paraId="1F4CFE2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+40 п.п.</w:t>
            </w:r>
          </w:p>
        </w:tc>
      </w:tr>
      <w:tr w:rsidR="00D75655" w14:paraId="0ADEE91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8A38C91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>Грузооборот порта, млн т/год</w:t>
            </w:r>
          </w:p>
        </w:tc>
        <w:tc>
          <w:tcPr>
            <w:tcW w:w="1361" w:type="dxa"/>
            <w:shd w:val="clear" w:color="auto" w:fill="FFFFFF"/>
          </w:tcPr>
          <w:p w14:paraId="35549B0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1531" w:type="dxa"/>
            <w:shd w:val="clear" w:color="auto" w:fill="FFFFFF"/>
          </w:tcPr>
          <w:p w14:paraId="09CB207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1531" w:type="dxa"/>
            <w:shd w:val="clear" w:color="auto" w:fill="FFFFFF"/>
          </w:tcPr>
          <w:p w14:paraId="50A8A043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w="1531" w:type="dxa"/>
            <w:shd w:val="clear" w:color="auto" w:fill="FFFFFF"/>
          </w:tcPr>
          <w:p w14:paraId="701904ED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+68%</w:t>
            </w:r>
          </w:p>
        </w:tc>
      </w:tr>
      <w:tr w:rsidR="00D75655" w14:paraId="27E47869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24A0EDE6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Экспорт гот. продукции, млрд </w:t>
            </w:r>
            <w:r>
              <w:rPr>
                <w:rFonts w:ascii="Times New Roman" w:hAnsi="Times New Roman"/>
                <w:sz w:val="20"/>
              </w:rPr>
              <w:t>USD</w:t>
            </w:r>
          </w:p>
        </w:tc>
        <w:tc>
          <w:tcPr>
            <w:tcW w:w="1361" w:type="dxa"/>
            <w:shd w:val="clear" w:color="auto" w:fill="EBF5FB"/>
          </w:tcPr>
          <w:p w14:paraId="4CD3628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31" w:type="dxa"/>
            <w:shd w:val="clear" w:color="auto" w:fill="EBF5FB"/>
          </w:tcPr>
          <w:p w14:paraId="6477A3F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531" w:type="dxa"/>
            <w:shd w:val="clear" w:color="auto" w:fill="EBF5FB"/>
          </w:tcPr>
          <w:p w14:paraId="5CD938A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6,0</w:t>
            </w:r>
          </w:p>
        </w:tc>
        <w:tc>
          <w:tcPr>
            <w:tcW w:w="1531" w:type="dxa"/>
            <w:shd w:val="clear" w:color="auto" w:fill="EBF5FB"/>
          </w:tcPr>
          <w:p w14:paraId="145F5249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+300%</w:t>
            </w:r>
          </w:p>
        </w:tc>
      </w:tr>
      <w:tr w:rsidR="00D75655" w14:paraId="16B427E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2EC2F56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 xml:space="preserve">Цифровые услуги в экспорте, млрд </w:t>
            </w:r>
            <w:r>
              <w:rPr>
                <w:rFonts w:ascii="Times New Roman" w:hAnsi="Times New Roman"/>
                <w:sz w:val="20"/>
              </w:rPr>
              <w:t>USD</w:t>
            </w:r>
          </w:p>
        </w:tc>
        <w:tc>
          <w:tcPr>
            <w:tcW w:w="1361" w:type="dxa"/>
            <w:shd w:val="clear" w:color="auto" w:fill="FFFFFF"/>
          </w:tcPr>
          <w:p w14:paraId="39E0ABE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w="1531" w:type="dxa"/>
            <w:shd w:val="clear" w:color="auto" w:fill="FFFFFF"/>
          </w:tcPr>
          <w:p w14:paraId="7B2F25C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31" w:type="dxa"/>
            <w:shd w:val="clear" w:color="auto" w:fill="FFFFFF"/>
          </w:tcPr>
          <w:p w14:paraId="5AC8BC2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531" w:type="dxa"/>
            <w:shd w:val="clear" w:color="auto" w:fill="FFFFFF"/>
          </w:tcPr>
          <w:p w14:paraId="61E7DA7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+775%</w:t>
            </w:r>
          </w:p>
        </w:tc>
      </w:tr>
      <w:tr w:rsidR="00D75655" w14:paraId="1B6AE558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186C60C7" w14:textId="77777777" w:rsidR="00D75655" w:rsidRDefault="00000000">
            <w:r>
              <w:rPr>
                <w:rFonts w:ascii="Times New Roman" w:hAnsi="Times New Roman"/>
                <w:sz w:val="20"/>
              </w:rPr>
              <w:t>Доп. рабочие места, тыс.</w:t>
            </w:r>
          </w:p>
        </w:tc>
        <w:tc>
          <w:tcPr>
            <w:tcW w:w="1361" w:type="dxa"/>
            <w:shd w:val="clear" w:color="auto" w:fill="EBF5FB"/>
          </w:tcPr>
          <w:p w14:paraId="10C9762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531" w:type="dxa"/>
            <w:shd w:val="clear" w:color="auto" w:fill="EBF5FB"/>
          </w:tcPr>
          <w:p w14:paraId="1BC78BE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1531" w:type="dxa"/>
            <w:shd w:val="clear" w:color="auto" w:fill="EBF5FB"/>
          </w:tcPr>
          <w:p w14:paraId="514F7B9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460</w:t>
            </w:r>
          </w:p>
        </w:tc>
        <w:tc>
          <w:tcPr>
            <w:tcW w:w="1531" w:type="dxa"/>
            <w:shd w:val="clear" w:color="auto" w:fill="EBF5FB"/>
          </w:tcPr>
          <w:p w14:paraId="7145BCD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+460 тыс.</w:t>
            </w:r>
          </w:p>
        </w:tc>
      </w:tr>
      <w:tr w:rsidR="00D75655" w14:paraId="4B22523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EED150B" w14:textId="77777777" w:rsidR="00D75655" w:rsidRDefault="00000000">
            <w:r>
              <w:rPr>
                <w:rFonts w:ascii="Times New Roman" w:hAnsi="Times New Roman"/>
                <w:sz w:val="20"/>
              </w:rPr>
              <w:t>Мощность ВИЭ, ГВт</w:t>
            </w:r>
          </w:p>
        </w:tc>
        <w:tc>
          <w:tcPr>
            <w:tcW w:w="1361" w:type="dxa"/>
            <w:shd w:val="clear" w:color="auto" w:fill="FFFFFF"/>
          </w:tcPr>
          <w:p w14:paraId="184D2A0E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w="1531" w:type="dxa"/>
            <w:shd w:val="clear" w:color="auto" w:fill="FFFFFF"/>
          </w:tcPr>
          <w:p w14:paraId="635313A8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w="1531" w:type="dxa"/>
            <w:shd w:val="clear" w:color="auto" w:fill="FFFFFF"/>
          </w:tcPr>
          <w:p w14:paraId="0525F33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8,7</w:t>
            </w:r>
          </w:p>
        </w:tc>
        <w:tc>
          <w:tcPr>
            <w:tcW w:w="1531" w:type="dxa"/>
            <w:shd w:val="clear" w:color="auto" w:fill="FFFFFF"/>
          </w:tcPr>
          <w:p w14:paraId="1BEF6C8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+17×</w:t>
            </w:r>
          </w:p>
        </w:tc>
      </w:tr>
      <w:tr w:rsidR="00D75655" w14:paraId="2934ADF0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7EB85759" w14:textId="77777777" w:rsidR="00D75655" w:rsidRDefault="00000000">
            <w:r>
              <w:rPr>
                <w:rFonts w:ascii="Times New Roman" w:hAnsi="Times New Roman"/>
                <w:sz w:val="20"/>
              </w:rPr>
              <w:t>Доходы carbon credits, млрд USD/год</w:t>
            </w:r>
          </w:p>
        </w:tc>
        <w:tc>
          <w:tcPr>
            <w:tcW w:w="1361" w:type="dxa"/>
            <w:shd w:val="clear" w:color="auto" w:fill="EBF5FB"/>
          </w:tcPr>
          <w:p w14:paraId="00FBF5F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&lt;0,1</w:t>
            </w:r>
          </w:p>
        </w:tc>
        <w:tc>
          <w:tcPr>
            <w:tcW w:w="1531" w:type="dxa"/>
            <w:shd w:val="clear" w:color="auto" w:fill="EBF5FB"/>
          </w:tcPr>
          <w:p w14:paraId="5D177EF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531" w:type="dxa"/>
            <w:shd w:val="clear" w:color="auto" w:fill="EBF5FB"/>
          </w:tcPr>
          <w:p w14:paraId="696E7DBB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1,45</w:t>
            </w:r>
          </w:p>
        </w:tc>
        <w:tc>
          <w:tcPr>
            <w:tcW w:w="1531" w:type="dxa"/>
            <w:shd w:val="clear" w:color="auto" w:fill="EBF5FB"/>
          </w:tcPr>
          <w:p w14:paraId="4EDA567C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×14,5</w:t>
            </w:r>
          </w:p>
        </w:tc>
      </w:tr>
      <w:tr w:rsidR="00D75655" w14:paraId="6F81DC9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5019053" w14:textId="77777777" w:rsidR="00D75655" w:rsidRDefault="00000000">
            <w:r>
              <w:rPr>
                <w:rFonts w:ascii="Times New Roman" w:hAnsi="Times New Roman"/>
                <w:sz w:val="20"/>
              </w:rPr>
              <w:t>Участники платформы, тыс.</w:t>
            </w:r>
          </w:p>
        </w:tc>
        <w:tc>
          <w:tcPr>
            <w:tcW w:w="1361" w:type="dxa"/>
            <w:shd w:val="clear" w:color="auto" w:fill="FFFFFF"/>
          </w:tcPr>
          <w:p w14:paraId="080AAC94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531" w:type="dxa"/>
            <w:shd w:val="clear" w:color="auto" w:fill="FFFFFF"/>
          </w:tcPr>
          <w:p w14:paraId="1C8B56E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31" w:type="dxa"/>
            <w:shd w:val="clear" w:color="auto" w:fill="FFFFFF"/>
          </w:tcPr>
          <w:p w14:paraId="2890903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12+</w:t>
            </w:r>
          </w:p>
        </w:tc>
        <w:tc>
          <w:tcPr>
            <w:tcW w:w="1531" w:type="dxa"/>
            <w:shd w:val="clear" w:color="auto" w:fill="FFFFFF"/>
          </w:tcPr>
          <w:p w14:paraId="4CF85FD9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D75655" w14:paraId="40F87647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63F7DDF3" w14:textId="77777777" w:rsidR="00D75655" w:rsidRPr="00A03A07" w:rsidRDefault="00000000">
            <w:pPr>
              <w:rPr>
                <w:lang w:val="ru-RU"/>
              </w:rPr>
            </w:pPr>
            <w:r w:rsidRPr="00A03A07">
              <w:rPr>
                <w:rFonts w:ascii="Times New Roman" w:hAnsi="Times New Roman"/>
                <w:sz w:val="20"/>
                <w:lang w:val="ru-RU"/>
              </w:rPr>
              <w:t>Доля сырьевого экспорта, % от итого</w:t>
            </w:r>
          </w:p>
        </w:tc>
        <w:tc>
          <w:tcPr>
            <w:tcW w:w="1361" w:type="dxa"/>
            <w:shd w:val="clear" w:color="auto" w:fill="EBF5FB"/>
          </w:tcPr>
          <w:p w14:paraId="370A9882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w="1531" w:type="dxa"/>
            <w:shd w:val="clear" w:color="auto" w:fill="EBF5FB"/>
          </w:tcPr>
          <w:p w14:paraId="2C8975EA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531" w:type="dxa"/>
            <w:shd w:val="clear" w:color="auto" w:fill="EBF5FB"/>
          </w:tcPr>
          <w:p w14:paraId="307D5ED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531" w:type="dxa"/>
            <w:shd w:val="clear" w:color="auto" w:fill="EBF5FB"/>
          </w:tcPr>
          <w:p w14:paraId="54AB0C01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−45 п.п.</w:t>
            </w:r>
          </w:p>
        </w:tc>
      </w:tr>
      <w:tr w:rsidR="00D75655" w14:paraId="76377F12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6DE5B8F" w14:textId="77777777" w:rsidR="00D75655" w:rsidRDefault="00000000">
            <w:r>
              <w:rPr>
                <w:rFonts w:ascii="Times New Roman" w:hAnsi="Times New Roman"/>
                <w:sz w:val="20"/>
              </w:rPr>
              <w:t>Безработица прибр. зоны, %</w:t>
            </w:r>
          </w:p>
        </w:tc>
        <w:tc>
          <w:tcPr>
            <w:tcW w:w="1361" w:type="dxa"/>
            <w:shd w:val="clear" w:color="auto" w:fill="FFFFFF"/>
          </w:tcPr>
          <w:p w14:paraId="6B6B47A7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12,5</w:t>
            </w:r>
          </w:p>
        </w:tc>
        <w:tc>
          <w:tcPr>
            <w:tcW w:w="1531" w:type="dxa"/>
            <w:shd w:val="clear" w:color="auto" w:fill="FFFFFF"/>
          </w:tcPr>
          <w:p w14:paraId="0DA8AF2F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9,0</w:t>
            </w:r>
          </w:p>
        </w:tc>
        <w:tc>
          <w:tcPr>
            <w:tcW w:w="1531" w:type="dxa"/>
            <w:shd w:val="clear" w:color="auto" w:fill="FFFFFF"/>
          </w:tcPr>
          <w:p w14:paraId="1B554590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6,0</w:t>
            </w:r>
          </w:p>
        </w:tc>
        <w:tc>
          <w:tcPr>
            <w:tcW w:w="1531" w:type="dxa"/>
            <w:shd w:val="clear" w:color="auto" w:fill="FFFFFF"/>
          </w:tcPr>
          <w:p w14:paraId="315A7496" w14:textId="77777777" w:rsidR="00D75655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−6,5 п.п.</w:t>
            </w:r>
          </w:p>
        </w:tc>
      </w:tr>
    </w:tbl>
    <w:p w14:paraId="4A12DAE9" w14:textId="77777777" w:rsidR="00D75655" w:rsidRDefault="00D75655"/>
    <w:p w14:paraId="506502C5" w14:textId="77777777" w:rsidR="00D75655" w:rsidRPr="00A03A07" w:rsidRDefault="00000000">
      <w:pPr>
        <w:spacing w:after="0" w:line="440" w:lineRule="exact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*прогнозные данные.</w:t>
      </w:r>
      <w:r w:rsidRPr="00A03A07">
        <w:rPr>
          <w:rFonts w:ascii="Times New Roman" w:hAnsi="Times New Roman"/>
          <w:color w:val="000000"/>
          <w:sz w:val="28"/>
          <w:lang w:val="ru-RU"/>
        </w:rPr>
        <w:br/>
        <w:t>Источник: авторские расчёты на основе [7; 9; 11; 12].</w:t>
      </w:r>
    </w:p>
    <w:p w14:paraId="4E282F82" w14:textId="77777777" w:rsidR="00D75655" w:rsidRPr="00A03A07" w:rsidRDefault="00D75655">
      <w:pPr>
        <w:rPr>
          <w:lang w:val="ru-RU"/>
        </w:rPr>
      </w:pPr>
    </w:p>
    <w:p w14:paraId="76B3764D" w14:textId="77777777" w:rsidR="00D75655" w:rsidRPr="00A03A07" w:rsidRDefault="00000000">
      <w:pPr>
        <w:rPr>
          <w:lang w:val="ru-RU"/>
        </w:rPr>
      </w:pPr>
      <w:r w:rsidRPr="00A03A07">
        <w:rPr>
          <w:lang w:val="ru-RU"/>
        </w:rPr>
        <w:br w:type="page"/>
      </w:r>
    </w:p>
    <w:p w14:paraId="5DCE4D46" w14:textId="77777777" w:rsidR="00D75655" w:rsidRPr="00A03A07" w:rsidRDefault="00000000">
      <w:pPr>
        <w:spacing w:before="200" w:after="120" w:line="440" w:lineRule="exact"/>
        <w:rPr>
          <w:lang w:val="ru-RU"/>
        </w:rPr>
      </w:pPr>
      <w:r w:rsidRPr="00A03A07">
        <w:rPr>
          <w:rFonts w:ascii="Times New Roman" w:hAnsi="Times New Roman"/>
          <w:b/>
          <w:i/>
          <w:color w:val="1F4E79"/>
          <w:sz w:val="28"/>
          <w:lang w:val="ru-RU"/>
        </w:rPr>
        <w:lastRenderedPageBreak/>
        <w:t>2.2.6. Выводы по параграфу 2.2</w:t>
      </w:r>
    </w:p>
    <w:p w14:paraId="4E776672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>Проведённый в данном параграфе развёрнутый анализ шести кластеров проекта «Берег Восхода» позволяет сформулировать ряд ключевых научных выводов, имеющих теоретическое и практическое значение для понимания механизмов экономической трансформации Республики Кот-д'Ивуар.</w:t>
      </w:r>
    </w:p>
    <w:p w14:paraId="55A21275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Первый вывод: совокупный инвестиционный портфель в 13,1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за 10 лет является напряжённым, но достижимым при условии целенаправленного применения многоканальной финансовой архитектуры. Диверсификация источников между государственным бюджетом (15%), многосторонними финансовыми институтами (19%), частными СП (27%) и специализированными фондами (суверенные,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, цифровые) снижает критическую зависимость от любого одного источника и делает проект устойчивым к внешним финансовым шокам. Механизм СП 50/50 при этом выступает не просто инструментом привлечения капитала, но стратегическим инструментом управления страновым риском и трансфера управленческих компетенций.</w:t>
      </w:r>
    </w:p>
    <w:p w14:paraId="45AAF3B0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Второй вывод: шесть кластеров образуют взаимозависимую экосистему, в которой устранение любого элемента снижает совокупную эффективность системы непропорционально. Агропереработка обеспечивает первичный сырьевой поток для промышленной зоны и биоэнергетики; логистический хаб минимизирует транспортные издержки для всех кластеров; цифровая платформа сшивает все транзакции в единую прозрачную экосистему; зелёная энергетика обеспечивает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-совместимость всего производственного комплекса для международных инвесторов. Именно эта взаимозависимость порождает синергетический эффект </w:t>
      </w:r>
      <w:r>
        <w:rPr>
          <w:rFonts w:ascii="Times New Roman" w:hAnsi="Times New Roman"/>
          <w:color w:val="000000"/>
          <w:sz w:val="28"/>
        </w:rPr>
        <w:t>Γ</w:t>
      </w:r>
      <w:r w:rsidRPr="00A03A07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synergy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≈ 1,6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>, недостижимый при изолированной реализации кластеров.</w:t>
      </w:r>
    </w:p>
    <w:p w14:paraId="4A5370F7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Третий вывод: цифровая платформа обладает асимметрично высокой стратегической ценностью относительно своей инвестиционной стоимости. При </w:t>
      </w:r>
      <w:r>
        <w:rPr>
          <w:rFonts w:ascii="Times New Roman" w:hAnsi="Times New Roman"/>
          <w:color w:val="000000"/>
          <w:sz w:val="28"/>
        </w:rPr>
        <w:t>CAPEX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1,25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(9,5% от общего портфеля) она генерирует </w:t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2,5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и дополнительно усиливает мультипликативный эффект всех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>пяти остальных кластеров приблизительно на 38% (за счёт снижения транзакционных издержек и сетевых внешних эффектов, формулы 2.24–2.25). Это означает, что создание платформы должно хронологически предшествовать масштабным инвестициям в физические кластеры: платформа «готовит почву» для максимальной отдачи от последующих вложений.</w:t>
      </w:r>
    </w:p>
    <w:p w14:paraId="7E219F40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Четвёртый вывод: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-измерение проекта трансформировалось из регуляторного ограничения в самостоятельный экономический актив. Потенциальный доход от углеродных кредитов (≈ 1,45 млрд </w:t>
      </w:r>
      <w:r>
        <w:rPr>
          <w:rFonts w:ascii="Times New Roman" w:hAnsi="Times New Roman"/>
          <w:color w:val="000000"/>
          <w:sz w:val="28"/>
        </w:rPr>
        <w:t>USD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/год к 2035), доступ к льготным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-облигациям и соответствие требованиям </w:t>
      </w:r>
      <w:r>
        <w:rPr>
          <w:rFonts w:ascii="Times New Roman" w:hAnsi="Times New Roman"/>
          <w:color w:val="000000"/>
          <w:sz w:val="28"/>
        </w:rPr>
        <w:t>EUDR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 как конкурентное преимущество на европейском рынке какао совместно формируют «зелёную премию» проекта — дополнительный финансовый поток, не учтённый в базовых расчётах добавленной стоимости кластеров. Это означает, что реальная отдача от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 xml:space="preserve">-кластера существенно выше формальной оценки </w:t>
      </w:r>
      <w:r>
        <w:rPr>
          <w:rFonts w:ascii="Times New Roman" w:hAnsi="Times New Roman"/>
          <w:color w:val="000000"/>
          <w:sz w:val="28"/>
        </w:rPr>
        <w:t>ΔVA</w:t>
      </w:r>
      <w:r w:rsidRPr="00A03A07">
        <w:rPr>
          <w:rFonts w:ascii="Times New Roman" w:hAnsi="Times New Roman"/>
          <w:color w:val="000000"/>
          <w:sz w:val="28"/>
          <w:lang w:val="ru-RU"/>
        </w:rPr>
        <w:t>.</w:t>
      </w:r>
    </w:p>
    <w:p w14:paraId="6AE74D30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Пятый вывод: реализация проекта в оптимальном сценарии обеспечивает структурную трансформацию экспортной модели страны: доля сырья в экспорте снижается с 65% до 20%, тогда как готовая продукция и цифровые услуги занимают 47% экспортной корзины. Это принципиально важно с точки зрения устойчивости внешних доходов: диверсифицированный экспорт в три–четыре раза менее уязвим к ценовым шокам на товарных рынках, чем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моносырьевая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модель. Тем самым «Берег Восхода» решает не только задачу количественного роста ВВП, но и задачу снижения макроэкономической волатильности — что является необходимым условием для долгосрочных прямых иностранных инвестиций.</w:t>
      </w:r>
    </w:p>
    <w:p w14:paraId="46891CDA" w14:textId="77777777" w:rsidR="00D75655" w:rsidRPr="00A03A07" w:rsidRDefault="00000000">
      <w:pPr>
        <w:spacing w:after="0" w:line="440" w:lineRule="exact"/>
        <w:ind w:firstLine="709"/>
        <w:jc w:val="both"/>
        <w:rPr>
          <w:lang w:val="ru-RU"/>
        </w:rPr>
      </w:pPr>
      <w:r w:rsidRPr="00A03A07">
        <w:rPr>
          <w:rFonts w:ascii="Times New Roman" w:hAnsi="Times New Roman"/>
          <w:color w:val="000000"/>
          <w:sz w:val="28"/>
          <w:lang w:val="ru-RU"/>
        </w:rPr>
        <w:t xml:space="preserve">Шестой вывод, интегрирующий все предыдущие: проект «Берег Восхода» в своей полной </w:t>
      </w:r>
      <w:proofErr w:type="spellStart"/>
      <w:r w:rsidRPr="00A03A07">
        <w:rPr>
          <w:rFonts w:ascii="Times New Roman" w:hAnsi="Times New Roman"/>
          <w:color w:val="000000"/>
          <w:sz w:val="28"/>
          <w:lang w:val="ru-RU"/>
        </w:rPr>
        <w:t>шестикластерной</w:t>
      </w:r>
      <w:proofErr w:type="spellEnd"/>
      <w:r w:rsidRPr="00A03A07">
        <w:rPr>
          <w:rFonts w:ascii="Times New Roman" w:hAnsi="Times New Roman"/>
          <w:color w:val="000000"/>
          <w:sz w:val="28"/>
          <w:lang w:val="ru-RU"/>
        </w:rPr>
        <w:t xml:space="preserve"> конфигурации является не суммой шести отраслевых программ, а единой платформенной экономической системой, обладающей свойствами эмерджентности — способностью порождать системный эффект, несводимый к воздействию отдельных компонентов. Этот вывод имеет принципиальное значение для </w:t>
      </w:r>
      <w:r w:rsidRPr="00A03A07">
        <w:rPr>
          <w:rFonts w:ascii="Times New Roman" w:hAnsi="Times New Roman"/>
          <w:color w:val="000000"/>
          <w:sz w:val="28"/>
          <w:lang w:val="ru-RU"/>
        </w:rPr>
        <w:lastRenderedPageBreak/>
        <w:t xml:space="preserve">практики экономической политики: частичная реализация проекта (реализация трёх–четырёх кластеров при отказе от платформы или </w:t>
      </w:r>
      <w:r>
        <w:rPr>
          <w:rFonts w:ascii="Times New Roman" w:hAnsi="Times New Roman"/>
          <w:color w:val="000000"/>
          <w:sz w:val="28"/>
        </w:rPr>
        <w:t>ESG</w:t>
      </w:r>
      <w:r w:rsidRPr="00A03A07">
        <w:rPr>
          <w:rFonts w:ascii="Times New Roman" w:hAnsi="Times New Roman"/>
          <w:color w:val="000000"/>
          <w:sz w:val="28"/>
          <w:lang w:val="ru-RU"/>
        </w:rPr>
        <w:t>-блока) не даёт трёх–четырёх шестых от суммарного эффекта — она даёт значительно меньше, поскольку разрушает синергетические цепочки. Условием успеха является целостность замысла и последовательность его реализации в рамках единой институциональной архитектуры.</w:t>
      </w:r>
    </w:p>
    <w:p w14:paraId="1524BF20" w14:textId="77777777" w:rsidR="00D75655" w:rsidRPr="00A03A07" w:rsidRDefault="00000000">
      <w:pPr>
        <w:rPr>
          <w:lang w:val="ru-RU"/>
        </w:rPr>
      </w:pPr>
      <w:r w:rsidRPr="00A03A07">
        <w:rPr>
          <w:lang w:val="ru-RU"/>
        </w:rPr>
        <w:br w:type="page"/>
      </w:r>
    </w:p>
    <w:p w14:paraId="3DC4DFA1" w14:textId="77777777" w:rsidR="00D75655" w:rsidRPr="00A03A07" w:rsidRDefault="00000000">
      <w:pPr>
        <w:spacing w:before="280" w:after="160" w:line="440" w:lineRule="exact"/>
        <w:rPr>
          <w:lang w:val="ru-RU"/>
        </w:rPr>
      </w:pPr>
      <w:r w:rsidRPr="00A03A07">
        <w:rPr>
          <w:rFonts w:ascii="Times New Roman" w:hAnsi="Times New Roman"/>
          <w:b/>
          <w:color w:val="1A5276"/>
          <w:sz w:val="28"/>
          <w:lang w:val="ru-RU"/>
        </w:rPr>
        <w:lastRenderedPageBreak/>
        <w:t>Список использованных источников к параграфу 2.2</w:t>
      </w:r>
    </w:p>
    <w:p w14:paraId="44C3F563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[1</w:t>
      </w:r>
      <w:proofErr w:type="gramStart"/>
      <w:r>
        <w:rPr>
          <w:rFonts w:ascii="Times New Roman" w:hAnsi="Times New Roman"/>
          <w:sz w:val="24"/>
        </w:rPr>
        <w:t xml:space="preserve">]  </w:t>
      </w:r>
      <w:proofErr w:type="spellStart"/>
      <w:r>
        <w:rPr>
          <w:rFonts w:ascii="Times New Roman" w:hAnsi="Times New Roman"/>
          <w:sz w:val="24"/>
        </w:rPr>
        <w:t>AfCFTA</w:t>
      </w:r>
      <w:proofErr w:type="spellEnd"/>
      <w:proofErr w:type="gramEnd"/>
      <w:r>
        <w:rPr>
          <w:rFonts w:ascii="Times New Roman" w:hAnsi="Times New Roman"/>
          <w:sz w:val="24"/>
        </w:rPr>
        <w:t xml:space="preserve"> Secretariat. African Continental Free Trade Area: State of Play Report 2024. — Accra: AU Commission, 2024. — 98 p.</w:t>
      </w:r>
    </w:p>
    <w:p w14:paraId="2CA99EE6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[2]  Keynes J. M. The General Theory of Employment, Interest and Money. — London: Macmillan, 1936. — 472 p.</w:t>
      </w:r>
    </w:p>
    <w:p w14:paraId="02419F6C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[3]  Krugman P. Increasing Returns and Economic Geography // Journal of Political Economy. — 1991. — Vol. 99, № 3. — P. 483–499.</w:t>
      </w:r>
    </w:p>
    <w:p w14:paraId="2A8D98C0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[4]  OECD. Digital Economy Outlook 2024. — Paris: OECD Publishing, 2024. — 248 p.</w:t>
      </w:r>
    </w:p>
    <w:p w14:paraId="1529BF2B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[5]  Rodrik D. Industrial Policy for the Twenty-First Century // NBER Working Paper. — 2004. — № 10673.</w:t>
      </w:r>
    </w:p>
    <w:p w14:paraId="7D978EB0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[6]  Perroux F. Note on the Concept of Growth Poles // French Economic Study. — 1955. — Vol. 7. — P. 307–320.</w:t>
      </w:r>
    </w:p>
    <w:p w14:paraId="3A49ED60" w14:textId="77777777" w:rsidR="00D75655" w:rsidRPr="00A03A07" w:rsidRDefault="00000000">
      <w:pPr>
        <w:spacing w:before="40" w:after="40" w:line="360" w:lineRule="exact"/>
        <w:ind w:left="283" w:hanging="283"/>
        <w:rPr>
          <w:lang w:val="fr-FR"/>
        </w:rPr>
      </w:pPr>
      <w:r w:rsidRPr="00A03A07">
        <w:rPr>
          <w:rFonts w:ascii="Times New Roman" w:hAnsi="Times New Roman"/>
          <w:sz w:val="24"/>
          <w:lang w:val="fr-FR"/>
        </w:rPr>
        <w:t>[7</w:t>
      </w:r>
      <w:proofErr w:type="gramStart"/>
      <w:r w:rsidRPr="00A03A07">
        <w:rPr>
          <w:rFonts w:ascii="Times New Roman" w:hAnsi="Times New Roman"/>
          <w:sz w:val="24"/>
          <w:lang w:val="fr-FR"/>
        </w:rPr>
        <w:t>]  Ministère</w:t>
      </w:r>
      <w:proofErr w:type="gramEnd"/>
      <w:r w:rsidRPr="00A03A07">
        <w:rPr>
          <w:rFonts w:ascii="Times New Roman" w:hAnsi="Times New Roman"/>
          <w:sz w:val="24"/>
          <w:lang w:val="fr-FR"/>
        </w:rPr>
        <w:t xml:space="preserve"> de l'Économie et des Finances de Côte d'Ivoire. Rapport économique et financier 2025. — Abidjan, 2025. — 186 p.</w:t>
      </w:r>
    </w:p>
    <w:p w14:paraId="41244408" w14:textId="77777777" w:rsidR="00D75655" w:rsidRPr="00A03A07" w:rsidRDefault="00000000">
      <w:pPr>
        <w:spacing w:before="40" w:after="40" w:line="360" w:lineRule="exact"/>
        <w:ind w:left="283" w:hanging="283"/>
        <w:rPr>
          <w:lang w:val="fr-FR"/>
        </w:rPr>
      </w:pPr>
      <w:r w:rsidRPr="00A03A07">
        <w:rPr>
          <w:rFonts w:ascii="Times New Roman" w:hAnsi="Times New Roman"/>
          <w:sz w:val="24"/>
          <w:lang w:val="fr-FR"/>
        </w:rPr>
        <w:t>[8</w:t>
      </w:r>
      <w:proofErr w:type="gramStart"/>
      <w:r w:rsidRPr="00A03A07">
        <w:rPr>
          <w:rFonts w:ascii="Times New Roman" w:hAnsi="Times New Roman"/>
          <w:sz w:val="24"/>
          <w:lang w:val="fr-FR"/>
        </w:rPr>
        <w:t>]  Ministère</w:t>
      </w:r>
      <w:proofErr w:type="gramEnd"/>
      <w:r w:rsidRPr="00A03A07">
        <w:rPr>
          <w:rFonts w:ascii="Times New Roman" w:hAnsi="Times New Roman"/>
          <w:sz w:val="24"/>
          <w:lang w:val="fr-FR"/>
        </w:rPr>
        <w:t xml:space="preserve"> de la Transformation Numérique et de la Poste. Rapport sur l'infrastructure numérique 2024. — Abidjan, 2024. — 94 p.</w:t>
      </w:r>
    </w:p>
    <w:p w14:paraId="2752BDAD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[9</w:t>
      </w:r>
      <w:proofErr w:type="gramStart"/>
      <w:r>
        <w:rPr>
          <w:rFonts w:ascii="Times New Roman" w:hAnsi="Times New Roman"/>
          <w:sz w:val="24"/>
        </w:rPr>
        <w:t>]  IMF</w:t>
      </w:r>
      <w:proofErr w:type="gramEnd"/>
      <w:r>
        <w:rPr>
          <w:rFonts w:ascii="Times New Roman" w:hAnsi="Times New Roman"/>
          <w:sz w:val="24"/>
        </w:rPr>
        <w:t>. World Economic Outlook: Navigating Global Divergences. — Washington: IMF, 2024. — 214 p.</w:t>
      </w:r>
    </w:p>
    <w:p w14:paraId="2C43565D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[10] World Bank. World Development Report 2024: The Middle Income Trap. — Washington: WB, 2024. — 310 p.</w:t>
      </w:r>
    </w:p>
    <w:p w14:paraId="2E54F053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[11] African Development Bank Group. Country Report 2025: Côte d'Ivoire. — Abidjan: AfDB, 2025. — 112 p.</w:t>
      </w:r>
    </w:p>
    <w:p w14:paraId="0B945F05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[12] UNCTAD. Economic Development in Africa Report 2024: Diversification and Industrialization. — Geneva: UNCTAD, 2024. — 168 p.</w:t>
      </w:r>
    </w:p>
    <w:p w14:paraId="560E0580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[13] World Bank. Digital Platforms for Growth: Evidence from Sub-Saharan Africa. — Washington: WB, 2023. — 88 p.</w:t>
      </w:r>
    </w:p>
    <w:p w14:paraId="72F5F2A9" w14:textId="77777777" w:rsidR="00D75655" w:rsidRPr="00A03A07" w:rsidRDefault="00000000">
      <w:pPr>
        <w:spacing w:before="40" w:after="40" w:line="360" w:lineRule="exact"/>
        <w:ind w:left="283" w:hanging="283"/>
        <w:rPr>
          <w:lang w:val="fr-FR"/>
        </w:rPr>
      </w:pPr>
      <w:r w:rsidRPr="00A03A07">
        <w:rPr>
          <w:rFonts w:ascii="Times New Roman" w:hAnsi="Times New Roman"/>
          <w:sz w:val="24"/>
          <w:lang w:val="fr-FR"/>
        </w:rPr>
        <w:t xml:space="preserve">[14] CSRS — GSDE </w:t>
      </w:r>
      <w:proofErr w:type="spellStart"/>
      <w:r w:rsidRPr="00A03A07">
        <w:rPr>
          <w:rFonts w:ascii="Times New Roman" w:hAnsi="Times New Roman"/>
          <w:sz w:val="24"/>
          <w:lang w:val="fr-FR"/>
        </w:rPr>
        <w:t>Research</w:t>
      </w:r>
      <w:proofErr w:type="spellEnd"/>
      <w:r w:rsidRPr="00A03A07">
        <w:rPr>
          <w:rFonts w:ascii="Times New Roman" w:hAnsi="Times New Roman"/>
          <w:sz w:val="24"/>
          <w:lang w:val="fr-FR"/>
        </w:rPr>
        <w:t xml:space="preserve"> Group. Recherches en partenariat pour le développement durable 2025. — </w:t>
      </w:r>
      <w:proofErr w:type="gramStart"/>
      <w:r w:rsidRPr="00A03A07">
        <w:rPr>
          <w:rFonts w:ascii="Times New Roman" w:hAnsi="Times New Roman"/>
          <w:sz w:val="24"/>
          <w:lang w:val="fr-FR"/>
        </w:rPr>
        <w:t>Abidjan:</w:t>
      </w:r>
      <w:proofErr w:type="gramEnd"/>
      <w:r w:rsidRPr="00A03A07">
        <w:rPr>
          <w:rFonts w:ascii="Times New Roman" w:hAnsi="Times New Roman"/>
          <w:sz w:val="24"/>
          <w:lang w:val="fr-FR"/>
        </w:rPr>
        <w:t xml:space="preserve"> CSRS, 2025. — 96 p.</w:t>
      </w:r>
    </w:p>
    <w:p w14:paraId="606B4490" w14:textId="77777777" w:rsidR="00D75655" w:rsidRPr="00A03A07" w:rsidRDefault="00000000">
      <w:pPr>
        <w:spacing w:before="40" w:after="40" w:line="360" w:lineRule="exact"/>
        <w:ind w:left="283" w:hanging="283"/>
        <w:rPr>
          <w:lang w:val="ru-RU"/>
        </w:rPr>
      </w:pPr>
      <w:r w:rsidRPr="00A03A07">
        <w:rPr>
          <w:rFonts w:ascii="Times New Roman" w:hAnsi="Times New Roman"/>
          <w:sz w:val="24"/>
          <w:lang w:val="ru-RU"/>
        </w:rPr>
        <w:t>[15] Портер М. Конкурентные преимущества наций: пер. с англ. — М.: Альпина Паблишер, 2016. — 947 с.</w:t>
      </w:r>
    </w:p>
    <w:p w14:paraId="0E323C3B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[16] Romer P. Endogenous Technological Change // Journal of Political Economy. — 1990. — Vol. 98, № 5. — P. S71–S102.</w:t>
      </w:r>
    </w:p>
    <w:p w14:paraId="383D56D6" w14:textId="77777777" w:rsidR="00D75655" w:rsidRPr="00A03A07" w:rsidRDefault="00000000">
      <w:pPr>
        <w:spacing w:before="40" w:after="40" w:line="360" w:lineRule="exact"/>
        <w:ind w:left="283" w:hanging="283"/>
        <w:rPr>
          <w:lang w:val="fr-FR"/>
        </w:rPr>
      </w:pPr>
      <w:r w:rsidRPr="00A03A07">
        <w:rPr>
          <w:rFonts w:ascii="Times New Roman" w:hAnsi="Times New Roman"/>
          <w:sz w:val="24"/>
          <w:lang w:val="fr-FR"/>
        </w:rPr>
        <w:t xml:space="preserve">[17] BCEAO. Rapport annuel 2024. — </w:t>
      </w:r>
      <w:proofErr w:type="gramStart"/>
      <w:r w:rsidRPr="00A03A07">
        <w:rPr>
          <w:rFonts w:ascii="Times New Roman" w:hAnsi="Times New Roman"/>
          <w:sz w:val="24"/>
          <w:lang w:val="fr-FR"/>
        </w:rPr>
        <w:t>Dakar:</w:t>
      </w:r>
      <w:proofErr w:type="gramEnd"/>
      <w:r w:rsidRPr="00A03A07">
        <w:rPr>
          <w:rFonts w:ascii="Times New Roman" w:hAnsi="Times New Roman"/>
          <w:sz w:val="24"/>
          <w:lang w:val="fr-FR"/>
        </w:rPr>
        <w:t xml:space="preserve"> BCEAO, 2024. — 204 p.</w:t>
      </w:r>
    </w:p>
    <w:p w14:paraId="24391A73" w14:textId="77777777" w:rsidR="00D75655" w:rsidRPr="00A03A07" w:rsidRDefault="00000000">
      <w:pPr>
        <w:spacing w:before="40" w:after="40" w:line="360" w:lineRule="exact"/>
        <w:ind w:left="283" w:hanging="283"/>
        <w:rPr>
          <w:lang w:val="fr-FR"/>
        </w:rPr>
      </w:pPr>
      <w:r w:rsidRPr="00A03A07">
        <w:rPr>
          <w:rFonts w:ascii="Times New Roman" w:hAnsi="Times New Roman"/>
          <w:sz w:val="24"/>
          <w:lang w:val="fr-FR"/>
        </w:rPr>
        <w:t>[18] Agence Nationale de Statistiques (</w:t>
      </w:r>
      <w:proofErr w:type="spellStart"/>
      <w:r w:rsidRPr="00A03A07">
        <w:rPr>
          <w:rFonts w:ascii="Times New Roman" w:hAnsi="Times New Roman"/>
          <w:sz w:val="24"/>
          <w:lang w:val="fr-FR"/>
        </w:rPr>
        <w:t>AnStat</w:t>
      </w:r>
      <w:proofErr w:type="spellEnd"/>
      <w:r w:rsidRPr="00A03A07">
        <w:rPr>
          <w:rFonts w:ascii="Times New Roman" w:hAnsi="Times New Roman"/>
          <w:sz w:val="24"/>
          <w:lang w:val="fr-FR"/>
        </w:rPr>
        <w:t>). Indicateurs Socio-Économiques 2024. — Abidjan, 2024. — 142 p.</w:t>
      </w:r>
    </w:p>
    <w:p w14:paraId="3DB864ED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lastRenderedPageBreak/>
        <w:t>[19] European Commission. EU Deforestation Regulation (EUDR) — Implementation Guidelines 2024. — Brussels: EC, 2024. — 56 p.</w:t>
      </w:r>
    </w:p>
    <w:p w14:paraId="6604A5F2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[20] Metcalfe R. M. Metcalfe's Law after 40 Years of Ethernet // Computer. — 2013. — Vol. 46, № 12. — P. 26–31.</w:t>
      </w:r>
    </w:p>
    <w:p w14:paraId="5B5F2A8D" w14:textId="77777777" w:rsidR="00D75655" w:rsidRPr="00A03A07" w:rsidRDefault="00000000">
      <w:pPr>
        <w:spacing w:before="40" w:after="40" w:line="360" w:lineRule="exact"/>
        <w:ind w:left="283" w:hanging="283"/>
        <w:rPr>
          <w:lang w:val="fr-FR"/>
        </w:rPr>
      </w:pPr>
      <w:r w:rsidRPr="00A03A07">
        <w:rPr>
          <w:rFonts w:ascii="Times New Roman" w:hAnsi="Times New Roman"/>
          <w:sz w:val="24"/>
          <w:lang w:val="fr-FR"/>
        </w:rPr>
        <w:t xml:space="preserve">[21] Port Autonome d'Abidjan. Rapport d'activités annuel 2024. — </w:t>
      </w:r>
      <w:proofErr w:type="gramStart"/>
      <w:r w:rsidRPr="00A03A07">
        <w:rPr>
          <w:rFonts w:ascii="Times New Roman" w:hAnsi="Times New Roman"/>
          <w:sz w:val="24"/>
          <w:lang w:val="fr-FR"/>
        </w:rPr>
        <w:t>Abidjan:</w:t>
      </w:r>
      <w:proofErr w:type="gramEnd"/>
      <w:r w:rsidRPr="00A03A07">
        <w:rPr>
          <w:rFonts w:ascii="Times New Roman" w:hAnsi="Times New Roman"/>
          <w:sz w:val="24"/>
          <w:lang w:val="fr-FR"/>
        </w:rPr>
        <w:t xml:space="preserve"> PAA, 2024. — 78 p.</w:t>
      </w:r>
    </w:p>
    <w:p w14:paraId="6CF043CE" w14:textId="77777777" w:rsidR="00D75655" w:rsidRDefault="00000000">
      <w:pPr>
        <w:spacing w:before="40" w:after="40" w:line="360" w:lineRule="exact"/>
        <w:ind w:left="283" w:hanging="283"/>
      </w:pPr>
      <w:r>
        <w:rPr>
          <w:rFonts w:ascii="Times New Roman" w:hAnsi="Times New Roman"/>
          <w:sz w:val="24"/>
        </w:rPr>
        <w:t>[22] WAEMU / UEMOA. Regional Integration Report 2024. — Dakar: WAEMU Commission, 2024. — 132 p.</w:t>
      </w:r>
    </w:p>
    <w:sectPr w:rsidR="00D75655" w:rsidSect="00034616">
      <w:pgSz w:w="11906" w:h="16838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170447">
    <w:abstractNumId w:val="8"/>
  </w:num>
  <w:num w:numId="2" w16cid:durableId="1508399371">
    <w:abstractNumId w:val="6"/>
  </w:num>
  <w:num w:numId="3" w16cid:durableId="1227959362">
    <w:abstractNumId w:val="5"/>
  </w:num>
  <w:num w:numId="4" w16cid:durableId="1704593775">
    <w:abstractNumId w:val="4"/>
  </w:num>
  <w:num w:numId="5" w16cid:durableId="980499656">
    <w:abstractNumId w:val="7"/>
  </w:num>
  <w:num w:numId="6" w16cid:durableId="269629410">
    <w:abstractNumId w:val="3"/>
  </w:num>
  <w:num w:numId="7" w16cid:durableId="1316565052">
    <w:abstractNumId w:val="2"/>
  </w:num>
  <w:num w:numId="8" w16cid:durableId="457381332">
    <w:abstractNumId w:val="1"/>
  </w:num>
  <w:num w:numId="9" w16cid:durableId="83966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3A07"/>
    <w:rsid w:val="00AA1D8D"/>
    <w:rsid w:val="00B47730"/>
    <w:rsid w:val="00BF137E"/>
    <w:rsid w:val="00CB0664"/>
    <w:rsid w:val="00D75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6F953"/>
  <w14:defaultImageDpi w14:val="300"/>
  <w15:docId w15:val="{D185134C-4669-469F-851D-8B5E8CF5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4616</Words>
  <Characters>26312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2</cp:revision>
  <dcterms:created xsi:type="dcterms:W3CDTF">2026-02-20T07:30:00Z</dcterms:created>
  <dcterms:modified xsi:type="dcterms:W3CDTF">2026-02-20T07:30:00Z</dcterms:modified>
  <cp:category/>
</cp:coreProperties>
</file>