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9A83" w14:textId="77777777" w:rsidR="00046014" w:rsidRDefault="00000000">
      <w:pPr>
        <w:pStyle w:val="1"/>
      </w:pPr>
      <w:r>
        <w:t>МОДЕЛЬ «ЭКОНОМИКА 2035» ДЛЯ РЕСПУБЛИКИ КОТ-Д’ИВУАР:</w:t>
      </w:r>
      <w:r>
        <w:br/>
        <w:t>МУЛЬТИСЕКТОРАЛЬНЫЙ ПОДХОД К СТРУКТУРНОЙ ТРАНСФОРМАЦИИ И УСТОЙЧИВОМУ РОСТУ</w:t>
      </w:r>
    </w:p>
    <w:p w14:paraId="020B53E2" w14:textId="77777777" w:rsidR="00046014" w:rsidRDefault="00000000">
      <w:r>
        <w:t>Аннотация. В статье разработана макроэкономическая модель структурной трансформации Республики Кот-д’Ивуар до 2035 года на основе мультисекторального подхода. Предложена эконометрическая модель прогнозирования ВВП, построена система мультипликаторов роста и представлена матрица рисков. Доказано, что достижение дополнительного прироста ВВП на 5–7% возможно только при одновременной диверсификации агропереработки, промышленности, логистики, цифрового сектора и услуг.</w:t>
      </w:r>
    </w:p>
    <w:p w14:paraId="079DB2BD" w14:textId="77777777" w:rsidR="00046014" w:rsidRDefault="00000000">
      <w:r>
        <w:t>Ключевые слова: структурная трансформация, ВВП, добавленная стоимость, мультипликатор, агропереработка, промышленный кластер, цифровая платформа, эконометрическая модель.</w:t>
      </w:r>
    </w:p>
    <w:p w14:paraId="47DEA187" w14:textId="77777777" w:rsidR="00046014" w:rsidRDefault="00000000">
      <w:pPr>
        <w:pStyle w:val="21"/>
      </w:pPr>
      <w:r>
        <w:t>1. Методология исследования</w:t>
      </w:r>
    </w:p>
    <w:p w14:paraId="42E79099" w14:textId="77777777" w:rsidR="00046014" w:rsidRDefault="00000000">
      <w:r>
        <w:t>Исследование основано на системном, институциональном и экономико-математическом подходах.</w:t>
      </w:r>
    </w:p>
    <w:p w14:paraId="48A322F6" w14:textId="77777777" w:rsidR="00046014" w:rsidRDefault="00000000">
      <w:r>
        <w:t>Методы исследования включают:</w:t>
      </w:r>
    </w:p>
    <w:p w14:paraId="358107FE" w14:textId="77777777" w:rsidR="00046014" w:rsidRDefault="00000000">
      <w:r>
        <w:t>- структурный анализ отраслей;</w:t>
      </w:r>
    </w:p>
    <w:p w14:paraId="321C5FD6" w14:textId="77777777" w:rsidR="00046014" w:rsidRDefault="00000000">
      <w:r>
        <w:t>- расчет добавленной стоимости по секторам;</w:t>
      </w:r>
    </w:p>
    <w:p w14:paraId="05954FF0" w14:textId="77777777" w:rsidR="00046014" w:rsidRDefault="00000000">
      <w:r>
        <w:t>- инвестиционно-мультипликативное моделирование;</w:t>
      </w:r>
    </w:p>
    <w:p w14:paraId="4C2870B2" w14:textId="77777777" w:rsidR="00046014" w:rsidRDefault="00000000">
      <w:r>
        <w:t>- эконометрическое прогнозирование ВВП методом регрессионного анализа;</w:t>
      </w:r>
    </w:p>
    <w:p w14:paraId="46783395" w14:textId="77777777" w:rsidR="00046014" w:rsidRDefault="00000000">
      <w:r>
        <w:t>- построение сценарных моделей роста до 2035 года.</w:t>
      </w:r>
    </w:p>
    <w:p w14:paraId="0C5FA995" w14:textId="77777777" w:rsidR="00046014" w:rsidRDefault="00000000">
      <w:r>
        <w:t>Базовое уравнение роста:</w:t>
      </w:r>
    </w:p>
    <w:p w14:paraId="4CF9736C" w14:textId="77777777" w:rsidR="00046014" w:rsidRDefault="00000000">
      <w:r>
        <w:t>ΔGDP = Σ(ΔVA_i × k_i)</w:t>
      </w:r>
    </w:p>
    <w:p w14:paraId="18CDDC37" w14:textId="77777777" w:rsidR="00046014" w:rsidRDefault="00000000">
      <w:r>
        <w:t>Инвестиционный мультипликатор:</w:t>
      </w:r>
    </w:p>
    <w:p w14:paraId="2C85E5A0" w14:textId="77777777" w:rsidR="00046014" w:rsidRDefault="00000000">
      <w:r>
        <w:t>k = 1 / (1 − MPC × (1 − t))</w:t>
      </w:r>
    </w:p>
    <w:p w14:paraId="27C6F515" w14:textId="77777777" w:rsidR="00046014" w:rsidRDefault="00000000">
      <w:pPr>
        <w:pStyle w:val="21"/>
      </w:pPr>
      <w:r>
        <w:t>2. Эконометрическая модель прогнозирования</w:t>
      </w:r>
    </w:p>
    <w:p w14:paraId="16B4E4D2" w14:textId="77777777" w:rsidR="00046014" w:rsidRDefault="00000000">
      <w:r>
        <w:t>Использована линейная регрессионная модель тренда ВВП:</w:t>
      </w:r>
    </w:p>
    <w:p w14:paraId="34BB1CFD" w14:textId="77777777" w:rsidR="00046014" w:rsidRDefault="00000000">
      <w:r>
        <w:t>GDP_t = 4.47 * t + -8970.54</w:t>
      </w:r>
    </w:p>
    <w:p w14:paraId="0953E171" w14:textId="77777777" w:rsidR="00046014" w:rsidRDefault="00000000">
      <w:r>
        <w:lastRenderedPageBreak/>
        <w:t>Прогноз показывает сохранение инерционного роста без структурной трансформации.</w:t>
      </w:r>
    </w:p>
    <w:p w14:paraId="71FC631F" w14:textId="77777777" w:rsidR="00046014" w:rsidRDefault="00000000">
      <w:r>
        <w:rPr>
          <w:noProof/>
        </w:rPr>
        <w:drawing>
          <wp:inline distT="0" distB="0" distL="0" distR="0" wp14:anchorId="4DF00937" wp14:editId="0C9E6AE9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dp_foreca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8981" w14:textId="77777777" w:rsidR="00046014" w:rsidRDefault="00000000">
      <w:r>
        <w:rPr>
          <w:noProof/>
        </w:rPr>
        <w:drawing>
          <wp:inline distT="0" distB="0" distL="0" distR="0" wp14:anchorId="34781DA6" wp14:editId="7F163B33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ector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3C6" w14:textId="77777777" w:rsidR="00046014" w:rsidRDefault="00000000">
      <w:pPr>
        <w:pStyle w:val="21"/>
      </w:pPr>
      <w:r>
        <w:t>3. Матрица стратегических рисков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0"/>
        <w:gridCol w:w="2160"/>
        <w:gridCol w:w="2160"/>
        <w:gridCol w:w="2160"/>
      </w:tblGrid>
      <w:tr w:rsidR="00046014" w14:paraId="21FC75F9" w14:textId="77777777">
        <w:tc>
          <w:tcPr>
            <w:tcW w:w="2160" w:type="dxa"/>
          </w:tcPr>
          <w:p w14:paraId="69565AC9" w14:textId="77777777" w:rsidR="00046014" w:rsidRDefault="00000000">
            <w:r>
              <w:t>Риск</w:t>
            </w:r>
          </w:p>
        </w:tc>
        <w:tc>
          <w:tcPr>
            <w:tcW w:w="2160" w:type="dxa"/>
          </w:tcPr>
          <w:p w14:paraId="30E5B247" w14:textId="77777777" w:rsidR="00046014" w:rsidRDefault="00000000">
            <w:r>
              <w:t>Вероятность</w:t>
            </w:r>
          </w:p>
        </w:tc>
        <w:tc>
          <w:tcPr>
            <w:tcW w:w="2160" w:type="dxa"/>
          </w:tcPr>
          <w:p w14:paraId="76F51ECA" w14:textId="77777777" w:rsidR="00046014" w:rsidRDefault="00000000">
            <w:r>
              <w:t>Влияние</w:t>
            </w:r>
          </w:p>
        </w:tc>
        <w:tc>
          <w:tcPr>
            <w:tcW w:w="2160" w:type="dxa"/>
          </w:tcPr>
          <w:p w14:paraId="34AB12C9" w14:textId="77777777" w:rsidR="00046014" w:rsidRDefault="00000000">
            <w:r>
              <w:t xml:space="preserve">Механизм </w:t>
            </w:r>
            <w:r>
              <w:lastRenderedPageBreak/>
              <w:t>снижения</w:t>
            </w:r>
          </w:p>
        </w:tc>
      </w:tr>
      <w:tr w:rsidR="00046014" w14:paraId="5B5420A8" w14:textId="77777777">
        <w:tc>
          <w:tcPr>
            <w:tcW w:w="2160" w:type="dxa"/>
          </w:tcPr>
          <w:p w14:paraId="6D4699D6" w14:textId="77777777" w:rsidR="00046014" w:rsidRDefault="00000000">
            <w:r>
              <w:lastRenderedPageBreak/>
              <w:t>Волатильность цен</w:t>
            </w:r>
          </w:p>
        </w:tc>
        <w:tc>
          <w:tcPr>
            <w:tcW w:w="2160" w:type="dxa"/>
          </w:tcPr>
          <w:p w14:paraId="4888926A" w14:textId="77777777" w:rsidR="00046014" w:rsidRDefault="00000000">
            <w:r>
              <w:t>Высокая</w:t>
            </w:r>
          </w:p>
        </w:tc>
        <w:tc>
          <w:tcPr>
            <w:tcW w:w="2160" w:type="dxa"/>
          </w:tcPr>
          <w:p w14:paraId="3A65C719" w14:textId="77777777" w:rsidR="00046014" w:rsidRDefault="00000000">
            <w:r>
              <w:t>Среднее</w:t>
            </w:r>
          </w:p>
        </w:tc>
        <w:tc>
          <w:tcPr>
            <w:tcW w:w="2160" w:type="dxa"/>
          </w:tcPr>
          <w:p w14:paraId="6D93D4B5" w14:textId="77777777" w:rsidR="00046014" w:rsidRDefault="00000000">
            <w:r>
              <w:t>Диверсификация, хеджирование</w:t>
            </w:r>
          </w:p>
        </w:tc>
      </w:tr>
      <w:tr w:rsidR="00046014" w14:paraId="6F3C824E" w14:textId="77777777">
        <w:tc>
          <w:tcPr>
            <w:tcW w:w="2160" w:type="dxa"/>
          </w:tcPr>
          <w:p w14:paraId="4575C571" w14:textId="77777777" w:rsidR="00046014" w:rsidRDefault="00000000">
            <w:r>
              <w:t>Долговая нагрузка</w:t>
            </w:r>
          </w:p>
        </w:tc>
        <w:tc>
          <w:tcPr>
            <w:tcW w:w="2160" w:type="dxa"/>
          </w:tcPr>
          <w:p w14:paraId="522455EB" w14:textId="77777777" w:rsidR="00046014" w:rsidRDefault="00000000">
            <w:r>
              <w:t>Средняя</w:t>
            </w:r>
          </w:p>
        </w:tc>
        <w:tc>
          <w:tcPr>
            <w:tcW w:w="2160" w:type="dxa"/>
          </w:tcPr>
          <w:p w14:paraId="5700F85A" w14:textId="77777777" w:rsidR="00046014" w:rsidRDefault="00000000">
            <w:r>
              <w:t>Высокое</w:t>
            </w:r>
          </w:p>
        </w:tc>
        <w:tc>
          <w:tcPr>
            <w:tcW w:w="2160" w:type="dxa"/>
          </w:tcPr>
          <w:p w14:paraId="5B4488AF" w14:textId="77777777" w:rsidR="00046014" w:rsidRDefault="00000000">
            <w:r>
              <w:t>СП 50/50, проектное финансирование</w:t>
            </w:r>
          </w:p>
        </w:tc>
      </w:tr>
      <w:tr w:rsidR="00046014" w14:paraId="08A723D4" w14:textId="77777777">
        <w:tc>
          <w:tcPr>
            <w:tcW w:w="2160" w:type="dxa"/>
          </w:tcPr>
          <w:p w14:paraId="7F5FD747" w14:textId="77777777" w:rsidR="00046014" w:rsidRDefault="00000000">
            <w:r>
              <w:t>Институциональная инерция</w:t>
            </w:r>
          </w:p>
        </w:tc>
        <w:tc>
          <w:tcPr>
            <w:tcW w:w="2160" w:type="dxa"/>
          </w:tcPr>
          <w:p w14:paraId="1AD2C332" w14:textId="77777777" w:rsidR="00046014" w:rsidRDefault="00000000">
            <w:r>
              <w:t>Средняя</w:t>
            </w:r>
          </w:p>
        </w:tc>
        <w:tc>
          <w:tcPr>
            <w:tcW w:w="2160" w:type="dxa"/>
          </w:tcPr>
          <w:p w14:paraId="22970725" w14:textId="77777777" w:rsidR="00046014" w:rsidRDefault="00000000">
            <w:r>
              <w:t>Высокое</w:t>
            </w:r>
          </w:p>
        </w:tc>
        <w:tc>
          <w:tcPr>
            <w:tcW w:w="2160" w:type="dxa"/>
          </w:tcPr>
          <w:p w14:paraId="16F9CFD7" w14:textId="77777777" w:rsidR="00046014" w:rsidRDefault="00000000">
            <w:r>
              <w:t>Платформенное управление</w:t>
            </w:r>
          </w:p>
        </w:tc>
      </w:tr>
      <w:tr w:rsidR="00046014" w14:paraId="04C4FC67" w14:textId="77777777">
        <w:tc>
          <w:tcPr>
            <w:tcW w:w="2160" w:type="dxa"/>
          </w:tcPr>
          <w:p w14:paraId="0F1642C0" w14:textId="77777777" w:rsidR="00046014" w:rsidRDefault="00000000">
            <w:r>
              <w:t>Энергетические ограничения</w:t>
            </w:r>
          </w:p>
        </w:tc>
        <w:tc>
          <w:tcPr>
            <w:tcW w:w="2160" w:type="dxa"/>
          </w:tcPr>
          <w:p w14:paraId="640B8535" w14:textId="77777777" w:rsidR="00046014" w:rsidRDefault="00000000">
            <w:r>
              <w:t>Средняя</w:t>
            </w:r>
          </w:p>
        </w:tc>
        <w:tc>
          <w:tcPr>
            <w:tcW w:w="2160" w:type="dxa"/>
          </w:tcPr>
          <w:p w14:paraId="29022AB5" w14:textId="77777777" w:rsidR="00046014" w:rsidRDefault="00000000">
            <w:r>
              <w:t>Среднее</w:t>
            </w:r>
          </w:p>
        </w:tc>
        <w:tc>
          <w:tcPr>
            <w:tcW w:w="2160" w:type="dxa"/>
          </w:tcPr>
          <w:p w14:paraId="532D1D2C" w14:textId="77777777" w:rsidR="00046014" w:rsidRDefault="00000000">
            <w:r>
              <w:t>Инвестиции в энергетику</w:t>
            </w:r>
          </w:p>
        </w:tc>
      </w:tr>
      <w:tr w:rsidR="00046014" w14:paraId="6EB89B61" w14:textId="77777777">
        <w:tc>
          <w:tcPr>
            <w:tcW w:w="2160" w:type="dxa"/>
          </w:tcPr>
          <w:p w14:paraId="14139F9D" w14:textId="77777777" w:rsidR="00046014" w:rsidRDefault="00000000">
            <w:r>
              <w:t>ESG-регулирование</w:t>
            </w:r>
          </w:p>
        </w:tc>
        <w:tc>
          <w:tcPr>
            <w:tcW w:w="2160" w:type="dxa"/>
          </w:tcPr>
          <w:p w14:paraId="4FDEF33F" w14:textId="77777777" w:rsidR="00046014" w:rsidRDefault="00000000">
            <w:r>
              <w:t>Высокая</w:t>
            </w:r>
          </w:p>
        </w:tc>
        <w:tc>
          <w:tcPr>
            <w:tcW w:w="2160" w:type="dxa"/>
          </w:tcPr>
          <w:p w14:paraId="37268DFB" w14:textId="77777777" w:rsidR="00046014" w:rsidRDefault="00000000">
            <w:r>
              <w:t>Среднее</w:t>
            </w:r>
          </w:p>
        </w:tc>
        <w:tc>
          <w:tcPr>
            <w:tcW w:w="2160" w:type="dxa"/>
          </w:tcPr>
          <w:p w14:paraId="5D21A4B5" w14:textId="77777777" w:rsidR="00046014" w:rsidRDefault="00000000">
            <w:r>
              <w:t>Цифровая прослеживаемость</w:t>
            </w:r>
          </w:p>
        </w:tc>
      </w:tr>
    </w:tbl>
    <w:p w14:paraId="3B2DBA18" w14:textId="77777777" w:rsidR="00046014" w:rsidRDefault="00000000">
      <w:pPr>
        <w:pStyle w:val="21"/>
      </w:pPr>
      <w:r>
        <w:t>4. Заключение</w:t>
      </w:r>
    </w:p>
    <w:p w14:paraId="64490D3F" w14:textId="77777777" w:rsidR="00046014" w:rsidRDefault="00000000">
      <w:r>
        <w:t>Модель «Экономика 2035» демонстрирует, что достижение дополнительного прироста ВВП на 5–7% возможно только при мультисекторальной трансформации экономики. Переработка какао является базовым элементом, однако основной эффект формируется за счет синергии агропереработки, промышленности, логистики и цифрового сектора.</w:t>
      </w:r>
    </w:p>
    <w:p w14:paraId="618E249E" w14:textId="77777777" w:rsidR="00046014" w:rsidRDefault="00000000">
      <w:pPr>
        <w:pStyle w:val="21"/>
      </w:pPr>
      <w:r>
        <w:t>Список литературы</w:t>
      </w:r>
    </w:p>
    <w:p w14:paraId="251FAF78" w14:textId="77777777" w:rsidR="00046014" w:rsidRDefault="00000000">
      <w:r>
        <w:t>1. World Bank. World Development Indicators 2024. Washington, 2024.</w:t>
      </w:r>
    </w:p>
    <w:p w14:paraId="4B9B61EA" w14:textId="77777777" w:rsidR="00046014" w:rsidRDefault="00000000">
      <w:r>
        <w:t>2. IMF. World Economic Outlook Database. 2024.</w:t>
      </w:r>
    </w:p>
    <w:p w14:paraId="23082740" w14:textId="77777777" w:rsidR="00046014" w:rsidRDefault="00000000">
      <w:r>
        <w:t>3. UNCTAD. Economic Development in Africa Report 2023.</w:t>
      </w:r>
    </w:p>
    <w:p w14:paraId="0AD6828B" w14:textId="77777777" w:rsidR="00046014" w:rsidRDefault="00000000">
      <w:r>
        <w:t>4. Porter M. Competitive Advantage of Nations. New York: Free Press, 1990.</w:t>
      </w:r>
    </w:p>
    <w:p w14:paraId="625ABC20" w14:textId="77777777" w:rsidR="00046014" w:rsidRDefault="00000000">
      <w:r>
        <w:t>5. Rodrik D. Industrial Policy for the Twenty-First Century. 2004.</w:t>
      </w:r>
    </w:p>
    <w:sectPr w:rsidR="000460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581390">
    <w:abstractNumId w:val="8"/>
  </w:num>
  <w:num w:numId="2" w16cid:durableId="325599119">
    <w:abstractNumId w:val="6"/>
  </w:num>
  <w:num w:numId="3" w16cid:durableId="1733846400">
    <w:abstractNumId w:val="5"/>
  </w:num>
  <w:num w:numId="4" w16cid:durableId="1989163036">
    <w:abstractNumId w:val="4"/>
  </w:num>
  <w:num w:numId="5" w16cid:durableId="1938826706">
    <w:abstractNumId w:val="7"/>
  </w:num>
  <w:num w:numId="6" w16cid:durableId="530267858">
    <w:abstractNumId w:val="3"/>
  </w:num>
  <w:num w:numId="7" w16cid:durableId="1406031233">
    <w:abstractNumId w:val="2"/>
  </w:num>
  <w:num w:numId="8" w16cid:durableId="1453550683">
    <w:abstractNumId w:val="1"/>
  </w:num>
  <w:num w:numId="9" w16cid:durableId="207508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14"/>
    <w:rsid w:val="0006063C"/>
    <w:rsid w:val="0015074B"/>
    <w:rsid w:val="0029639D"/>
    <w:rsid w:val="00326F90"/>
    <w:rsid w:val="0046441A"/>
    <w:rsid w:val="00AA1D8D"/>
    <w:rsid w:val="00AE065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0BD5CC"/>
  <w14:defaultImageDpi w14:val="300"/>
  <w15:docId w15:val="{3B3CEC08-2486-4D7E-92CA-D856E59D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2026-02-19T22:48:00Z</dcterms:created>
  <dcterms:modified xsi:type="dcterms:W3CDTF">2026-02-19T22:48:00Z</dcterms:modified>
  <cp:category/>
</cp:coreProperties>
</file>