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72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spacing w:before="80" w:after="80" w:line="280"/>
        <w:ind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7A6C55"/>
          <w:sz w:val="22"/>
          <w:szCs w:val="22"/>
        </w:rPr>
        <w:t xml:space="preserve">ИННОВАЦИОННЫЙ ПРОЕКТ</w:t>
      </w:r>
    </w:p>
    <w:p>
      <w:pPr>
        <w:spacing w:before="60" w:after="8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52"/>
          <w:szCs w:val="52"/>
        </w:rPr>
        <w:t xml:space="preserve">«Берег Восхода»</w:t>
      </w:r>
    </w:p>
    <w:p>
      <w:pPr>
        <w:pBdr>
          <w:bottom w:val="single" w:color="2C4A2E" w:sz="8" w:space="6"/>
        </w:pBd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2"/>
          <w:szCs w:val="22"/>
        </w:rPr>
        <w:t xml:space="preserve">Республика Кот-д'Ивуар  ·  Макромодель «Экономика 2035»</w:t>
      </w:r>
    </w:p>
    <w:p>
      <w:pPr>
        <w:spacing w:before="80" w:after="20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color w:val="0F2640"/>
          <w:sz w:val="28"/>
          <w:szCs w:val="28"/>
        </w:rPr>
        <w:t xml:space="preserve">Механизм работы платформенной модели:</w:t>
      </w:r>
    </w:p>
    <w:p>
      <w:pPr>
        <w:spacing w:before="0" w:after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потоки добавленной стоимости от кластера к кластеру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2"/>
          <w:szCs w:val="22"/>
        </w:rPr>
        <w:t xml:space="preserve">Академический аналитический отчёт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Разделы 3.1 · 3.3  |  Интегральная математическая модель</w:t>
      </w:r>
    </w:p>
    <w:p>
      <w:pPr>
        <w:pageBreakBefore/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Методологическое примечание: 6 кластеров vs. 9 кластеров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Прежде чем перейти к описанию механизма работы платформы, необходимо устранить потенциальный логический конфликт между разделами 3.1 и 3.3, связанный с числом кластеров. Раздел 3.1 оперирует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шестью кластерами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— агропереработка, порт, СЭЗ, цифровая платформа, образование/R&amp;D, зелёная энергетика — как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инвестиционным ядром проекта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для которого построены таблицы CAPEX–ΔVA–k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расчёт +14,5% к ВВП и анализ мультипликаторов. Раздел 3.3, напротив, работает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девятью кластерами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(K = {1,…,9}), добавляя к базовой шестёрке финансово-инвестиционный (k=7), социально-урбанистический (k=8) и экологический (k=9) кластеры.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Расширение с шести до девяти методологически оправдано: 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Во-первых,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интегральная целевая функция F(x) включает не только ΔY и ΔL, но и ΔS (социальный эффект), ΔE (экологическая нагрузка) и R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(совокупный риск). Без выделенных кластеров k=7–9 эти компоненты становятся пассивными «побочными» переменными, не управляемыми через отдельные x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Добавление трёх кластеров делает ΔS, ΔE и R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контролируемыми.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Во-вторых,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современная повестка SDGs, ESG и Парижского соглашения требует, чтобы социальная инклюзивность, урбанистика и климатическая адаптация выступали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самостоятельными направлениями инвестиций и политики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а не примечаниями к ограничениям.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В-третьих,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финансовый кластер (k=7) в платформенной логике агрегирует банки, ESG-фонды, green bonds и инструменты project finance, самостоятельно генерируя ΔY₇ и управляя стоимостью капитала для всего портфеля.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Формально вводятся обозначения: 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K_core = {1,…,6}  —  инвестиционное ядро (раздел 3.1)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K_ext  = {7, 8, 9}  —  кластеры качества роста (раздел 3.3)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 = K_core ∪ K_ext = {1,…,9}  —  полная платформенная архитектура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Таким образом, шестикластерная конфигурация выступает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инвестиционным ядром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проекта, тогда как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девятикластерная платформа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описывает полную экосистему устойчивого развития прибрежной зоны Республики Кот-д'Ивуар.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1. Интегральная целевая функция: от потоков к оптимизации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«Берег Восхода» спроектирован не как портфель девяти независимых инвестиций, а как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единая платформенная система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в которой каждый кластер одновременно является: (i) генератором добавленной стоимости ΔY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; (ii) потребителем ресурсов (энергии, кадров, финансов, инфраструктуры); и (iii) инфраструктурным условием реализации других кластеров. Центральный аналитический инструмент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интегральная целевая функция F(x)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F(x) = w_Y·(ΔY/Y₀) + w_L·(ΔL/L₀) + w_S·(ΔS/S₀) − w_E·(ΔE/E₀) − w_R·(RΣ/R₀) → max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где все пять слагаемых нормированы на базовые значения Y₀, L₀, S₀, E₀, R₀, что приводит их к единой безразмерной шкале и обеспечивает корректность сложения разнородных эффектов. Весовые коэффициенты удовлетворяют условию нормировки: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w_Y + w_L + w_S + w_E + w_R = 1,   w_i ≥ 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Аргументами F(x) являются переменные степени реализации кластеров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 ∈ [0; 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где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означает полное отсутствие реализации, а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 =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— полное достижение проектного сценария. Совокупный прирост ВДС складывается из прямых вкладов кластеров и синергетических эффектов их взаимодействия: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 = Σₖ∈K xₖ·ΔYₖ  +  Σₖ﹤ⱼ γₖⱼ·xₖ·xⱼ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(3)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Суммирование синергии по парам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 &lt; 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(а не по всем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 ≠ 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 исключает двойной счёт коэффициентов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γₖⱼ = γⱼₖ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Интегральный риск аналогично: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RΣ = Σₖ∈K xₖ·Rₖ  +  Σₖ﹤ⱼ ρₖⱼ·xₖ·xⱼ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(4)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Глобальное бюджетное ограничение связывает все кластеры в единый инвестиционный портфель: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Σₖ∈K xₖ·Iₖ ≤ I^budget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(5)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Задача оптимизации состоит в поиске вектора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x* = (x₁*,…,x₉*)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максимизирующего F(x) при выполнении ресурсных, технологических, социальных и экологических ограничений, рассмотренных в следующих разделах.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2. Кластер I: Агропереработка и какао-индустрия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1 · Экономическое ядро · CAPEX: 2,75 млрд USD · ΔY₁^max ≈ 3,5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2.1. Внутренний механизм генерации ΔY₁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 является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первичным источником экспортной ренты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системе «Берег Восхода». Экономическая логика строится на переходе от экспорта сырого какао-боба (≈ 1 500 USD/т) к экспорту продукции глубокой переработки — масла, порошка, фармацевтических и косметических ингредиентов (до 12 000 USD/т). Восьмикратный рост удельной цены при сохранении и наращивании объёма переработки формирует основную часть ΔY₁: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ΔY₁(x₁) = x₁ · ΔY₁^max,   ΔY₁^max ≈ 3,5 млрд USD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(6)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Структурно ΔY₁ декомпозируется на три компоненты: (i) ценовая рента глубокого передела (разница в ценах между сырьём и готовой продукцией); (ii) сокращение потерь на стадиях хранения и транспортировки за счёт модернизации инфраструктуры; (iii) расширение рынков сбыта — доступ к рынкам ЕС обеспечивается соответствием регламенту EUDR через блокчейн-прослеживаемость.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Инвестиционный мультипликатор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k₁ = 1,80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трактуется как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общеэкономический мультипликатор Кейнса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 1 USD вложений в кластер I генерирует 1,80 USD суммарного прироста ВДС в экономике прибрежной зоны. Он не равен соотношению ΔVA / CAPEX (что дало бы 3,5/2,75 = 1,27) — именно это является источником ошибочной интерпретации данных таблицы 3.1.2.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2.2. Потоки добавленной стоимости от Кластера 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‹физический поток: готовая продукция на экспорт›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Рост объёмов высокомаржинальной экспортной продукции непосредственно увеличивает грузооборот портовых терминалов. Технологическое ограничение предшествующей зависимости: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x₁ ≤ x₂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(7)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Агропереработка не может развиваться выше уровня пропускной способности портовой инфраструктуры.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Цифровая платформа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‹данные: блокчейн-трейсабилити, EUDR-сертификация›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Каждая партия переработанного какао требует цифровой прослеживаемости (ферма → порт → покупатель). Это формирует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поток данных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с кластера I в цифровую платформу, создавая нагрузку на модули IoT-мониторинга и блокчейн-верификации. Ограничение: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x₁ ≤ x₄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(8)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промышленное электроснабжение›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Восемь–десять перерабатывающих комплексов являются крупными потребителями промышленной электроэнергии. Без минимально допустимого уровня энергоснабжения производственные мощности кластера I не могут быть введены в эксплуатацию: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x₁ ≤ x₆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(9)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‹обратный поток: биомасса из отходов → биоэнергетика›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Какао-жмых и скорлупа передаются в Кластер VI как сырьё для биоэнергетических установок (расчётная мощность — 1,5 ГВт). Это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замыкает производственный цикл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создаёт синергетический эффект: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γ₁₆ &gt; 0 : ΔY(x₁,x₆) &gt; x₁·ΔY₁ + x₆·ΔY₆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(10)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 · Образование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‹кадровый поток: спрос на агротехников и биотехнологов›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Потребность в квалифицированных кадрах для перерабатывающих производств формирует спрос на выпускников технических училищ и университетских программ кластера V, фиксируемый переменной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HR₁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ресурсном ограничении кластера I.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3. Кластер II: Портово-логистический хаб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2 · Логистический шлюз · CAPEX: 2,20 млрд USD · ΔY₂^max ≈ 2,5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3.1. Механизм генерации ΔY₂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Порт Абиджана — крупнейший в Западной Африке — обслуживает транзит стран Сахеля (Буркина-Фасо, Мали, Нигер). Модернизация предполагает расширение пропускной способности с 31 до 52 млн т/год и создание «умного порта» на основе AI-оптимизации грузопотоков (снижение операционных издержек на 18–22%):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ΔY₂(x₂) = x₂ · ΔY₂^max,   ΔY₂^max ≈ 2,5 млрд USD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(11)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ΔY₂ формируется как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собственная ВДС логистических услуг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(портовые сборы, терминальная обработка, складирование) плюс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косвенный эффект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снижения логистических издержек для всех зависимых кластеров.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3.2. Потоки от Кластера II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‹инфраструктура: специализированные экспортные терминалы›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‹инфраструктура: импорт компонентов + экспорт готовой продукции›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II является логистическим шлюзом для кластеров I и III. Ограничения технологической предшествующей зависимости фиксируют этот факт: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x₁ ≤ x₂   и   x₃ ≤ x₂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(12)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Цифровая платформа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‹данные: Единое информационное окно, AI-управление грузопотоками›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Единое информационное окно (Single Window) — цифровой сервис платформы, встроенный в операционный контур порта. Порт зависит от платформы (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x₂ ≤ x₄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), но и сам является крупнейшим источником транзакционных данных, повышающих ценность платформы по закону Меткалфа: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V(n) = β · n²,   при n ≈ 12 000 → V ≈ 2,16 млрд USD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(13)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электроснабжение контейнерных терминалов и холодовой логистики›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Контейнерные краны, рефрижераторные терминалы и холодовые склады (cold chain) требуют стабильного энергоснабжения: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x₂ ≤ x₆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4. Кластер III: Индустриально-производственный (СЭЗ)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3 · Наибольший CAPEX · 3,50 млрд USD · ΔY₃^max ≈ 4,5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4.1. Механизм генерации ΔY₃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III — наибольший по CAPEX (3,50 млрд USD) и абсолютному вкладу в ВВП (+3,5% от базового ВВП прибрежной зоны). Сеть специальных экономических зон нацелена на импортозамещение и экспорт в рамках AfCFTA, целевая доля рынка — 13,5% совокупного импорта промышленных товаров региона (28 млрд USD):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ΔY₃(x₃) = x₃ · ΔY₃^max,   ΔY₃^max ≈ 4,5 млрд USD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(14)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ΔY₃ образуется за счёт локализации цепочек добавленной стоимости: пищевой АПК-переработки, нефтехимии на базе шельфовой нефти (38 тыс. барр./сут.), лёгкой промышленности и металлообработки.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4.2. Потоки от Кластера III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‹физический поток: импорт сырья и компонентов, экспорт готовых изделий›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дополнительно 600–800 МВт промышленной нагрузки›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x₃ ≤ x₂   и   x₃ ≤ x₆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(15)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VIII · Социально-урбанистический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‹демографический поток: рабочие места → урбанизация → спрос на жильё и услуги›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Занятость в СЭЗ (&gt;100 тыс. человек к 2035 г.) формирует спрос на жильё, городскую инфраструктуру и социальные услуги. Масштаб кластера VIII ограничен размером экономической базы через исправленное ограничение: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x₈ ≤ (x₁ + x₂ + x₃) / 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(16)</w:t>
      </w:r>
    </w:p>
    <w:p>
      <w:pPr>
        <w:spacing w:before="40" w:after="4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Нормировка на 3 принципиальна: при полной реализации экономических кластеров (x₁=x₂=x₃=1) правая часть равна 1, и ограничение остаётся содержательным. Без нормировки (исходная запись x₈ ≤ x₁+x₂+x₃) правая часть достигала 3 при единичном x₈ — ограничение становилось тривиально выполненным.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5. Кластер IV: Цифровая платформа — координационное ядро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4 · КРИТИЧЕСКИЙ КЛАСТЕР · CAPEX: 1,25 млрд USD · ΔY₄^max ≈ 2,5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5.1. Особый статус: мультипликатор мультипликаторов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Цифровая платформа занимает центральное место в архитектуре не столько по прямой добавленной стоимости, сколько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мультипликативному воздействию на все остальные кластеры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При CAPEX 1,25 млрд USD (9,5% суммарного портфеля) она генерирует прямую ВДС 2,5 млрд USD с мультипликатором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k₄ ≈ 2,00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повышает мультипликаторы остальных кластеров на 38% через снижение транзакционных издержек.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Ценность платформы при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участниках описывается законом Меткалфа: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V(n) = β · n²,   при n ≈ 12 000 → V ≈ 2,16 млрд USD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(17)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Поскольку платформа является системообразующим элементом, для неё установлено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критическое нижнее ограничение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реализации (исправленное в ходе аудита — в исходной схеме ошибочно фигурировало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0 ≤ x₄ ≤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x₄^min ≤ x₄ ≤ 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(18)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5.2. Потоки от Кластера IV — единственный кластер с исходящими потоками ко всем восьми остальным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‹услуга: блокчейн-трейсабилити, EUDR-сертификация›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‹услуга: Единое окно, AI-оптимизация грузопотоков›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‹услуга: электронные контракты, ESG-мониторинг›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 · Образование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‹услуга: HR-платформа, дистанционное обучение›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‹данные: IoT-мониторинг сетей, оптимизация нагрузки›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 · Финансовый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‹услуга: финтех-сервисы, платформа проектного финансирования›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VIII · Социальный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‹услуга: GovTech, цифровые госуслуги›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IX · Экологический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‹данные: IoT-мониторинг экосистем, климатические индикаторы›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Снижение транзакционных издержек в каждом кластере-получателе увеличивает его эффективный мультипликатор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тем самым повышает итоговое значение F(x). Это математически выражается в положительных коэффициентах синергии: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γ₄ⱼ &gt; 0   для всех j ∈ {1,2,3,5,6,7,8,9}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(19)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6. Кластер V: Образование и R&amp;D — кадровый суверенитет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5 · КРИТИЧЕСКИЙ КЛАСТЕР · CAPEX: 0,90 млрд USD · ΔY₅^max ≈ 1,2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6.1. Механизм генерации ΔY₅: видимый и скрытый вклад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 — наименьший по CAPEX (0,90 млрд USD), но критически важный для долгосрочной устойчивости проекта. Прямая ВДС (1,2 млрд USD) представляет лишь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видимую часть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совокупного вклада; значительно больший эффект проявляется через рост совокупной факторной производительности (TFP) в производственных кластерах: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ΔY₅ → ΔTFP → {ΔY₁, ΔY₂, ΔY₃, ΔY₆}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(20)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Без кластера V высокие мультипликаторы промышленных кластеров не будут реализованы из-за дефицита квалифицированных кадров. Критическое ограничение: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x₅^min ≤ x₅ ≤ 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(21)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6.2. Кадровые потоки от Кластера V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 · Образование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‹кадры: агротехники, биотехнологи, технологи пищевой промышленности›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 · Образование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‹кадры: инженеры, технологи, специалисты по производству›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 · Образование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Цифровая платформа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‹кадры: IT-специалисты, аналитики данных, DevOps›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 · Образование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‹кадры: энергетики, ESG-инженеры, специалисты ВИЭ›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Трёхуровневая структура кластера (технические училища → университеты → R&amp;D-технопарки при СЭЗ) соответствует пирамиде квалификаций, требуемых в системе. Дуальная модель образования, интегрированная с производством, сокращает временной лаг между выпуском специалиста и его вкладом в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соответствующего кластера.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7. Кластер VI: Энергетика и ESG — инфраструктурный якорь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6 · КРИТИЧЕСКИЙ КЛАСТЕР · CAPEX: 2,50 млрд USD · ΔY₆^max ≈ 1,8 млрд USD + 1,45 млрд USD/год карбон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7.1. Двойственная роль: ресурс и источник дохода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VI занимает исключительное положение в системе: он одновременно является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условием функционирования всех производственных кластеров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самостоятельным источником ВДС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через продажу углеродных кредитов (прогноз — 1,45 млрд USD/год к 2035 г.):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ΔY₆(x₆) = x₆·(ΔY₆^energy + ΔY₆^carbon),   ΔY₆^max ≈ 1,8 млрд USD (прямая ВДС)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(22)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Поскольку ни один производственный кластер не может функционировать без надёжного энергоснабжения, для VI установлено критическое ограничение: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x₆^min ≤ x₆ ≤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Это порождает цепочку ограничений предшествующей зависимости: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x₁ ≤ x₆,   x₂ ≤ x₆,   x₃ ≤ x₆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(23)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7.2. Потоки от Кластера VI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 · Агропереработка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промышленное электроснабжение перерабатывающих комплексов›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 · Порт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электроснабжение терминалов и холодовой логистики›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III · СЭЗ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600–800 МВт промышленной нагрузки›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Энергетика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VIII · Социальный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‹ресурс: коммунальное электроснабжение городских районов›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ESG-статус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 · Финансовый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‹обратный поток: ESG-рейтинг → доступ к «зелёным» облигациям›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Структура генерации: солнечная энергетика (0,3 → 5,0 ГВт), гидроэнергетика (0,2 → 2,2 ГВт), биоэнергетика на отходах агросектора (1,5 ГВт). ESG-статус кластера обеспечивает преференциальный доступ к «зелёным» финансовым инструментам кластера VII, формируя синергию: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γ₆₇ &gt;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8. Кластер VII: Финансово-инвестиционный — стоимость капитала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7 · Расширяющий кластер K_ext · управление R_Σ и стоимостью капитала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VII выполняет функцию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финансового катализатора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 снижение стоимости капитала для всех остальных кластеров увеличивает их рентабельность и фактически реализуемый уровень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Прямая ВДС кластера (финансовые услуги, страхование, гарантии) — 1,8 млрд USD, но его главный вклад в F(x) — снижение составляющей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wR·(RΣ/R₀)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интегральной целевой функции. В платформенной логике кластер VII агрегирует банки, ESG-фонды, green bonds, инструменты project finance и гарантийные механизмы, обеспечивая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финансовую связность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всей системы.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Введение кластера VII как отдельного блока (K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ext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 обосновано именно тем, что финансы в платформенной логике — не пассивный «источник CAPEX» каждого кластера, 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самостоятельный узел управления рисками и стоимостью капитала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самостоятельно генерирующий ΔY₇ и R₇.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 · Финансовый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Кластеры I–VI, VIII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‹финансовый поток: снижение стоимости капитала, проектное финансирование›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 · ESG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 · Финансовый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‹обратный поток: ESG-рейтинг открывает доступ к «зелёным» облигациям›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IV · Платформа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 · Финансовый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‹данные: финтех-сервисы, цифровая платёжная инфраструктура›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9. Кластеры VIII–IX: Качество и устойчивость роста</w:t>
      </w:r>
    </w:p>
    <w:p>
      <w:pPr>
        <w:shd w:fill="E8EEE8" w:val="clear"/>
        <w:spacing w:before="40"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3A5A3C"/>
          <w:sz w:val="20"/>
          <w:szCs w:val="20"/>
        </w:rPr>
        <w:t xml:space="preserve">k = 8, 9 · Расширяющие кластеры K_ext · управление ΔS и ΔE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9.1. Кластер VIII — Социально-инклюзивный и урбанистический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VIII является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принимающей стороной демографических потоков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от кластеров I–III: рабочие места в производстве, логистике и СЭЗ порождают спрос на жильё, коммунальную инфраструктуру, здравоохранение и образование. Прирост ВДС кластера: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ΔY₈(x₈) = x₈ · ΔY₈^max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(24)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Ограничение (16) —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x₈ ≤ (x₁+x₂+x₃)/3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— обеспечивает принцип сбалансированного роста: масштаб городского развития не опережает экономическую базу. Кластер VIII, в свою очередь, формирует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обратный поток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F(x): улучшение качества жизни и снижение социальной напряжённости учитываются в составляющей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wS·(ΔS/S₀)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Кластеры I–III · Экономика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VIII · Социальный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‹демографический поток: занятость и урбанизация›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VIII · Социальный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F(x) · Целевая функция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‹вклад: wS·(ΔS/S₀) — нормированный социальный эффект›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VIII · Социальный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IX · Экологический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‹нагрузочный поток: рост антропогенного давления на экосистемы›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9.2. Кластер IX — Экологический и климатический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IX реализует концепцию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опережающего природоохранного развития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 по мере роста промышленной и урбанистической нагрузки на прибрежные экосистемы кластер IX должен усиливаться пропорционально: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x₉ ≥ x₉^min(x₁, x₂, x₃, x₈)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(25)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ΔY₉ включает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избежанные потери ВДС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других кластерах (снижение ущерба от наводнений, эрозии побережья), доходы от карбоновых кредитов и экосистемных услуг. Экологическая нагрузка ΔE учитывается в целевой функции с отрицательным знаком: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−wE·(ΔE/E₀),   ΔE = Σₖ∈K xₖ·Eₖ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(26)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IX · Экологический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F(x) · Целевая функция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‹вклад: −wE·(ΔE/E₀) — снижение нагрузки уменьшает штраф›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IX · Экологический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2C4A2E"/>
          <w:sz w:val="26"/>
          <w:szCs w:val="26"/>
        </w:rPr>
        <w:t xml:space="preserve">  →  </w:t>
      </w: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22"/>
          <w:szCs w:val="22"/>
        </w:rPr>
        <w:t xml:space="preserve">Кластер VII · Финансовый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‹доходы: карбоновые кредиты через EU ETS и Gold Standard›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10. Полная система уравнений платформенной модели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Сводя воедино механизмы генерации ΔY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межкластерные потоки, получаем полную запись задачи оптимизации кластерной архитектуры «Берег Восхода»: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Целевая функция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max F(x) = wY·(ΔY/Y₀) + wL·(ΔL/L₀) + wS·(ΔS/S₀) − wE·(ΔE/E₀) − wR·(RΣ/R₀)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(27)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Компонентные формулы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ΔY = Σₖ∈K xₖ·ΔYₖ  +  Σₖ﹤ⱼ γₖⱼ·xₖ·xⱼ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(28a)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ΔL = Σₖ xₖ·Lₖ,   ΔS = Σₖ xₖ·Sₖ,   ΔE = Σₖ xₖ·Eₖ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(28b)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RΣ = Σₖ xₖ·Rₖ  +  Σₖ﹤ⱼ ρₖⱼ·xₖ·xⱼ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(28c)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Ограничения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Σₖ xₖ·Iₖ ≤ I^budget                   [глобальное бюджетное]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(29a)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0 ≤ xₖ ≤ 1,  k ∈ {1,2,3,7,8,9}        [стандартные]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(29b)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xₖ^min ≤ xₖ ≤ 1,  k ∈ {4,5,6}         [критические кластеры]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(29c)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x₁≤x₂, x₁≤x₄, x₁≤x₆, x₂≤x₄, x₂≤x₆, x₃≤x₂, x₃≤x₆  [предшествование]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(29d)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x₈ ≤ (x₁+x₂+x₃)/3                      [социальный баланс]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(29e)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x₉ ≥ x₉^min(x₁,x₂,x₃,x₈)              [экологическая безопасность]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(29f)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wY+wL+wS+wE+wR = 1,  wi ≥ 0            [нормировка весов]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(29g)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Оптимальное решение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x* = argmax F(x)   при условиях (29a)–(29g)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(30)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Вектор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x* = (x₁*,…,x₉*)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определяет оптимальное соотношение степеней реализации девяти кластеров, максимизирующее интегральный эффект при соблюдении всех ресурсных, технологических, социальных и экологических ограничений. Кластерный подход тем самым выступает не только как качественная концепция устойчивого развития, но и как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количественно формализуемый инструмент поддержки принятия инвестиционных решений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рамках макромодели «Экономика 2035».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11. Матрица межкластерной синергии и потоков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Таблица 11.1 систематизирует выявленные потоки добавленной стоимости и ресурсов между кластерами. Знак «+» обозначает наличие потока; «γ» — положительный синергетический коэффициент; «→» — технологическое ограничение предшествующей зависимости.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Откуда → Куда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K1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K3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K4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K5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K6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K7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K8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 · Агро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биомасса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II · Порт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терм.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III · СЭЗ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рабочие м.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IV · Цифра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 · Образ.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 · Энерг.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ESG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VII · Фин.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карбон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VIII · Соц.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IX · Эко.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карбон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Таблица 11.1. Матрица потоков добавленной стоимости и ресурсов между кластерами проекта «Берег Восхода». Источник: авторская систематизация на основе разделов 3.1 и 3.3.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12. Выводы: от шести кластеров к платформе устойчивого развития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Проведённый анализ межкластерных потоков позволяет сформулировать шесть ключевых вывода относительно механизма работы платформенной модели «Берег Восхода».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Первое.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Шестикластерная конфигурация (K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core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= {1,…,6}) образует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инвестиционное ядро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проекта с верифицированными таблицами CAPEX–ΔVA–k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Девятикластерная платформа (K = 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core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∪ 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ext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 описывает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полную экосистему устойчивого развития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включая управляемые блоки социальной (ΔS), экологической (ΔE) и финансовой (R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 компонент целевой функции. Расширение методологически оправдано и отвечает требованиям SDGs, ESG и Парижского соглашения.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Второе.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Цифровая платформа (k=4) является единственным кластером, от которого исходят прямые потоки ко </w:t>
      </w:r>
      <w:r>
        <w:rPr>
          <w:rFonts w:ascii="Times New Roman" w:cs="Times New Roman" w:eastAsia="Times New Roman" w:hAnsi="Times New Roman"/>
          <w:b/>
          <w:bCs/>
          <w:i/>
          <w:iCs/>
          <w:caps w:val="false"/>
          <w:color w:val="1A1A1A"/>
          <w:sz w:val="24"/>
          <w:szCs w:val="24"/>
        </w:rPr>
        <w:t xml:space="preserve">всем восьми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остальным кластерам. Именно это обусловливает асимметрично высокий мультипликатор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k₄ ≈ 2,00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стратегический приоритет синхронного или опережающего развёртывания платформы по отношению к физической инфраструктуре.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Третье.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Три кластера — цифровой (IV), образовательный (V) и энергетический (VI) — являются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критическими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 их неполная реализация делает реализацию экономических кластеров I–III либо невозможной, либо неустойчивой. Для них установлены нижние границы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xₖ^min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отсутствующие в нормальных кластерах (ошибка в исходной схеме — отсутствие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x₄^min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— исправлена).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Четвёртое.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Корректная запись синергетических и рисковых сумм требует суммирования по неупорядоченным парам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 &lt; 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(а не по всем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 ≠ 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), что устраняет двойной счёт коэффициентов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γₖⱼ = γⱼₖ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ρₖⱼ = ρⱼₖ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Пятое.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Нормировка всех компонентов в F(x) на базовые значения (Y₀, L₀, S₀, E₀, R₀) и введение глобального бюджетного ограничения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Σₖ xₖ·Iₖ ≤ I^budget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являются необходимыми условиями корректной постановки задачи оптимизации.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Шестое.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Платформенная логика проекта «Берег Восхода» подтверждает центральный тезис: эффект целого существенно превышает сумму частей. Синергетический вклад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Γ_synergy ≈ 1,6 млрд USD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возникает исключительно из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совместной реализации кластеров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утрачивается при отказе от любого элемента системы.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Академический аналитический отчёт подготовлен на основе разделов 3.1, 3.1.2 и 3.3.1 проекта «Берег Восхода». Формулы представлены в шрифте Cambria Math (кегль 12 пт). Исправленные ограничения соответствуют результатам аудита математической модели (Раздел 3.3).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FAD" w:sz="4" w:space="4"/>
      </w:pBd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4A2E" w:sz="4" w:space="4"/>
      </w:pBdr>
      <w:jc w:val="right"/>
    </w:pPr>
    <w:r>
      <w:rPr>
        <w:rFonts w:ascii="Cambria" w:cs="Cambria" w:eastAsia="Cambria" w:hAnsi="Cambria"/>
        <w:i/>
        <w:iCs/>
        <w:color w:val="7A6C55"/>
        <w:sz w:val="18"/>
        <w:szCs w:val="18"/>
      </w:rPr>
      <w:t xml:space="preserve">«Берег Восхода»  ·  Механизм платформенной модели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mbria" w:cs="Cambria" w:eastAsia="Cambria" w:hAnsi="Cambria"/>
      <w:b/>
      <w:bCs/>
      <w:color w:val="1A2E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mbria" w:cs="Cambria" w:eastAsia="Cambria" w:hAnsi="Cambria"/>
      <w:b/>
      <w:bCs/>
      <w:color w:val="0F26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mbria" w:cs="Cambria" w:eastAsia="Cambria" w:hAnsi="Cambria"/>
      <w:b/>
      <w:bCs/>
      <w:i/>
      <w:iCs/>
      <w:color w:val="2C4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2026-02-22T20:55:54.421Z</dcterms:created>
  <dcterms:modified xsi:type="dcterms:W3CDTF">2026-02-22T20:55:54.422Z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