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72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spacing w:before="80" w:after="80" w:line="280"/>
        <w:ind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/>
          <w:color w:val="7A6C55"/>
          <w:sz w:val="22"/>
          <w:szCs w:val="22"/>
        </w:rPr>
        <w:t xml:space="preserve">ИННОВАЦИОННЫЙ ПРОЕКТ</w:t>
      </w:r>
    </w:p>
    <w:p>
      <w:pPr>
        <w:spacing w:before="60" w:after="8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52"/>
          <w:szCs w:val="52"/>
        </w:rPr>
        <w:t xml:space="preserve">«Берег Восхода»</w:t>
      </w:r>
    </w:p>
    <w:p>
      <w:pPr>
        <w:pBdr>
          <w:bottom w:val="single" w:color="2C4A2E" w:sz="8" w:space="6"/>
        </w:pBdr>
        <w:spacing w:before="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2"/>
          <w:szCs w:val="22"/>
        </w:rPr>
        <w:t xml:space="preserve">Республика Кот-д'Ивуар  ·  Макромодель «Экономика 2035»</w:t>
      </w:r>
    </w:p>
    <w:p>
      <w:pPr>
        <w:spacing w:before="80" w:after="20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spacing w:before="0" w:after="60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caps w:val="false"/>
          <w:color w:val="0F2640"/>
          <w:sz w:val="28"/>
          <w:szCs w:val="28"/>
        </w:rPr>
        <w:t xml:space="preserve">Механизм работы платформенной модели:</w:t>
      </w:r>
    </w:p>
    <w:p>
      <w:pPr>
        <w:spacing w:before="0" w:after="300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потоки добавленной стоимости от кластера к кластеру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2"/>
          <w:szCs w:val="22"/>
        </w:rPr>
        <w:t xml:space="preserve">Академический аналитический отчёт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Разделы 3.1 · 3.3  |  Интегральная математическая модель</w:t>
      </w:r>
    </w:p>
    <w:p>
      <w:pPr>
        <w:pageBreakBefore/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Методологическое примечание: 6 кластеров vs. 9 кластеров</w:t>
      </w:r>
    </w:p>
    <w:p>
      <w:pPr>
        <w:spacing w:before="80" w:after="80" w:line="280"/>
        <w:ind/>
        <w:jc w:val="both"/>
      </w:pP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Прежде чем перейти к описанию механизма работы платформы, необходимо устранить потенциальный логический конфликт между разделами 3.1 и 3.3, связанный с числом кластеров. Раздел 3.1 оперирует 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1A1A1A"/>
          <w:sz w:val="24"/>
          <w:szCs w:val="24"/>
        </w:rPr>
        <w:t xml:space="preserve">шестью кластерами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— агропереработка, порт, СЭЗ, цифровая платформа, образование/R&amp;D, зелёная энергетика — как 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инвестиционным ядром проекта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, для которого построены таблицы CAPEX–ΔVA–k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i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, расчёт +14,5% к ВВП и анализ мультипликаторов. Раздел 3.3, напротив, работает с 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1A1A1A"/>
          <w:sz w:val="24"/>
          <w:szCs w:val="24"/>
        </w:rPr>
        <w:t xml:space="preserve">девятью кластерами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(K = {1,…,9}), добавляя к базовой шестёрке финансово-инвестиционный (k=7), социально-урбанистический (k=8) и экологический (k=9) кластеры.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Расширение с шести до девяти методологически оправдано: </w:t>
      </w:r>
    </w:p>
    <w:p>
      <w:pPr>
        <w:spacing w:before="80" w:after="80" w:line="280"/>
        <w:ind/>
        <w:jc w:val="both"/>
      </w:pP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1A1A1A"/>
          <w:sz w:val="24"/>
          <w:szCs w:val="24"/>
        </w:rPr>
        <w:t xml:space="preserve">Во-первых, 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интегральная целевая функция F(x) включает не только ΔY и ΔL, но и ΔS (социальный эффект), ΔE (экологическая нагрузка) и R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Σ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(совокупный риск). Без выделенных кластеров k=7–9 эти компоненты становятся пассивными «побочными» переменными, не управляемыми через отдельные x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k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. Добавление трёх кластеров делает ΔS, ΔE и R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Σ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контролируемыми.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Во-вторых,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современная повестка SDGs, ESG и Парижского соглашения требует, чтобы социальная инклюзивность, урбанистика и климатическая адаптация выступали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самостоятельными направлениями инвестиций и политики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, а не примечаниями к ограничениям.</w:t>
      </w:r>
    </w:p>
    <w:p>
      <w:pPr>
        <w:spacing w:before="80" w:after="80" w:line="280"/>
        <w:ind/>
        <w:jc w:val="both"/>
      </w:pP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1A1A1A"/>
          <w:sz w:val="24"/>
          <w:szCs w:val="24"/>
        </w:rPr>
        <w:t xml:space="preserve">В-третьих, 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финансовый кластер (k=7) в платформенной логике агрегирует банки, ESG-фонды, green bonds и инструменты project finance, самостоятельно генерируя ΔY₇ и управляя стоимостью капитала для всего портфеля.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Формально вводятся обозначения: 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K_core = {1,…,6}  —  инвестиционное ядро (раздел 3.1)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K_ext  = {7, 8, 9}  —  кластеры качества роста (раздел 3.3)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K = K_core ∪ K_ext = {1,…,9}  —  полная платформенная архитектура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Таким образом, шестикластерная конфигурация выступает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инвестиционным ядром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проекта, тогда как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девятикластерная платформа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описывает полную экосистему устойчивого развития прибрежной зоны Республики Кот-д'Ивуар.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1. Интегральная целевая функция: от потоков к оптимизации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«Берег Восхода» спроектирован не как портфель девяти независимых инвестиций, а как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единая платформенная система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, в которой каждый кластер одновременно является: (i) генератором добавленной стоимости ΔY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; (ii) потребителем ресурсов (энергии, кадров, финансов, инфраструктуры); и (iii) инфраструктурным условием реализации других кластеров. Центральный аналитический инструмент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интегральная целевая функция F(x)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F(x) = w_Y·(ΔY/Y₀) + w_L·(ΔL/L₀) + w_S·(ΔS/S₀) − w_E·(ΔE/E₀) − w_R·(RΣ/R₀) → max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(1)</w:t>
      </w:r>
    </w:p>
    <w:p>
      <w:r>
        <w:rPr>
          <w:rFonts w:ascii="Cambria Math" w:hAnsi="Cambria Math"/>
          <w:i/>
          <w:sz w:val="24"/>
        </w:rPr>
        <w:t>где F(x) – интегральная целевая функция эффективности платформы; ΔY – прирост валовой добавленной стоимости (ВВП) прибрежной зоны относительно базового уровня Y₀; ΔL – прирост занятости относительно базового уровня L₀; ΔS – изменение интегрального социального индекса по сравнению с S₀; ΔE – изменение экологической нагрузки по сравнению с E₀; RΣ – интегральный риск реализации кластерной архитектуры, нормированный на R₀; w_Y, w_L, w_S, w_E, w_R – весовые коэффициенты относительной значимости соответствующих компонент.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где все пять слагаемых нормированы на базовые значения Y₀, L₀, S₀, E₀, R₀, что приводит их к единой безразмерной шкале и обеспечивает корректность сложения разнородных эффектов. Весовые коэффициенты удовлетворяют условию нормировки: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w_Y + w_L + w_S + w_E + w_R = 1,   w_i ≥ 0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(2)</w:t>
      </w:r>
    </w:p>
    <w:p>
      <w:pPr>
        <w:spacing w:before="80" w:after="80" w:line="280"/>
        <w:ind/>
        <w:jc w:val="both"/>
      </w:pP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Аргументами F(x) являются переменные степени реализации кластеров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xₖ ∈ [0; 1]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, где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xₖ = 0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означает полное отсутствие реализации, а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xₖ = 1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— полное достижение проектного сценария. Совокупный прирост ВДС складывается из прямых вкладов кластеров и синергетических эффектов их взаимодействия:</w:t>
      </w:r>
    </w:p>
    <w:p>
      <w:r>
        <w:t>где ΔYₖ – вклад k-го кластера в прирост валовой добавленной стоимости при его полной реализации; xₖ – степень реализации k-го кластера в интервале [0;1]; γₖⱼ – коэффициент синергии между кластерами k и j; K – множество кластеров платформы «Берег Восхода».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ΔY = Σₖ∈K xₖ·ΔYₖ  +  Σₖ﹤ⱼ γₖⱼ·xₖ·xⱼ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(3)</w:t>
      </w:r>
    </w:p>
    <w:p>
      <w:r>
        <w:rPr>
          <w:rFonts w:ascii="Cambria Math" w:hAnsi="Cambria Math"/>
          <w:i/>
          <w:sz w:val="24"/>
        </w:rPr>
        <w:t>где Rₖ – частный риск k-го кластера; ρₖⱼ – коэффициент сопряжённости (корреляции) рисков кластеров k и j; RΣ – интегральный риск портфеля кластеров, учитывающий как индивидуальные, так и парные риски.</w:t>
      </w:r>
    </w:p>
    <w:p>
      <w:pPr>
        <w:spacing w:before="80" w:after="80" w:line="280"/>
        <w:ind/>
        <w:jc w:val="center"/>
      </w:pP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Суммирование синергии по парам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k &lt; j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(а не по всем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k ≠ j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) исключает двойной счёт коэффициентов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γₖⱼ = γⱼₖ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. Интегральный риск аналогично:</w:t>
      </w:r>
    </w:p>
    <w:p>
      <w:r>
        <w:t>где Iₖ – объём инвестиционных затрат по k-му кластеру; I^budget – совокупный бюджет инвестиций на реализацию проекта «Берег Восхода»; xₖ – степень реализации k-го кластера, определяющая долю фактически осваиваемых инвестиций.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RΣ = Σₖ∈K xₖ·Rₖ  +  Σₖ﹤ⱼ ρₖⱼ·xₖ·xⱼ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(4)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Глобальное бюджетное ограничение связывает все кластеры в единый инвестиционный портфель: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Σₖ∈K xₖ·Iₖ ≤ I^budget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(5)</w:t>
      </w:r>
    </w:p>
    <w:p>
      <w:pPr>
        <w:spacing w:before="80" w:after="80" w:line="280"/>
        <w:ind/>
        <w:jc w:val="both"/>
      </w:pP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Задача оптимизации состоит в поиске вектора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x* = (x₁*,…,x₉*)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, максимизирующего F(x) при выполнении ресурсных, технологических, социальных и экологических ограничений, рассмотренных в следующих разделах.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2. Кластер I: Агропереработка и какао-индустрия</w:t>
      </w:r>
    </w:p>
    <w:p>
      <w:pPr>
        <w:shd w:fill="E8EEE8" w:val="clear"/>
        <w:spacing w:before="40" w:after="40"/>
        <w:jc w:val="center"/>
      </w:pPr>
      <w:r>
        <w:rPr>
          <w:rFonts w:ascii="Cambria Math" w:cs="Times New Roman" w:eastAsia="Times New Roman" w:hAnsi="Cambria Math"/>
          <w:b/>
          <w:bCs/>
          <w:i/>
          <w:iCs w:val="false"/>
          <w:caps/>
          <w:color w:val="3A5A3C"/>
          <w:sz w:val="24"/>
          <w:szCs w:val="20"/>
        </w:rPr>
        <w:t xml:space="preserve">k = 1 · Экономическое ядро · CAPEX: 2,75 млрд USD · ΔY₁^max ≈ 3,5 млрд USD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2.1. Внутренний механизм генерации ΔY₁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Кластер I является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первичным источником экспортной ренты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в системе «Берег Восхода». Экономическая логика строится на переходе от экспорта сырого какао-боба (≈ 1 500 USD/т) к экспорту продукции глубокой переработки — масла, порошка, фармацевтических и косметических ингредиентов (до 12 000 USD/т). Восьмикратный рост удельной цены при сохранении и наращивании объёма переработки формирует основную часть ΔY₁: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ΔY₁(x₁) = x₁ · ΔY₁^max,   ΔY₁^max ≈ 3,5 млрд USD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(6)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Структурно ΔY₁ декомпозируется на три компоненты: (i) ценовая рента глубокого передела (разница в ценах между сырьём и готовой продукцией); (ii) сокращение потерь на стадиях хранения и транспортировки за счёт модернизации инфраструктуры; (iii) расширение рынков сбыта — доступ к рынкам ЕС обеспечивается соответствием регламенту EUDR через блокчейн-прослеживаемость.</w:t>
      </w:r>
    </w:p>
    <w:p>
      <w:pPr>
        <w:spacing w:before="80" w:after="80" w:line="280"/>
        <w:ind/>
        <w:jc w:val="both"/>
      </w:pP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Инвестиционный мультипликатор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k₁ = 1,80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трактуется как 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общеэкономический мультипликатор Кейнса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: 1 USD вложений в кластер I генерирует 1,80 USD суммарного прироста ВДС в экономике прибрежной зоны. Он не равен соотношению ΔVA / CAPEX (что дало бы 3,5/2,75 = 1,27) — именно это является источником ошибочной интерпретации данных таблицы 3.1.2.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2.2. Потоки добавленной стоимости от Кластера I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 · Агропереработка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II · Порт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‹физический поток: готовая продукция на экспорт›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Рост объёмов высокомаржинальной экспортной продукции непосредственно увеличивает грузооборот портовых терминалов. Технологическое ограничение предшествующей зависимости: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x₁ ≤ x₂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(7)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Агропереработка не может развиваться выше уровня пропускной способности портовой инфраструктуры.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 · Агропереработка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IV · Цифровая платформа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‹данные: блокчейн-трейсабилити, EUDR-сертификация›</w:t>
      </w:r>
    </w:p>
    <w:p>
      <w:pPr>
        <w:spacing w:before="80" w:after="80" w:line="280"/>
        <w:ind/>
        <w:jc w:val="both"/>
      </w:pP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Каждая партия переработанного какао требует цифровой прослеживаемости (ферма → порт → покупатель). Это формирует 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поток данных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с кластера I в цифровую платформу, создавая нагрузку на модули IoT-мониторинга и блокчейн-верификации. Ограничение: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x₁ ≤ x₄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(8)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 · Агропереработка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 · Энергетика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‹ресурс: промышленное электроснабжение›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Восемь–десять перерабатывающих комплексов являются крупными потребителями промышленной электроэнергии. Без минимально допустимого уровня энергоснабжения производственные мощности кластера I не могут быть введены в эксплуатацию: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x₁ ≤ x₆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(9)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 · Агропереработка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 · Энергетика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‹обратный поток: биомасса из отходов → биоэнергетика›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Какао-жмых и скорлупа передаются в Кластер VI как сырьё для биоэнергетических установок (расчётная мощность — 1,5 ГВт). Это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замыкает производственный цикл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и создаёт синергетический эффект: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γ₁₆ &gt; 0 : ΔY(x₁,x₆) &gt; x₁·ΔY₁ + x₆·ΔY₆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(10)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 · Агропереработка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 · Образование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‹кадровый поток: спрос на агротехников и биотехнологов›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Потребность в квалифицированных кадрах для перерабатывающих производств формирует спрос на выпускников технических училищ и университетских программ кластера V, фиксируемый переменной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HR₁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в ресурсном ограничении кластера I.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3. Кластер II: Портово-логистический хаб</w:t>
      </w:r>
    </w:p>
    <w:p>
      <w:pPr>
        <w:shd w:fill="E8EEE8" w:val="clear"/>
        <w:spacing w:before="40" w:after="40"/>
        <w:jc w:val="center"/>
      </w:pPr>
      <w:r>
        <w:rPr>
          <w:rFonts w:ascii="Cambria Math" w:cs="Times New Roman" w:eastAsia="Times New Roman" w:hAnsi="Cambria Math"/>
          <w:b/>
          <w:bCs/>
          <w:i/>
          <w:iCs w:val="false"/>
          <w:caps/>
          <w:color w:val="3A5A3C"/>
          <w:sz w:val="24"/>
          <w:szCs w:val="20"/>
        </w:rPr>
        <w:t xml:space="preserve">k = 2 · Логистический шлюз · CAPEX: 2,20 млрд USD · ΔY₂^max ≈ 2,5 млрд USD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3.1. Механизм генерации ΔY₂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Порт Абиджана — крупнейший в Западной Африке — обслуживает транзит стран Сахеля (Буркина-Фасо, Мали, Нигер). Модернизация предполагает расширение пропускной способности с 31 до 52 млн т/год и создание «умного порта» на основе AI-оптимизации грузопотоков (снижение операционных издержек на 18–22%):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ΔY₂(x₂) = x₂ · ΔY₂^max,   ΔY₂^max ≈ 2,5 млрд USD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(11)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ΔY₂ формируется как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собственная ВДС логистических услуг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(портовые сборы, терминальная обработка, складирование) плюс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косвенный эффект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снижения логистических издержек для всех зависимых кластеров.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3.2. Потоки от Кластера II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II · Порт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 · Агропереработка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‹инфраструктура: специализированные экспортные терминалы›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II · Порт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III · СЭЗ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‹инфраструктура: импорт компонентов + экспорт готовой продукции›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Кластер II является логистическим шлюзом для кластеров I и III. Ограничения технологической предшествующей зависимости фиксируют этот факт: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x₁ ≤ x₂   и   x₃ ≤ x₂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(12)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II · Порт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IV · Цифровая платформа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‹данные: Единое информационное окно, AI-управление грузопотоками›</w:t>
      </w:r>
    </w:p>
    <w:p>
      <w:pPr>
        <w:spacing w:before="80" w:after="80" w:line="280"/>
        <w:ind/>
        <w:jc w:val="both"/>
      </w:pP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Единое информационное окно (Single Window) — цифровой сервис платформы, встроенный в операционный контур порта. Порт зависит от платформы (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x₂ ≤ x₄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), но и сам является крупнейшим источником транзакционных данных, повышающих ценность платформы по закону Меткалфа: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V(n) = β · n²,   при n ≈ 12 000 → V ≈ 2,16 млрд USD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(13)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II · Порт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 · Энергетика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‹ресурс: электроснабжение контейнерных терминалов и холодовой логистики›</w:t>
      </w:r>
    </w:p>
    <w:p>
      <w:pPr>
        <w:spacing w:before="80" w:after="80" w:line="280"/>
        <w:ind/>
        <w:jc w:val="center"/>
      </w:pP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Контейнерные краны, рефрижераторные терминалы и холодовые склады (cold chain) требуют стабильного энергоснабжения: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x₂ ≤ x₆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.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4. Кластер III: Индустриально-производственный (СЭЗ)</w:t>
      </w:r>
    </w:p>
    <w:p>
      <w:pPr>
        <w:shd w:fill="E8EEE8" w:val="clear"/>
        <w:spacing w:before="40" w:after="40"/>
        <w:jc w:val="center"/>
      </w:pPr>
      <w:r>
        <w:rPr>
          <w:rFonts w:ascii="Cambria Math" w:cs="Times New Roman" w:eastAsia="Times New Roman" w:hAnsi="Cambria Math"/>
          <w:b/>
          <w:bCs/>
          <w:i/>
          <w:iCs w:val="false"/>
          <w:caps/>
          <w:color w:val="3A5A3C"/>
          <w:sz w:val="24"/>
          <w:szCs w:val="20"/>
        </w:rPr>
        <w:t xml:space="preserve">k = 3 · Наибольший CAPEX · 3,50 млрд USD · ΔY₃^max ≈ 4,5 млрд USD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4.1. Механизм генерации ΔY₃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Кластер III — наибольший по CAPEX (3,50 млрд USD) и абсолютному вкладу в ВВП (+3,5% от базового ВВП прибрежной зоны). Сеть специальных экономических зон нацелена на импортозамещение и экспорт в рамках AfCFTA, целевая доля рынка — 13,5% совокупного импорта промышленных товаров региона (28 млрд USD):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ΔY₃(x₃) = x₃ · ΔY₃^max,   ΔY₃^max ≈ 4,5 млрд USD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(14)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ΔY₃ образуется за счёт локализации цепочек добавленной стоимости: пищевой АПК-переработки, нефтехимии на базе шельфовой нефти (38 тыс. барр./сут.), лёгкой промышленности и металлообработки.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4.2. Потоки от Кластера III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III · СЭЗ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II · Порт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‹физический поток: импорт сырья и компонентов, экспорт готовых изделий›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III · СЭЗ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 · Энергетика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‹ресурс: дополнительно 600–800 МВт промышленной нагрузки›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x₃ ≤ x₂   и   x₃ ≤ x₆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(15)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III · СЭЗ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VIII · Социально-урбанистический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‹демографический поток: рабочие места → урбанизация → спрос на жильё и услуги›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Занятость в СЭЗ (&gt;100 тыс. человек к 2035 г.) формирует спрос на жильё, городскую инфраструктуру и социальные услуги. Масштаб кластера VIII ограничен размером экономической базы через исправленное ограничение: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x₈ ≤ (x₁ + x₂ + x₃) / 3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(16)</w:t>
      </w:r>
    </w:p>
    <w:p>
      <w:pPr>
        <w:spacing w:before="40" w:after="40"/>
        <w:ind w:left="720"/>
        <w:jc w:val="both"/>
      </w:pP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Нормировка на 3 принципиальна: при полной реализации экономических кластеров (x₁=x₂=x₃=1) правая часть равна 1, и ограничение остаётся содержательным. Без нормировки (исходная запись x₈ ≤ x₁+x₂+x₃) правая часть достигала 3 при единичном x₈ — ограничение становилось тривиально выполненным.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5. Кластер IV: Цифровая платформа — координационное ядро</w:t>
      </w:r>
    </w:p>
    <w:p>
      <w:pPr>
        <w:shd w:fill="E8EEE8" w:val="clear"/>
        <w:spacing w:before="40" w:after="40"/>
        <w:jc w:val="center"/>
      </w:pPr>
      <w:r>
        <w:rPr>
          <w:rFonts w:ascii="Cambria Math" w:cs="Times New Roman" w:eastAsia="Times New Roman" w:hAnsi="Cambria Math"/>
          <w:b/>
          <w:bCs/>
          <w:i/>
          <w:iCs w:val="false"/>
          <w:caps/>
          <w:color w:val="3A5A3C"/>
          <w:sz w:val="24"/>
          <w:szCs w:val="20"/>
        </w:rPr>
        <w:t xml:space="preserve">k = 4 · КРИТИЧЕСКИЙ КЛАСТЕР · CAPEX: 1,25 млрд USD · ΔY₄^max ≈ 2,5 млрд USD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5.1. Особый статус: мультипликатор мультипликаторов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Цифровая платформа занимает центральное место в архитектуре не столько по прямой добавленной стоимости, сколько по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мультипликативному воздействию на все остальные кластеры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. При CAPEX 1,25 млрд USD (9,5% суммарного портфеля) она генерирует прямую ВДС 2,5 млрд USD с мультипликатором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k₄ ≈ 2,00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и повышает мультипликаторы остальных кластеров на 38% через снижение транзакционных издержек.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Ценность платформы при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участниках описывается законом Меткалфа: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V(n) = β · n²,   при n ≈ 12 000 → V ≈ 2,16 млрд USD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(17)</w:t>
      </w:r>
    </w:p>
    <w:p>
      <w:pPr>
        <w:spacing w:before="80" w:after="80" w:line="280"/>
        <w:ind/>
        <w:jc w:val="both"/>
      </w:pP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Поскольку платформа является системообразующим элементом, для неё установлено 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1A1A1A"/>
          <w:sz w:val="24"/>
          <w:szCs w:val="24"/>
        </w:rPr>
        <w:t xml:space="preserve">критическое нижнее ограничение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реализации (исправленное в ходе аудита — в исходной схеме ошибочно фигурировало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0 ≤ x₄ ≤ 1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):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x₄^min ≤ x₄ ≤ 1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(18)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5.2. Потоки от Кластера IV — единственный кластер с исходящими потоками ко всем восьми остальным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IV · Платформа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 · Агропереработка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‹услуга: блокчейн-трейсабилити, EUDR-сертификация›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IV · Платформа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II · Порт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‹услуга: Единое окно, AI-оптимизация грузопотоков›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IV · Платформа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III · СЭЗ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‹услуга: электронные контракты, ESG-мониторинг›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IV · Платформа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 · Образование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‹услуга: HR-платформа, дистанционное обучение›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IV · Платформа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 · Энергетика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‹данные: IoT-мониторинг сетей, оптимизация нагрузки›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IV · Платформа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VII · Финансовый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‹услуга: финтех-сервисы, платформа проектного финансирования›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IV · Платформа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VIII · Социальный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‹услуга: GovTech, цифровые госуслуги›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IV · Платформа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IX · Экологический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‹данные: IoT-мониторинг экосистем, климатические индикаторы›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Снижение транзакционных издержек в каждом кластере-получателе увеличивает его эффективный мультипликатор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kₖ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и тем самым повышает итоговое значение F(x). Это математически выражается в положительных коэффициентах синергии: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γ₄ⱼ &gt; 0   для всех j ∈ {1,2,3,5,6,7,8,9}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   (19)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6. Кластер V: Образование и R&amp;D — кадровый суверенитет</w:t>
      </w:r>
    </w:p>
    <w:p>
      <w:pPr>
        <w:shd w:fill="E8EEE8" w:val="clear"/>
        <w:spacing w:before="40" w:after="40"/>
        <w:jc w:val="center"/>
      </w:pPr>
      <w:r>
        <w:rPr>
          <w:rFonts w:ascii="Cambria Math" w:cs="Times New Roman" w:eastAsia="Times New Roman" w:hAnsi="Cambria Math"/>
          <w:b/>
          <w:bCs/>
          <w:i/>
          <w:iCs w:val="false"/>
          <w:caps/>
          <w:color w:val="3A5A3C"/>
          <w:sz w:val="24"/>
          <w:szCs w:val="20"/>
        </w:rPr>
        <w:t xml:space="preserve">k = 5 · КРИТИЧЕСКИЙ КЛАСТЕР · CAPEX: 0,90 млрд USD · ΔY₅^max ≈ 1,2 млрд USD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6.1. Механизм генерации ΔY₅: видимый и скрытый вклад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Кластер V — наименьший по CAPEX (0,90 млрд USD), но критически важный для долгосрочной устойчивости проекта. Прямая ВДС (1,2 млрд USD) представляет лишь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видимую часть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совокупного вклада; значительно больший эффект проявляется через рост совокупной факторной производительности (TFP) в производственных кластерах: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ΔY₅ → ΔTFP → {ΔY₁, ΔY₂, ΔY₃, ΔY₆}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(20)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Без кластера V высокие мультипликаторы промышленных кластеров не будут реализованы из-за дефицита квалифицированных кадров. Критическое ограничение: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x₅^min ≤ x₅ ≤ 1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(21)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6.2. Кадровые потоки от Кластера V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 · Образование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 · Агропереработка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‹кадры: агротехники, биотехнологи, технологи пищевой промышленности›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 · Образование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III · СЭЗ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‹кадры: инженеры, технологи, специалисты по производству›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 · Образование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IV · Цифровая платформа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‹кадры: IT-специалисты, аналитики данных, DevOps›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 · Образование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 · Энергетика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‹кадры: энергетики, ESG-инженеры, специалисты ВИЭ›</w:t>
      </w:r>
    </w:p>
    <w:p>
      <w:pPr>
        <w:spacing w:before="80" w:after="80" w:line="280"/>
        <w:ind/>
        <w:jc w:val="both"/>
      </w:pP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Трёхуровневая структура кластера (технические училища → университеты → R&amp;D-технопарки при СЭЗ) соответствует пирамиде квалификаций, требуемых в системе. Дуальная модель образования, интегрированная с производством, сокращает временной лаг между выпуском специалиста и его вкладом в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ΔYₖ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соответствующего кластера.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7. Кластер VI: Энергетика и ESG — инфраструктурный якорь</w:t>
      </w:r>
    </w:p>
    <w:p>
      <w:pPr>
        <w:shd w:fill="E8EEE8" w:val="clear"/>
        <w:spacing w:before="40" w:after="40"/>
        <w:jc w:val="center"/>
      </w:pPr>
      <w:r>
        <w:rPr>
          <w:rFonts w:ascii="Cambria Math" w:cs="Times New Roman" w:eastAsia="Times New Roman" w:hAnsi="Cambria Math"/>
          <w:b/>
          <w:bCs/>
          <w:i/>
          <w:iCs w:val="false"/>
          <w:caps/>
          <w:color w:val="3A5A3C"/>
          <w:sz w:val="24"/>
          <w:szCs w:val="20"/>
        </w:rPr>
        <w:t xml:space="preserve">k = 6 · КРИТИЧЕСКИЙ КЛАСТЕР · CAPEX: 2,50 млрд USD · ΔY₆^max ≈ 1,8 млрд USD + 1,45 млрд USD/год карбон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7.1. Двойственная роль: ресурс и источник дохода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Кластер VI занимает исключительное положение в системе: он одновременно является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условием функционирования всех производственных кластеров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самостоятельным источником ВДС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через продажу углеродных кредитов (прогноз — 1,45 млрд USD/год к 2035 г.):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ΔY₆(x₆) = x₆·(ΔY₆^energy + ΔY₆^carbon),   ΔY₆^max ≈ 1,8 млрд USD (прямая ВДС)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(22)</w:t>
      </w:r>
    </w:p>
    <w:p>
      <w:pPr>
        <w:spacing w:before="80" w:after="80" w:line="280"/>
        <w:ind/>
        <w:jc w:val="both"/>
      </w:pP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Поскольку ни один производственный кластер не может функционировать без надёжного энергоснабжения, для VI установлено критическое ограничение: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x₆^min ≤ x₆ ≤ 1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. Это порождает цепочку ограничений предшествующей зависимости: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x₁ ≤ x₆,   x₂ ≤ x₆,   x₃ ≤ x₆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(23)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7.2. Потоки от Кластера VI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 · Энергетика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 · Агропереработка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‹ресурс: промышленное электроснабжение перерабатывающих комплексов›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 · Энергетика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II · Порт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‹ресурс: электроснабжение терминалов и холодовой логистики›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 · Энергетика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III · СЭЗ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‹ресурс: 600–800 МВт промышленной нагрузки›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 · Энергетика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VIII · Социальный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‹ресурс: коммунальное электроснабжение городских районов›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 · ESG-статус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VII · Финансовый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‹обратный поток: ESG-рейтинг → доступ к «зелёным» облигациям›</w:t>
      </w:r>
    </w:p>
    <w:p>
      <w:pPr>
        <w:spacing w:before="80" w:after="80" w:line="280"/>
        <w:ind/>
        <w:jc w:val="both"/>
      </w:pP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Структура генерации: солнечная энергетика (0,3 → 5,0 ГВт), гидроэнергетика (0,2 → 2,2 ГВт), биоэнергетика на отходах агросектора (1,5 ГВт). ESG-статус кластера обеспечивает преференциальный доступ к «зелёным» финансовым инструментам кластера VII, формируя синергию: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γ₆₇ &gt; 0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.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8. Кластер VII: Финансово-инвестиционный — стоимость капитала</w:t>
      </w:r>
    </w:p>
    <w:p>
      <w:pPr>
        <w:shd w:fill="E8EEE8" w:val="clear"/>
        <w:spacing w:before="40" w:after="40"/>
        <w:jc w:val="center"/>
      </w:pPr>
      <w:r>
        <w:rPr>
          <w:rFonts w:ascii="Cambria Math" w:cs="Times New Roman" w:eastAsia="Times New Roman" w:hAnsi="Cambria Math"/>
          <w:b/>
          <w:bCs/>
          <w:i/>
          <w:iCs w:val="false"/>
          <w:caps/>
          <w:color w:val="3A5A3C"/>
          <w:sz w:val="24"/>
          <w:szCs w:val="20"/>
        </w:rPr>
        <w:t xml:space="preserve">k = 7 · Расширяющий кластер K_ext · управление R_Σ и стоимостью капитала</w:t>
      </w:r>
    </w:p>
    <w:p>
      <w:pPr>
        <w:spacing w:before="80" w:after="80" w:line="280"/>
        <w:ind/>
        <w:jc w:val="both"/>
      </w:pP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Кластер VII выполняет функцию 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1A1A1A"/>
          <w:sz w:val="24"/>
          <w:szCs w:val="24"/>
        </w:rPr>
        <w:t xml:space="preserve">финансового катализатора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: снижение стоимости капитала для всех остальных кластеров увеличивает их рентабельность и фактически реализуемый уровень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xₖ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. Прямая ВДС кластера (финансовые услуги, страхование, гарантии) — 1,8 млрд USD, но его главный вклад в F(x) — снижение составляющей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wR·(RΣ/R₀)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интегральной целевой функции. В платформенной логике кластер VII агрегирует банки, ESG-фонды, green bonds, инструменты project finance и гарантийные механизмы, обеспечивая 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финансовую связность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всей системы.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Введение кластера VII как отдельного блока (K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ext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) обосновано именно тем, что финансы в платформенной логике — не пассивный «источник CAPEX» каждого кластера, 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самостоятельный узел управления рисками и стоимостью капитала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, самостоятельно генерирующий ΔY₇ и R₇.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VII · Финансовый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Кластеры I–VI, VIII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‹финансовый поток: снижение стоимости капитала, проектное финансирование›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 · ESG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VII · Финансовый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‹обратный поток: ESG-рейтинг открывает доступ к «зелёным» облигациям›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IV · Платформа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VII · Финансовый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‹данные: финтех-сервисы, цифровая платёжная инфраструктура›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9. Кластеры VIII–IX: Качество и устойчивость роста</w:t>
      </w:r>
    </w:p>
    <w:p>
      <w:pPr>
        <w:shd w:fill="E8EEE8" w:val="clear"/>
        <w:spacing w:before="40" w:after="40"/>
        <w:jc w:val="center"/>
      </w:pPr>
      <w:r>
        <w:rPr>
          <w:rFonts w:ascii="Cambria Math" w:cs="Times New Roman" w:eastAsia="Times New Roman" w:hAnsi="Cambria Math"/>
          <w:b/>
          <w:bCs/>
          <w:i/>
          <w:iCs w:val="false"/>
          <w:caps/>
          <w:color w:val="3A5A3C"/>
          <w:sz w:val="24"/>
          <w:szCs w:val="20"/>
        </w:rPr>
        <w:t xml:space="preserve">k = 8, 9 · Расширяющие кластеры K_ext · управление ΔS и ΔE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9.1. Кластер VIII — Социально-инклюзивный и урбанистический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Кластер VIII является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принимающей стороной демографических потоков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от кластеров I–III: рабочие места в производстве, логистике и СЭЗ порождают спрос на жильё, коммунальную инфраструктуру, здравоохранение и образование. Прирост ВДС кластера: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ΔY₈(x₈) = x₈ · ΔY₈^max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(24)</w:t>
      </w:r>
    </w:p>
    <w:p>
      <w:pPr>
        <w:spacing w:before="80" w:after="80" w:line="280"/>
        <w:ind/>
        <w:jc w:val="both"/>
      </w:pP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Ограничение (16) —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x₈ ≤ (x₁+x₂+x₃)/3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— обеспечивает принцип сбалансированного роста: масштаб городского развития не опережает экономическую базу. Кластер VIII, в свою очередь, формирует 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обратный поток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в F(x): улучшение качества жизни и снижение социальной напряжённости учитываются в составляющей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wS·(ΔS/S₀)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.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Кластеры I–III · Экономика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VIII · Социальный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‹демографический поток: занятость и урбанизация›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VIII · Социальный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F(x) · Целевая функция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‹вклад: wS·(ΔS/S₀) — нормированный социальный эффект›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VIII · Социальный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IX · Экологический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‹нагрузочный поток: рост антропогенного давления на экосистемы›</w:t>
      </w:r>
    </w:p>
    <w:p>
      <w:pPr>
        <w:pStyle w:val="Heading2"/>
        <w:spacing w:before="300" w:after="12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0F2640"/>
          <w:sz w:val="26"/>
          <w:szCs w:val="26"/>
        </w:rPr>
        <w:t xml:space="preserve">9.2. Кластер IX — Экологический и климатический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Кластер IX реализует концепцию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опережающего природоохранного развития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: по мере роста промышленной и урбанистической нагрузки на прибрежные экосистемы кластер IX должен усиливаться пропорционально: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x₉ ≥ x₉^min(x₁, x₂, x₃, x₈)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(25)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ΔY₉ включает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избежанные потери ВДС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в других кластерах (снижение ущерба от наводнений, эрозии побережья), доходы от карбоновых кредитов и экосистемных услуг. Экологическая нагрузка ΔE учитывается в целевой функции с отрицательным знаком: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−wE·(ΔE/E₀),   ΔE = Σₖ∈K xₖ·Eₖ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(26)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IX · Экологический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F(x) · Целевая функция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‹вклад: −wE·(ΔE/E₀) — снижение нагрузки уменьшает штраф›</w:t>
      </w:r>
    </w:p>
    <w:p>
      <w:pPr>
        <w:pBdr>
          <w:top w:val="single" w:color="C8E0C8" w:sz="1"/>
          <w:bottom w:val="single" w:color="C8E0C8" w:sz="1"/>
        </w:pBdr>
        <w:shd w:fill="F0F6F0" w:val="clear"/>
        <w:spacing w:before="100" w:after="100"/>
        <w:jc w:val="center"/>
      </w:pP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IX · Экологический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2C4A2E"/>
          <w:sz w:val="24"/>
          <w:szCs w:val="26"/>
        </w:rPr>
        <w:t xml:space="preserve">  →  </w:t>
      </w:r>
      <w:r>
        <w:rPr>
          <w:rFonts w:ascii="Cambria Math" w:cs="Cambria" w:eastAsia="Cambria" w:hAnsi="Cambria Math"/>
          <w:b/>
          <w:bCs/>
          <w:i/>
          <w:iCs w:val="false"/>
          <w:caps w:val="false"/>
          <w:color w:val="1A2E1C"/>
          <w:sz w:val="24"/>
          <w:szCs w:val="22"/>
        </w:rPr>
        <w:t xml:space="preserve">Кластер VII · Финансовый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‹доходы: карбоновые кредиты через EU ETS и Gold Standard›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10. Полная система уравнений платформенной модели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Сводя воедино механизмы генерации ΔY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и межкластерные потоки, получаем полную запись задачи оптимизации кластерной архитектуры «Берег Восхода»:</w:t>
      </w:r>
    </w:p>
    <w:p>
      <w:pPr>
        <w:pStyle w:val="Heading3"/>
        <w:spacing w:before="200" w:after="80"/>
      </w:pPr>
      <w:r>
        <w:rPr>
          <w:rFonts w:ascii="Cambria" w:cs="Cambria" w:eastAsia="Cambria" w:hAnsi="Cambria"/>
          <w:b/>
          <w:bCs/>
          <w:i/>
          <w:iCs/>
          <w:caps w:val="false"/>
          <w:color w:val="2C4A2E"/>
          <w:sz w:val="24"/>
          <w:szCs w:val="24"/>
        </w:rPr>
        <w:t xml:space="preserve">Целевая функция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max F(x) = wY·(ΔY/Y₀) + wL·(ΔL/L₀) + wS·(ΔS/S₀) − wE·(ΔE/E₀) − wR·(RΣ/R₀)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(27)</w:t>
      </w:r>
    </w:p>
    <w:p>
      <w:pPr>
        <w:pStyle w:val="Heading3"/>
        <w:spacing w:before="200" w:after="80"/>
      </w:pPr>
      <w:r>
        <w:rPr>
          <w:rFonts w:ascii="Cambria" w:cs="Cambria" w:eastAsia="Cambria" w:hAnsi="Cambria"/>
          <w:b/>
          <w:bCs/>
          <w:i/>
          <w:iCs/>
          <w:caps w:val="false"/>
          <w:color w:val="2C4A2E"/>
          <w:sz w:val="24"/>
          <w:szCs w:val="24"/>
        </w:rPr>
        <w:t xml:space="preserve">Компонентные формулы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ΔY = Σₖ∈K xₖ·ΔYₖ  +  Σₖ﹤ⱼ γₖⱼ·xₖ·xⱼ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(28a)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ΔL = Σₖ xₖ·Lₖ,   ΔS = Σₖ xₖ·Sₖ,   ΔE = Σₖ xₖ·Eₖ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(28b)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RΣ = Σₖ xₖ·Rₖ  +  Σₖ﹤ⱼ ρₖⱼ·xₖ·xⱼ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(28c)</w:t>
      </w:r>
    </w:p>
    <w:p>
      <w:pPr>
        <w:pStyle w:val="Heading3"/>
        <w:spacing w:before="200" w:after="80"/>
      </w:pPr>
      <w:r>
        <w:rPr>
          <w:rFonts w:ascii="Cambria" w:cs="Cambria" w:eastAsia="Cambria" w:hAnsi="Cambria"/>
          <w:b/>
          <w:bCs/>
          <w:i/>
          <w:iCs/>
          <w:caps w:val="false"/>
          <w:color w:val="2C4A2E"/>
          <w:sz w:val="24"/>
          <w:szCs w:val="24"/>
        </w:rPr>
        <w:t xml:space="preserve">Ограничения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Σₖ xₖ·Iₖ ≤ I^budget                   [глобальное бюджетное]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(29a)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0 ≤ xₖ ≤ 1,  k ∈ {1,2,3,7,8,9}        [стандартные]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(29b)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xₖ^min ≤ xₖ ≤ 1,  k ∈ {4,5,6}         [критические кластеры]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(29c)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x₁≤x₂, x₁≤x₄, x₁≤x₆, x₂≤x₄, x₂≤x₆, x₃≤x₂, x₃≤x₆  [предшествование]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(29d)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x₈ ≤ (x₁+x₂+x₃)/3                      [социальный баланс]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(29e)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x₉ ≥ x₉^min(x₁,x₂,x₃,x₈)              [экологическая безопасность]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(29f)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wY+wL+wS+wE+wR = 1,  wi ≥ 0            [нормировка весов]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(29g)</w:t>
      </w:r>
    </w:p>
    <w:p>
      <w:pPr>
        <w:pStyle w:val="Heading3"/>
        <w:spacing w:before="200" w:after="80"/>
      </w:pPr>
      <w:r>
        <w:rPr>
          <w:rFonts w:ascii="Cambria" w:cs="Cambria" w:eastAsia="Cambria" w:hAnsi="Cambria"/>
          <w:b/>
          <w:bCs/>
          <w:i/>
          <w:iCs/>
          <w:caps w:val="false"/>
          <w:color w:val="2C4A2E"/>
          <w:sz w:val="24"/>
          <w:szCs w:val="24"/>
        </w:rPr>
        <w:t xml:space="preserve">Оптимальное решение</w:t>
      </w:r>
    </w:p>
    <w:p>
      <w:pPr>
        <w:pBdr>
          <w:left w:val="single" w:color="1A3A5C" w:sz="6" w:space="10"/>
        </w:pBdr>
        <w:shd w:fill="EEF4FA" w:val="clear"/>
        <w:spacing w:before="160" w:after="160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x* = argmax F(x)   при условиях (29a)–(29g)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666666"/>
          <w:sz w:val="24"/>
          <w:szCs w:val="20"/>
        </w:rPr>
        <w:t xml:space="preserve">   (30)</w:t>
      </w:r>
    </w:p>
    <w:p>
      <w:pPr>
        <w:spacing w:before="80" w:after="80" w:line="280"/>
        <w:ind/>
        <w:jc w:val="both"/>
      </w:pP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Вектор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x* = (x₁*,…,x₉*)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определяет оптимальное соотношение степеней реализации девяти кластеров, максимизирующее интегральный эффект при соблюдении всех ресурсных, технологических, социальных и экологических ограничений. Кластерный подход тем самым выступает не только как качественная концепция устойчивого развития, но и как </w:t>
      </w: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1A1A1A"/>
          <w:sz w:val="24"/>
          <w:szCs w:val="24"/>
        </w:rPr>
        <w:t xml:space="preserve">количественно формализуемый инструмент поддержки принятия инвестиционных решений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в рамках макромодели «Экономика 2035».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11. Матрица межкластерной синергии и потоков</w:t>
      </w:r>
    </w:p>
    <w:p>
      <w:pPr>
        <w:spacing w:before="80" w:after="80" w:line="280"/>
        <w:ind/>
        <w:jc w:val="both"/>
      </w:pP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Таблица 11.1 систематизирует выявленные потоки добавленной стоимости и ресурсов между кластерами. Знак «+» обозначает наличие потока; «γ» — положительный синергетический коэффициент; «→» — технологическое ограничение предшествующей зависимости.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E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Откуда → Куда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E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K1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E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K2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E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K3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E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K4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E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K5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E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K6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E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K7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E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K8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2E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K9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 · Агро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→ 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→ 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кадры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биомасса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II · Порт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терм.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→ 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→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III · СЭЗ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→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→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рабочие м.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IV · Цифра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γ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 · Образ.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кадры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кадры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кадры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кадры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VI · Энерг.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эн.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эн.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эн.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ESG γ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эн.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VII · Фин.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кап.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кап.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кап.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кап.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кап.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кап.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карбон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VIII · Соц.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→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IX · Эко.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2E1C"/>
                <w:sz w:val="20"/>
                <w:szCs w:val="20"/>
              </w:rPr>
              <w:t xml:space="preserve">карбон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40" w:after="40"/>
        <w:ind w:left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Таблица 11.1. Матрица потоков добавленной стоимости и ресурсов между кластерами проекта «Берег Восхода». Источник: авторская систематизация на основе разделов 3.1 и 3.3.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pStyle w:val="Heading1"/>
        <w:spacing w:before="400" w:after="160"/>
      </w:pPr>
      <w:r>
        <w:rPr>
          <w:rFonts w:ascii="Cambria" w:cs="Cambria" w:eastAsia="Cambria" w:hAnsi="Cambria"/>
          <w:b/>
          <w:bCs/>
          <w:i w:val="false"/>
          <w:iCs w:val="false"/>
          <w:caps w:val="false"/>
          <w:color w:val="1A2E1C"/>
          <w:sz w:val="32"/>
          <w:szCs w:val="32"/>
        </w:rPr>
        <w:t xml:space="preserve">12. Выводы: от шести кластеров к платформе устойчивого развития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Проведённый анализ межкластерных потоков позволяет сформулировать шесть ключевых вывода относительно механизма работы платформенной модели «Берег Восхода».</w:t>
      </w:r>
    </w:p>
    <w:p>
      <w:pPr>
        <w:spacing w:before="80" w:after="80" w:line="280"/>
        <w:ind/>
        <w:jc w:val="both"/>
      </w:pP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1A1A1A"/>
          <w:sz w:val="24"/>
          <w:szCs w:val="24"/>
        </w:rPr>
        <w:t xml:space="preserve">Первое. 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Шестикластерная конфигурация (K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core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= {1,…,6}) образует 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инвестиционное ядро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проекта с верифицированными таблицами CAPEX–ΔVA–k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i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. Девятикластерная платформа (K = K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core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∪ K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ext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) описывает </w:t>
      </w:r>
      <w:r>
        <w:rPr>
          <w:rFonts w:ascii="Cambria Math" w:cs="Times New Roman" w:eastAsia="Times New Roman" w:hAnsi="Cambria Math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полную экосистему устойчивого развития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, включая управляемые блоки социальной (ΔS), экологической (ΔE) и финансовой (R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Σ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) компонент целевой функции. Расширение методологически оправдано и отвечает требованиям SDGs, ESG и Парижского соглашения.</w:t>
      </w:r>
    </w:p>
    <w:p>
      <w:pPr>
        <w:spacing w:before="80" w:after="80" w:line="280"/>
        <w:ind/>
        <w:jc w:val="both"/>
      </w:pP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1A1A1A"/>
          <w:sz w:val="24"/>
          <w:szCs w:val="24"/>
        </w:rPr>
        <w:t xml:space="preserve">Второе. 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Цифровая платформа (k=4) является единственным кластером, от которого исходят прямые потоки ко </w:t>
      </w:r>
      <w:r>
        <w:rPr>
          <w:rFonts w:ascii="Cambria Math" w:cs="Times New Roman" w:eastAsia="Times New Roman" w:hAnsi="Cambria Math"/>
          <w:b/>
          <w:bCs/>
          <w:i/>
          <w:iCs/>
          <w:caps w:val="false"/>
          <w:color w:val="1A1A1A"/>
          <w:sz w:val="24"/>
          <w:szCs w:val="24"/>
        </w:rPr>
        <w:t xml:space="preserve">всем восьми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остальным кластерам. Именно это обусловливает асимметрично высокий мультипликатор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k₄ ≈ 2,00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и стратегический приоритет синхронного или опережающего развёртывания платформы по отношению к физической инфраструктуре.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Третье.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Три кластера — цифровой (IV), образовательный (V) и энергетический (VI) — являются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критическими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: их неполная реализация делает реализацию экономических кластеров I–III либо невозможной, либо неустойчивой. Для них установлены нижние границы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xₖ^min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, отсутствующие в нормальных кластерах (ошибка в исходной схеме — отсутствие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x₄^min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— исправлена).</w:t>
      </w:r>
    </w:p>
    <w:p>
      <w:pPr>
        <w:spacing w:before="80" w:after="80" w:line="280"/>
        <w:ind/>
        <w:jc w:val="both"/>
      </w:pP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1A1A1A"/>
          <w:sz w:val="24"/>
          <w:szCs w:val="24"/>
        </w:rPr>
        <w:t xml:space="preserve">Четвёртое. 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Корректная запись синергетических и рисковых сумм требует суммирования по неупорядоченным парам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k &lt; j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(а не по всем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k ≠ j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), что устраняет двойной счёт коэффициентов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γₖⱼ = γⱼₖ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и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ρₖⱼ = ρⱼₖ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.</w:t>
      </w:r>
    </w:p>
    <w:p>
      <w:pPr>
        <w:spacing w:before="80" w:after="80" w:line="280"/>
        <w:ind/>
        <w:jc w:val="both"/>
      </w:pPr>
      <w:r>
        <w:rPr>
          <w:rFonts w:ascii="Cambria Math" w:cs="Times New Roman" w:eastAsia="Times New Roman" w:hAnsi="Cambria Math"/>
          <w:b/>
          <w:bCs/>
          <w:i/>
          <w:iCs w:val="false"/>
          <w:caps w:val="false"/>
          <w:color w:val="1A1A1A"/>
          <w:sz w:val="24"/>
          <w:szCs w:val="24"/>
        </w:rPr>
        <w:t xml:space="preserve">Пятое. 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Нормировка всех компонентов в F(x) на базовые значения (Y₀, L₀, S₀, E₀, R₀) и введение глобального бюджетного ограничения </w:t>
      </w:r>
      <w:r>
        <w:rPr>
          <w:rFonts w:ascii="Cambria Math" w:cs="Cambria Math" w:eastAsia="Cambria Math" w:hAnsi="Cambria Math"/>
          <w:b w:val="false"/>
          <w:bCs w:val="false"/>
          <w:i/>
          <w:iCs w:val="false"/>
          <w:caps w:val="false"/>
          <w:color w:val="0F2640"/>
          <w:sz w:val="24"/>
          <w:szCs w:val="24"/>
        </w:rPr>
        <w:t xml:space="preserve">Σₖ xₖ·Iₖ ≤ I^budget</w:t>
      </w:r>
      <w:r>
        <w:rPr>
          <w:rFonts w:ascii="Cambria Math" w:cs="Times New Roman" w:eastAsia="Times New Roman" w:hAnsi="Cambria Math"/>
          <w:b w:val="false"/>
          <w:bCs w:val="false"/>
          <w:i/>
          <w:iCs w:val="false"/>
          <w:caps w:val="false"/>
          <w:color w:val="1A1A1A"/>
          <w:sz w:val="24"/>
          <w:szCs w:val="24"/>
        </w:rPr>
        <w:t xml:space="preserve"> являются необходимыми условиями корректной постановки задачи оптимизации.</w:t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24"/>
          <w:szCs w:val="24"/>
        </w:rPr>
        <w:t xml:space="preserve">Шестое.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Платформенная логика проекта «Берег Восхода» подтверждает центральный тезис: эффект целого существенно превышает сумму частей. Синергетический вклад 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aps w:val="false"/>
          <w:color w:val="0F2640"/>
          <w:sz w:val="24"/>
          <w:szCs w:val="24"/>
        </w:rPr>
        <w:t xml:space="preserve">Γ_synergy ≈ 1,6 млрд USD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возникает исключительно из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1A1A1A"/>
          <w:sz w:val="24"/>
          <w:szCs w:val="24"/>
        </w:rPr>
        <w:t xml:space="preserve">совместной реализации кластеров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> и утрачивается при отказе от любого элемента системы.</w:t>
      </w:r>
    </w:p>
    <w:p>
      <w:pPr>
        <w:pBdr>
          <w:bottom w:val="single" w:color="C8BFAD" w:sz="6" w:space="1"/>
        </w:pBdr>
        <w:spacing w:before="180"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24"/>
          <w:szCs w:val="24"/>
        </w:rPr>
        <w:t xml:space="preserve"/>
      </w:r>
    </w:p>
    <w:p>
      <w:pPr>
        <w:spacing w:before="80" w:after="80" w:line="280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aps w:val="false"/>
          <w:color w:val="666666"/>
          <w:sz w:val="20"/>
          <w:szCs w:val="20"/>
        </w:rPr>
        <w:t xml:space="preserve">Академический аналитический отчёт подготовлен на основе разделов 3.1, 3.1.2 и 3.3.1 проекта «Берег Восхода». Формулы представлены в шрифте Cambria Math (кегль 12 пт). Исправленные ограничения соответствуют результатам аудита математической модели (Раздел 3.3).</w:t>
      </w:r>
    </w:p>
    <w:p>
      <w:r>
        <w:br w:type="page"/>
      </w:r>
    </w:p>
    <w:p>
      <w:pPr>
        <w:spacing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ПРИЛОЖЕНИЕ А. Обозначения и параметры интегральной модели проекта «Берег Восхода»</w:t>
      </w:r>
    </w:p>
    <w:p>
      <w:pPr>
        <w:spacing w:line="360" w:lineRule="auto"/>
      </w:pPr>
      <w:r>
        <w:rPr>
          <w:rFonts w:ascii="Times New Roman" w:hAnsi="Times New Roman" w:eastAsia="Times New Roman"/>
          <w:i w:val="0"/>
          <w:sz w:val="28"/>
        </w:rPr>
        <w:t>В настоящем приложении систематизированы обозначения, используемые в интегральной кластерной модели проекта «Берег Восхода», а также приведены локальные формулы для расчёта вклада отдельных кластеров в прирост валовой добавленной стоимости прибрежной зоны.</w:t>
      </w:r>
    </w:p>
    <w:p>
      <w:pPr>
        <w:spacing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A.1. Основные переменные и функции</w:t>
      </w:r>
    </w:p>
    <w:p>
      <w:pPr>
        <w:spacing w:line="360" w:lineRule="auto"/>
      </w:pPr>
      <w:r>
        <w:rPr>
          <w:rFonts w:ascii="Times New Roman" w:hAnsi="Times New Roman" w:eastAsia="Times New Roman"/>
          <w:i w:val="0"/>
          <w:sz w:val="28"/>
        </w:rPr>
        <w:t>— F(x) – интегральная целевая функция эффективности кластерной архитектуры проекта «Берег Восхода»;</w:t>
      </w:r>
    </w:p>
    <w:p>
      <w:pPr>
        <w:spacing w:line="360" w:lineRule="auto"/>
      </w:pPr>
      <w:r>
        <w:rPr>
          <w:rFonts w:ascii="Times New Roman" w:hAnsi="Times New Roman" w:eastAsia="Times New Roman"/>
          <w:i w:val="0"/>
          <w:sz w:val="28"/>
        </w:rPr>
        <w:t>— ΔY – суммарный прирост валовой добавленной стоимости (ВВП) прибрежной зоны;</w:t>
      </w:r>
    </w:p>
    <w:p>
      <w:pPr>
        <w:spacing w:line="360" w:lineRule="auto"/>
      </w:pPr>
      <w:r>
        <w:rPr>
          <w:rFonts w:ascii="Times New Roman" w:hAnsi="Times New Roman" w:eastAsia="Times New Roman"/>
          <w:i w:val="0"/>
          <w:sz w:val="28"/>
        </w:rPr>
        <w:t>— ΔL – прирост занятости в результате реализации кластерной платформы;</w:t>
      </w:r>
    </w:p>
    <w:p>
      <w:pPr>
        <w:spacing w:line="360" w:lineRule="auto"/>
      </w:pPr>
      <w:r>
        <w:rPr>
          <w:rFonts w:ascii="Times New Roman" w:hAnsi="Times New Roman" w:eastAsia="Times New Roman"/>
          <w:i w:val="0"/>
          <w:sz w:val="28"/>
        </w:rPr>
        <w:t>— ΔS – изменение интегрального социального индекса (уровень доступа к услугам, качеству жизни);</w:t>
      </w:r>
    </w:p>
    <w:p>
      <w:pPr>
        <w:spacing w:line="360" w:lineRule="auto"/>
      </w:pPr>
      <w:r>
        <w:rPr>
          <w:rFonts w:ascii="Times New Roman" w:hAnsi="Times New Roman" w:eastAsia="Times New Roman"/>
          <w:i w:val="0"/>
          <w:sz w:val="28"/>
        </w:rPr>
        <w:t>— ΔE – изменение экологической нагрузки на прибрежные экосистемы;</w:t>
      </w:r>
    </w:p>
    <w:p>
      <w:pPr>
        <w:spacing w:line="360" w:lineRule="auto"/>
      </w:pPr>
      <w:r>
        <w:rPr>
          <w:rFonts w:ascii="Times New Roman" w:hAnsi="Times New Roman" w:eastAsia="Times New Roman"/>
          <w:i w:val="0"/>
          <w:sz w:val="28"/>
        </w:rPr>
        <w:t>— RΣ – интегральный риск реализации кластерного портфеля;</w:t>
      </w:r>
    </w:p>
    <w:p>
      <w:pPr>
        <w:spacing w:line="360" w:lineRule="auto"/>
      </w:pPr>
      <w:r>
        <w:rPr>
          <w:rFonts w:ascii="Times New Roman" w:hAnsi="Times New Roman" w:eastAsia="Times New Roman"/>
          <w:i w:val="0"/>
          <w:sz w:val="28"/>
        </w:rPr>
        <w:t>— Y₀, L₀ – базовые уровни ВВП и занятости для горизонта моделирования;</w:t>
      </w:r>
    </w:p>
    <w:p>
      <w:pPr>
        <w:spacing w:line="360" w:lineRule="auto"/>
      </w:pPr>
      <w:r>
        <w:rPr>
          <w:rFonts w:ascii="Times New Roman" w:hAnsi="Times New Roman" w:eastAsia="Times New Roman"/>
          <w:i w:val="0"/>
          <w:sz w:val="28"/>
        </w:rPr>
        <w:t>— w_Y, w_L, w_S, w_E, w_R – весовые коэффициенты прицеливания целевой функции по экономическим, социальным, экологическим и рисковым компонентам.</w:t>
      </w:r>
    </w:p>
    <w:p>
      <w:pPr>
        <w:spacing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A.2. Кластерные показатели и степени реализации</w:t>
      </w:r>
    </w:p>
    <w:p>
      <w:pPr>
        <w:spacing w:line="360" w:lineRule="auto"/>
      </w:pPr>
      <w:r>
        <w:rPr>
          <w:rFonts w:ascii="Times New Roman" w:hAnsi="Times New Roman" w:eastAsia="Times New Roman"/>
          <w:i w:val="0"/>
          <w:sz w:val="28"/>
        </w:rPr>
        <w:t>Для каждого кластера k вводятся показатели ΔYₖ и xₖ. Показатель ΔYₖ^max интерпретируется как потенциальный прирост валовой добавленной стоимости при полной реализации проектных мероприятий в рамках k-го кластера, а xₖ ∈ [0;1] – как степень фактической реализации данного потенциала. В первом приближении вклад каждого кластера в прирост ВДС может быть представлен в виде линейной зависимости:</w:t>
      </w:r>
    </w:p>
    <w:p>
      <w:pPr>
        <w:jc w:val="center"/>
      </w:pPr>
      <w:r>
        <w:rPr>
          <w:rFonts w:ascii="Cambria Math" w:hAnsi="Cambria Math"/>
          <w:i/>
          <w:sz w:val="24"/>
        </w:rPr>
        <w:t>ΔYₖ(xₖ) = xₖ · ΔYₖ^max,    0 ≤ xₖ ≤ 1.</w:t>
      </w:r>
    </w:p>
    <w:p>
      <w:pPr>
        <w:spacing w:line="360" w:lineRule="auto"/>
      </w:pPr>
      <w:r>
        <w:rPr>
          <w:rFonts w:ascii="Times New Roman" w:hAnsi="Times New Roman" w:eastAsia="Times New Roman"/>
          <w:i w:val="0"/>
          <w:sz w:val="28"/>
        </w:rPr>
        <w:t>где ΔYₖ(xₖ) – фактический вклад k-го кластера в прирост валовой добавленной стоимости при заданном уровне реализации xₖ; ΔYₖ^max – оценочный максимум прироста ВДС для k-го кластера при xₖ = 1; xₖ – степень реализации кластера, принимающая значения от 0 (кластер не реализуется) до 1 (кластер реализован в полном объёме).</w:t>
      </w:r>
    </w:p>
    <w:p>
      <w:pPr>
        <w:spacing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A.3. Локальные формулы по кластерам платформы «Берег Восхода»</w:t>
      </w:r>
    </w:p>
    <w:p>
      <w:pPr>
        <w:jc w:val="center"/>
      </w:pPr>
      <w:r>
        <w:rPr>
          <w:rFonts w:ascii="Cambria Math" w:hAnsi="Cambria Math"/>
          <w:i/>
          <w:sz w:val="24"/>
        </w:rPr>
        <w:t>ΔY₁(x₁) = x₁ · ΔY₁^max,</w:t>
      </w:r>
    </w:p>
    <w:p>
      <w:pPr>
        <w:spacing w:line="360" w:lineRule="auto"/>
      </w:pPr>
      <w:r>
        <w:rPr>
          <w:rFonts w:ascii="Times New Roman" w:hAnsi="Times New Roman" w:eastAsia="Times New Roman"/>
          <w:i w:val="0"/>
          <w:sz w:val="28"/>
        </w:rPr>
        <w:t>где где ΔY₁^max – потенциал прироста ВДС кластера I (агропереработка и какао-индустрия); x₁ – степень реализации агроперерабатывающего кластера.</w:t>
      </w:r>
    </w:p>
    <w:p>
      <w:pPr>
        <w:jc w:val="center"/>
      </w:pPr>
      <w:r>
        <w:rPr>
          <w:rFonts w:ascii="Cambria Math" w:hAnsi="Cambria Math"/>
          <w:i/>
          <w:sz w:val="24"/>
        </w:rPr>
        <w:t>ΔY₂(x₂) = x₂ · ΔY₂^max,</w:t>
      </w:r>
    </w:p>
    <w:p>
      <w:pPr>
        <w:spacing w:line="360" w:lineRule="auto"/>
      </w:pPr>
      <w:r>
        <w:rPr>
          <w:rFonts w:ascii="Times New Roman" w:hAnsi="Times New Roman" w:eastAsia="Times New Roman"/>
          <w:i w:val="0"/>
          <w:sz w:val="28"/>
        </w:rPr>
        <w:t>где где ΔY₂^max – потенциал прироста ВДС кластера II (портово-логистический кластер); x₂ – степень реализации портовой и логистической инфраструктуры.</w:t>
      </w:r>
    </w:p>
    <w:p>
      <w:pPr>
        <w:jc w:val="center"/>
      </w:pPr>
      <w:r>
        <w:rPr>
          <w:rFonts w:ascii="Cambria Math" w:hAnsi="Cambria Math"/>
          <w:i/>
          <w:sz w:val="24"/>
        </w:rPr>
        <w:t>ΔY₃(x₃) = x₃ · ΔY₃^max,</w:t>
      </w:r>
    </w:p>
    <w:p>
      <w:pPr>
        <w:spacing w:line="360" w:lineRule="auto"/>
      </w:pPr>
      <w:r>
        <w:rPr>
          <w:rFonts w:ascii="Times New Roman" w:hAnsi="Times New Roman" w:eastAsia="Times New Roman"/>
          <w:i w:val="0"/>
          <w:sz w:val="28"/>
        </w:rPr>
        <w:t>где где ΔY₃^max – потенциал прироста ВДС кластера III (индустриальный кластер и специальные экономические зоны); x₃ – степень реализации индустриального кластера.</w:t>
      </w:r>
    </w:p>
    <w:p>
      <w:pPr>
        <w:jc w:val="center"/>
      </w:pPr>
      <w:r>
        <w:rPr>
          <w:rFonts w:ascii="Cambria Math" w:hAnsi="Cambria Math"/>
          <w:i/>
          <w:sz w:val="24"/>
        </w:rPr>
        <w:t>ΔY₄(x₄) = x₄ · ΔY₄^max,</w:t>
      </w:r>
    </w:p>
    <w:p>
      <w:pPr>
        <w:spacing w:line="360" w:lineRule="auto"/>
      </w:pPr>
      <w:r>
        <w:rPr>
          <w:rFonts w:ascii="Times New Roman" w:hAnsi="Times New Roman" w:eastAsia="Times New Roman"/>
          <w:i w:val="0"/>
          <w:sz w:val="28"/>
        </w:rPr>
        <w:t>где где ΔY₄^max – потенциал прироста ВДС кластера IV (цифровая платформа и сервисы данных); x₄ – степень реализации цифровой платформы.</w:t>
      </w:r>
    </w:p>
    <w:p>
      <w:pPr>
        <w:jc w:val="center"/>
      </w:pPr>
      <w:r>
        <w:rPr>
          <w:rFonts w:ascii="Cambria Math" w:hAnsi="Cambria Math"/>
          <w:i/>
          <w:sz w:val="24"/>
        </w:rPr>
        <w:t>ΔY₅(x₅) = x₅ · ΔY₅^max,</w:t>
      </w:r>
    </w:p>
    <w:p>
      <w:pPr>
        <w:spacing w:line="360" w:lineRule="auto"/>
      </w:pPr>
      <w:r>
        <w:rPr>
          <w:rFonts w:ascii="Times New Roman" w:hAnsi="Times New Roman" w:eastAsia="Times New Roman"/>
          <w:i w:val="0"/>
          <w:sz w:val="28"/>
        </w:rPr>
        <w:t>где где ΔY₅^max – потенциал прироста ВДС кластера V (образование и исследовательская инфраструктура); x₅ – степень реализации образовательного и R&amp;D-кластера.</w:t>
      </w:r>
    </w:p>
    <w:p>
      <w:pPr>
        <w:jc w:val="center"/>
      </w:pPr>
      <w:r>
        <w:rPr>
          <w:rFonts w:ascii="Cambria Math" w:hAnsi="Cambria Math"/>
          <w:i/>
          <w:sz w:val="24"/>
        </w:rPr>
        <w:t>ΔY₆(x₆) = x₆ · ΔY₆^max,</w:t>
      </w:r>
    </w:p>
    <w:p>
      <w:pPr>
        <w:spacing w:line="360" w:lineRule="auto"/>
      </w:pPr>
      <w:r>
        <w:rPr>
          <w:rFonts w:ascii="Times New Roman" w:hAnsi="Times New Roman" w:eastAsia="Times New Roman"/>
          <w:i w:val="0"/>
          <w:sz w:val="28"/>
        </w:rPr>
        <w:t>где где ΔY₆^max – потенциал прироста ВДС кластера VI (энергетический и ESG-кластер); x₆ – степень реализации энергетического кластера.</w:t>
      </w:r>
    </w:p>
    <w:p>
      <w:pPr>
        <w:jc w:val="center"/>
      </w:pPr>
      <w:r>
        <w:rPr>
          <w:rFonts w:ascii="Cambria Math" w:hAnsi="Cambria Math"/>
          <w:i/>
          <w:sz w:val="24"/>
        </w:rPr>
        <w:t>ΔY₇(x₇) = x₇ · ΔY₇^max,</w:t>
      </w:r>
    </w:p>
    <w:p>
      <w:pPr>
        <w:spacing w:line="360" w:lineRule="auto"/>
      </w:pPr>
      <w:r>
        <w:rPr>
          <w:rFonts w:ascii="Times New Roman" w:hAnsi="Times New Roman" w:eastAsia="Times New Roman"/>
          <w:i w:val="0"/>
          <w:sz w:val="28"/>
        </w:rPr>
        <w:t>где где ΔY₇^max – потенциал прироста ВДС кластера VII (финансово-инвестиционный кластер); x₇ – степень развития финансовой инфраструктуры и инструментов финансирования проектов.</w:t>
      </w:r>
    </w:p>
    <w:p>
      <w:pPr>
        <w:jc w:val="center"/>
      </w:pPr>
      <w:r>
        <w:rPr>
          <w:rFonts w:ascii="Cambria Math" w:hAnsi="Cambria Math"/>
          <w:i/>
          <w:sz w:val="24"/>
        </w:rPr>
        <w:t>ΔY₈(x₈) = x₈ · ΔY₈^max,</w:t>
      </w:r>
    </w:p>
    <w:p>
      <w:pPr>
        <w:spacing w:line="360" w:lineRule="auto"/>
      </w:pPr>
      <w:r>
        <w:rPr>
          <w:rFonts w:ascii="Times New Roman" w:hAnsi="Times New Roman" w:eastAsia="Times New Roman"/>
          <w:i w:val="0"/>
          <w:sz w:val="28"/>
        </w:rPr>
        <w:t>где где ΔY₈^max – потенциал прироста ВДС кластера VIII (социально-инклюзивный и урбанистический кластер); x₈ – степень развития социальной и городской инфраструктуры прибрежной зоны.</w:t>
      </w:r>
    </w:p>
    <w:p>
      <w:pPr>
        <w:jc w:val="center"/>
      </w:pPr>
      <w:r>
        <w:rPr>
          <w:rFonts w:ascii="Cambria Math" w:hAnsi="Cambria Math"/>
          <w:i/>
          <w:sz w:val="24"/>
        </w:rPr>
        <w:t>ΔY₉(x₉) = x₉ · ΔY₉^max,</w:t>
      </w:r>
    </w:p>
    <w:p>
      <w:pPr>
        <w:spacing w:line="360" w:lineRule="auto"/>
      </w:pPr>
      <w:r>
        <w:rPr>
          <w:rFonts w:ascii="Times New Roman" w:hAnsi="Times New Roman" w:eastAsia="Times New Roman"/>
          <w:i w:val="0"/>
          <w:sz w:val="28"/>
        </w:rPr>
        <w:t>где где ΔY₉^max – потенциал прироста ВДС кластера IX (экологический и климатический кластер), включая эффект от предотвращённого ущерба; x₉ – степень реализации экологических и климатических мероприятий.</w:t>
      </w:r>
    </w:p>
    <w:sectPr>
      <w:headerReference w:type="default" r:id="rId6"/>
      <w:footerReference w:type="default" r:id="rId7"/>
      <w:pgSz w:w="11906" w:h="16838" w:orient="portrait"/>
      <w:pgMar w:top="1440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BFAD" w:sz="4" w:space="4"/>
      </w:pBd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4A2E" w:sz="4" w:space="4"/>
      </w:pBdr>
      <w:jc w:val="right"/>
    </w:pPr>
    <w:r>
      <w:rPr>
        <w:rFonts w:ascii="Cambria" w:cs="Cambria" w:eastAsia="Cambria" w:hAnsi="Cambria"/>
        <w:i/>
        <w:iCs/>
        <w:color w:val="7A6C55"/>
        <w:sz w:val="18"/>
        <w:szCs w:val="18"/>
      </w:rPr>
      <w:t xml:space="preserve">«Берег Восхода»  ·  Механизм платформенной модели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ambria" w:cs="Cambria" w:eastAsia="Cambria" w:hAnsi="Cambria"/>
      <w:b/>
      <w:bCs/>
      <w:color w:val="1A2E1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Cambria" w:cs="Cambria" w:eastAsia="Cambria" w:hAnsi="Cambria"/>
      <w:b/>
      <w:bCs/>
      <w:color w:val="0F264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mbria" w:cs="Cambria" w:eastAsia="Cambria" w:hAnsi="Cambria"/>
      <w:b/>
      <w:bCs/>
      <w:i/>
      <w:iCs/>
      <w:color w:val="2C4A2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2026-02-22T20:55:54.421Z</dcterms:created>
  <dcterms:modified xsi:type="dcterms:W3CDTF">2026-02-22T20:55:54.422Z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