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1B77" w14:textId="77777777" w:rsidR="00262CE4" w:rsidRPr="00B93886" w:rsidRDefault="00000000" w:rsidP="00B93886">
      <w:pPr>
        <w:spacing w:after="0" w:line="360" w:lineRule="auto"/>
        <w:jc w:val="both"/>
        <w:rPr>
          <w:lang w:val="ru-RU"/>
        </w:rPr>
      </w:pPr>
      <w:r w:rsidRPr="00B93886">
        <w:rPr>
          <w:b/>
          <w:lang w:val="ru-RU"/>
        </w:rPr>
        <w:t xml:space="preserve">3.3.2. Кластер </w:t>
      </w:r>
      <w:r>
        <w:rPr>
          <w:b/>
        </w:rPr>
        <w:t>II</w:t>
      </w:r>
      <w:r w:rsidRPr="00B93886">
        <w:rPr>
          <w:b/>
          <w:lang w:val="ru-RU"/>
        </w:rPr>
        <w:t>: Портово-логистический хаб</w:t>
      </w:r>
    </w:p>
    <w:p w14:paraId="355368CA" w14:textId="77777777" w:rsidR="00262CE4" w:rsidRPr="001D1EEB" w:rsidRDefault="00000000" w:rsidP="00B93886">
      <w:pPr>
        <w:spacing w:after="0" w:line="360" w:lineRule="auto"/>
        <w:ind w:firstLine="709"/>
        <w:jc w:val="both"/>
        <w:rPr>
          <w:lang w:val="ru-RU"/>
        </w:rPr>
      </w:pPr>
      <w:r w:rsidRPr="00B93886">
        <w:rPr>
          <w:lang w:val="ru-RU"/>
        </w:rPr>
        <w:t xml:space="preserve">Кластер </w:t>
      </w:r>
      <w:r>
        <w:t>II</w:t>
      </w:r>
      <w:r w:rsidRPr="00B93886">
        <w:rPr>
          <w:lang w:val="ru-RU"/>
        </w:rPr>
        <w:t xml:space="preserve"> формирует логистический каркас инновационного проекта «Берег Восхода», обеспечивая трансформацию порта Абиджана из национального транспортного узла в региональный хаб для стран </w:t>
      </w:r>
      <w:proofErr w:type="spellStart"/>
      <w:r w:rsidRPr="00B93886">
        <w:rPr>
          <w:highlight w:val="yellow"/>
          <w:lang w:val="ru-RU"/>
        </w:rPr>
        <w:t>Сахеля</w:t>
      </w:r>
      <w:proofErr w:type="spellEnd"/>
      <w:r w:rsidRPr="00B93886">
        <w:rPr>
          <w:lang w:val="ru-RU"/>
        </w:rPr>
        <w:t xml:space="preserve"> в рамках зоны свободной торговли </w:t>
      </w:r>
      <w:proofErr w:type="spellStart"/>
      <w:r w:rsidRPr="00B93886">
        <w:rPr>
          <w:highlight w:val="yellow"/>
        </w:rPr>
        <w:t>AfCFTA</w:t>
      </w:r>
      <w:proofErr w:type="spellEnd"/>
      <w:r w:rsidRPr="00B93886">
        <w:rPr>
          <w:lang w:val="ru-RU"/>
        </w:rPr>
        <w:t>. В отличие от традиционного подхода к развитию портовой инфраструктуры, кластерный формат предполагает одновременную модернизацию физической инфраструктуры, цифровизацию логистических процессов и создание припортовых индустриальных зон, что позволяет существенно снизить транзакционные и операционные издержки внешней торговли.</w:t>
      </w:r>
    </w:p>
    <w:p w14:paraId="0943C41C" w14:textId="77777777" w:rsidR="00B93886" w:rsidRPr="001D1EEB" w:rsidRDefault="00B93886" w:rsidP="00B93886">
      <w:pPr>
        <w:spacing w:after="0" w:line="360" w:lineRule="auto"/>
        <w:ind w:firstLine="709"/>
        <w:jc w:val="both"/>
        <w:rPr>
          <w:lang w:val="ru-RU"/>
        </w:rPr>
      </w:pPr>
    </w:p>
    <w:p w14:paraId="5BE7EEF0" w14:textId="77777777" w:rsidR="00262CE4" w:rsidRPr="00B93886" w:rsidRDefault="00000000" w:rsidP="00B93886">
      <w:pPr>
        <w:spacing w:after="0" w:line="360" w:lineRule="auto"/>
        <w:ind w:firstLine="709"/>
        <w:jc w:val="both"/>
        <w:rPr>
          <w:lang w:val="ru-RU"/>
        </w:rPr>
      </w:pPr>
      <w:r w:rsidRPr="00B93886">
        <w:rPr>
          <w:b/>
          <w:lang w:val="ru-RU"/>
        </w:rPr>
        <w:t>Рисунок 3.3.2 – Схема портово-логистического кластера</w:t>
      </w:r>
    </w:p>
    <w:p w14:paraId="6BC65A0E" w14:textId="77777777" w:rsidR="00262CE4" w:rsidRPr="00B93886" w:rsidRDefault="00000000" w:rsidP="00B93886">
      <w:pPr>
        <w:spacing w:after="0" w:line="360" w:lineRule="auto"/>
        <w:ind w:firstLine="709"/>
        <w:jc w:val="both"/>
        <w:rPr>
          <w:lang w:val="ru-RU"/>
        </w:rPr>
      </w:pPr>
      <w:r w:rsidRPr="00B93886">
        <w:rPr>
          <w:lang w:val="ru-RU"/>
        </w:rPr>
        <w:t xml:space="preserve">Схема кластера </w:t>
      </w:r>
      <w:r>
        <w:t>II</w:t>
      </w:r>
      <w:r w:rsidRPr="00B93886">
        <w:rPr>
          <w:lang w:val="ru-RU"/>
        </w:rPr>
        <w:t xml:space="preserve"> отражает порт Абиджана как центральный элемент системы, через который проходят как национальные экспортно-импортные потоки, так и транзитные грузопотоки стран </w:t>
      </w:r>
      <w:proofErr w:type="spellStart"/>
      <w:r w:rsidRPr="00B93886">
        <w:rPr>
          <w:lang w:val="ru-RU"/>
        </w:rPr>
        <w:t>Сахеля</w:t>
      </w:r>
      <w:proofErr w:type="spellEnd"/>
      <w:r w:rsidRPr="00B93886">
        <w:rPr>
          <w:lang w:val="ru-RU"/>
        </w:rPr>
        <w:t xml:space="preserve"> (Буркина-Фасо, Мали, Нигер, Гвинея). Базовый грузооборот порта оценивается в 31 млн т (2024 г.) с целевым ростом до 52 млн т к 2035 г. за счет расширения контейнерных терминалов, развития нефтяного терминала, модернизации железнодорожных и автомобильных подъездных путей, а также создания припортовых индустриальных зон. На схеме выделены связи с кластером </w:t>
      </w:r>
      <w:r>
        <w:t>I</w:t>
      </w:r>
      <w:r w:rsidRPr="00B93886">
        <w:rPr>
          <w:lang w:val="ru-RU"/>
        </w:rPr>
        <w:t xml:space="preserve"> (экспорт продукции агропереработки) и кластером </w:t>
      </w:r>
      <w:r>
        <w:t>III</w:t>
      </w:r>
      <w:r w:rsidRPr="00B93886">
        <w:rPr>
          <w:lang w:val="ru-RU"/>
        </w:rPr>
        <w:t xml:space="preserve"> (припортовые индустриальные зоны), а также интеграция с цифровой платформой через модуль </w:t>
      </w:r>
      <w:r>
        <w:t>Logistics</w:t>
      </w:r>
      <w:r w:rsidRPr="00B93886">
        <w:rPr>
          <w:lang w:val="ru-RU"/>
        </w:rPr>
        <w:t>.</w:t>
      </w:r>
    </w:p>
    <w:p w14:paraId="3379C85E" w14:textId="77777777" w:rsidR="00262CE4" w:rsidRPr="00B93886" w:rsidRDefault="00000000" w:rsidP="00B93886">
      <w:pPr>
        <w:spacing w:after="0" w:line="360" w:lineRule="auto"/>
        <w:ind w:firstLine="709"/>
        <w:jc w:val="both"/>
        <w:rPr>
          <w:lang w:val="ru-RU"/>
        </w:rPr>
      </w:pPr>
      <w:r w:rsidRPr="00B93886">
        <w:rPr>
          <w:lang w:val="ru-RU"/>
        </w:rPr>
        <w:t xml:space="preserve">Вывод по рисунку 3.3.2: портово-логистический кластер встраивает порт Абиджана в </w:t>
      </w:r>
      <w:proofErr w:type="spellStart"/>
      <w:r w:rsidRPr="00B93886">
        <w:rPr>
          <w:lang w:val="ru-RU"/>
        </w:rPr>
        <w:t>мультисекторальную</w:t>
      </w:r>
      <w:proofErr w:type="spellEnd"/>
      <w:r w:rsidRPr="00B93886">
        <w:rPr>
          <w:lang w:val="ru-RU"/>
        </w:rPr>
        <w:t xml:space="preserve"> архитектуру проекта «Берег Восхода», превращая его из «бутылочного горлышка» внешнеэкономической деятельности в источник устойчивого роста добавленной стоимости за счет </w:t>
      </w:r>
      <w:r w:rsidRPr="00B93886">
        <w:rPr>
          <w:lang w:val="ru-RU"/>
        </w:rPr>
        <w:lastRenderedPageBreak/>
        <w:t>увеличения транзита, сокращения издержек и создания новых сервисов для экспортеров и резидентов СЭЗ.</w:t>
      </w:r>
    </w:p>
    <w:p w14:paraId="62088C99" w14:textId="77777777" w:rsidR="00262CE4" w:rsidRPr="00B93886" w:rsidRDefault="00000000" w:rsidP="00B93886">
      <w:pPr>
        <w:spacing w:after="0" w:line="360" w:lineRule="auto"/>
        <w:jc w:val="both"/>
        <w:rPr>
          <w:lang w:val="ru-RU"/>
        </w:rPr>
      </w:pPr>
      <w:r w:rsidRPr="00B93886">
        <w:rPr>
          <w:b/>
          <w:lang w:val="ru-RU"/>
        </w:rPr>
        <w:t>Основные аттракторы и участники – кадровая структура кластера</w:t>
      </w:r>
    </w:p>
    <w:p w14:paraId="7D06AA3C" w14:textId="77777777" w:rsidR="00262CE4" w:rsidRPr="00B93886" w:rsidRDefault="00000000" w:rsidP="00B93886">
      <w:pPr>
        <w:spacing w:after="0" w:line="360" w:lineRule="auto"/>
        <w:ind w:firstLine="709"/>
        <w:jc w:val="both"/>
        <w:rPr>
          <w:lang w:val="ru-RU"/>
        </w:rPr>
      </w:pPr>
      <w:r w:rsidRPr="00B93886">
        <w:rPr>
          <w:lang w:val="ru-RU"/>
        </w:rPr>
        <w:t>Ключевыми институциональными аттракторами кластера выступают: администрация порта Абиджана, частные операторы контейнерных и навалочных терминалов, таможенные и пограничные службы, железнодорожные и автотранспортные компании, а также припортовые логистические операторы складского и мультимодального обслуживания.</w:t>
      </w:r>
    </w:p>
    <w:p w14:paraId="03BDCC24" w14:textId="77777777" w:rsidR="00262CE4" w:rsidRPr="00B93886" w:rsidRDefault="00000000" w:rsidP="00B93886">
      <w:pPr>
        <w:spacing w:after="0" w:line="360" w:lineRule="auto"/>
        <w:ind w:firstLine="709"/>
        <w:jc w:val="both"/>
        <w:rPr>
          <w:lang w:val="ru-RU"/>
        </w:rPr>
      </w:pPr>
      <w:r w:rsidRPr="00B93886">
        <w:rPr>
          <w:lang w:val="ru-RU"/>
        </w:rPr>
        <w:t>Кадровая структура кластера включает четыре основных группы специалистов: 1) операторы терминалов и перегрузочного оборудования; 2) логисты и специалисты по управлению цепями поставок (</w:t>
      </w:r>
      <w:r>
        <w:t>SCM</w:t>
      </w:r>
      <w:r w:rsidRPr="00B93886">
        <w:rPr>
          <w:lang w:val="ru-RU"/>
        </w:rPr>
        <w:t xml:space="preserve">); 3) таможенные декларанты и специалисты по внешнеэкономической деятельности; 4) </w:t>
      </w:r>
      <w:r>
        <w:t>IT</w:t>
      </w:r>
      <w:r w:rsidRPr="00B93886">
        <w:rPr>
          <w:lang w:val="ru-RU"/>
        </w:rPr>
        <w:t>-специалисты по сопровождению портовых информационных систем и модулей цифровой платформы. С учетом целевого роста грузооборота и цифровизации процессов дополнительная потребность в квалифицированных кадрах оценивается на уровне не менее 25 тыс. рабочих мест прямой занятости, формируемых в горизонте до 2035 г., при существенном мультипликативном эффекте на смежные сектора услуг и транспорта.</w:t>
      </w:r>
    </w:p>
    <w:p w14:paraId="234D3CCC" w14:textId="77777777" w:rsidR="00262CE4" w:rsidRPr="00B93886" w:rsidRDefault="00000000" w:rsidP="00B93886">
      <w:pPr>
        <w:spacing w:after="0" w:line="360" w:lineRule="auto"/>
        <w:ind w:firstLine="709"/>
        <w:jc w:val="both"/>
        <w:rPr>
          <w:lang w:val="ru-RU"/>
        </w:rPr>
      </w:pPr>
      <w:r w:rsidRPr="00B93886">
        <w:rPr>
          <w:lang w:val="ru-RU"/>
        </w:rPr>
        <w:t xml:space="preserve">С институциональной точки зрения именно концентрация компетенций в области логистики, таможенного регулирования и цифровых сервисов превращает кластер </w:t>
      </w:r>
      <w:r>
        <w:t>II</w:t>
      </w:r>
      <w:r w:rsidRPr="00B93886">
        <w:rPr>
          <w:lang w:val="ru-RU"/>
        </w:rPr>
        <w:t xml:space="preserve"> в аттрактор человеческого капитала для всей прибрежной зоны, усиливая позиции Абиджана как логистического и делового центра Западной Африки.</w:t>
      </w:r>
    </w:p>
    <w:p w14:paraId="65222F08" w14:textId="77777777" w:rsidR="00262CE4" w:rsidRPr="00B93886" w:rsidRDefault="00000000" w:rsidP="00B93886">
      <w:pPr>
        <w:spacing w:after="0" w:line="360" w:lineRule="auto"/>
        <w:jc w:val="both"/>
        <w:rPr>
          <w:lang w:val="ru-RU"/>
        </w:rPr>
      </w:pPr>
      <w:r w:rsidRPr="00B93886">
        <w:rPr>
          <w:b/>
          <w:lang w:val="ru-RU"/>
        </w:rPr>
        <w:t>Основная цель и целевые экономические показатели кластера</w:t>
      </w:r>
    </w:p>
    <w:p w14:paraId="6224050E" w14:textId="77777777" w:rsidR="00B93886" w:rsidRPr="001D1EEB" w:rsidRDefault="00000000" w:rsidP="00B93886">
      <w:pPr>
        <w:spacing w:after="0" w:line="360" w:lineRule="auto"/>
        <w:ind w:firstLine="709"/>
        <w:jc w:val="both"/>
        <w:rPr>
          <w:lang w:val="ru-RU"/>
        </w:rPr>
      </w:pPr>
      <w:r w:rsidRPr="00B93886">
        <w:rPr>
          <w:lang w:val="ru-RU"/>
        </w:rPr>
        <w:t xml:space="preserve">Стратегическая цель кластера </w:t>
      </w:r>
      <w:r>
        <w:t>II</w:t>
      </w:r>
      <w:r w:rsidRPr="00B93886">
        <w:rPr>
          <w:lang w:val="ru-RU"/>
        </w:rPr>
        <w:t xml:space="preserve"> заключается в превращении порта Абиджана в опорный порт-хаб для стран </w:t>
      </w:r>
      <w:proofErr w:type="spellStart"/>
      <w:r w:rsidRPr="00B93886">
        <w:rPr>
          <w:lang w:val="ru-RU"/>
        </w:rPr>
        <w:t>Сахеля</w:t>
      </w:r>
      <w:proofErr w:type="spellEnd"/>
      <w:r w:rsidRPr="00B93886">
        <w:rPr>
          <w:lang w:val="ru-RU"/>
        </w:rPr>
        <w:t xml:space="preserve">, обеспечивающий </w:t>
      </w:r>
      <w:r w:rsidRPr="00B93886">
        <w:rPr>
          <w:lang w:val="ru-RU"/>
        </w:rPr>
        <w:lastRenderedPageBreak/>
        <w:t xml:space="preserve">конкурентоспособные условия транзита и экспорта в рамках </w:t>
      </w:r>
      <w:proofErr w:type="spellStart"/>
      <w:r>
        <w:t>AfCFTA</w:t>
      </w:r>
      <w:proofErr w:type="spellEnd"/>
      <w:r w:rsidRPr="00B93886">
        <w:rPr>
          <w:lang w:val="ru-RU"/>
        </w:rPr>
        <w:t xml:space="preserve"> при одновременном снижении совокупных логистических издержек цепочек поставок на 18–22 % за счет цифровизации и оптимизации процессов. </w:t>
      </w:r>
    </w:p>
    <w:p w14:paraId="3B92A8AE" w14:textId="06A77AF0" w:rsidR="00262CE4" w:rsidRPr="00B93886" w:rsidRDefault="00000000" w:rsidP="00B93886">
      <w:pPr>
        <w:spacing w:after="0" w:line="360" w:lineRule="auto"/>
        <w:ind w:firstLine="709"/>
        <w:jc w:val="both"/>
        <w:rPr>
          <w:lang w:val="ru-RU"/>
        </w:rPr>
      </w:pPr>
      <w:r w:rsidRPr="00B93886">
        <w:rPr>
          <w:lang w:val="ru-RU"/>
        </w:rPr>
        <w:t xml:space="preserve">Реализация данной цели предполагает увеличение грузооборота порта с 31 до 52 млн т к 2035 г., рост доли транзитных грузов до 71 %, а также формирование устойчивого потока обрабатываемых грузов от кластеров </w:t>
      </w:r>
      <w:r>
        <w:t>I</w:t>
      </w:r>
      <w:r w:rsidRPr="00B93886">
        <w:rPr>
          <w:lang w:val="ru-RU"/>
        </w:rPr>
        <w:t xml:space="preserve"> и </w:t>
      </w:r>
      <w:r>
        <w:t>III</w:t>
      </w:r>
      <w:r w:rsidRPr="00B93886">
        <w:rPr>
          <w:lang w:val="ru-RU"/>
        </w:rPr>
        <w:t>.</w:t>
      </w:r>
      <w:r w:rsidR="00B93886" w:rsidRPr="00B93886">
        <w:rPr>
          <w:lang w:val="ru-RU"/>
        </w:rPr>
        <w:t xml:space="preserve"> </w:t>
      </w:r>
      <w:r w:rsidRPr="00B93886">
        <w:rPr>
          <w:lang w:val="ru-RU"/>
        </w:rPr>
        <w:t xml:space="preserve">Сводные целевые экономические показатели кластера </w:t>
      </w:r>
      <w:r>
        <w:t>II</w:t>
      </w:r>
      <w:r w:rsidRPr="00B93886">
        <w:rPr>
          <w:lang w:val="ru-RU"/>
        </w:rPr>
        <w:t xml:space="preserve"> представлены в таблице 3.3.2.1.</w:t>
      </w:r>
    </w:p>
    <w:p w14:paraId="045DE35F" w14:textId="77777777" w:rsidR="00262CE4" w:rsidRPr="00B93886" w:rsidRDefault="00000000" w:rsidP="00B93886">
      <w:pPr>
        <w:spacing w:after="0" w:line="360" w:lineRule="auto"/>
        <w:ind w:firstLine="709"/>
        <w:jc w:val="both"/>
        <w:rPr>
          <w:lang w:val="ru-RU"/>
        </w:rPr>
      </w:pPr>
      <w:r w:rsidRPr="00B93886">
        <w:rPr>
          <w:b/>
          <w:lang w:val="ru-RU"/>
        </w:rPr>
        <w:t xml:space="preserve">Таблица 3.3.2.1 – Целевые экономические показатели кластера </w:t>
      </w:r>
      <w:r>
        <w:rPr>
          <w:b/>
        </w:rPr>
        <w:t>II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262CE4" w14:paraId="5ED23D00" w14:textId="77777777">
        <w:tc>
          <w:tcPr>
            <w:tcW w:w="4535" w:type="dxa"/>
          </w:tcPr>
          <w:p w14:paraId="20E863EB" w14:textId="77777777" w:rsidR="00262CE4" w:rsidRDefault="00000000" w:rsidP="00B93886">
            <w:pPr>
              <w:jc w:val="center"/>
            </w:pPr>
            <w:proofErr w:type="spellStart"/>
            <w:r>
              <w:rPr>
                <w:b/>
              </w:rPr>
              <w:t>Показатель</w:t>
            </w:r>
            <w:proofErr w:type="spellEnd"/>
          </w:p>
        </w:tc>
        <w:tc>
          <w:tcPr>
            <w:tcW w:w="4535" w:type="dxa"/>
          </w:tcPr>
          <w:p w14:paraId="0E4DEEE3" w14:textId="77777777" w:rsidR="00262CE4" w:rsidRDefault="00000000" w:rsidP="00B93886">
            <w:pPr>
              <w:jc w:val="center"/>
            </w:pPr>
            <w:r>
              <w:rPr>
                <w:b/>
              </w:rPr>
              <w:t>Значение к 2035 г.</w:t>
            </w:r>
          </w:p>
        </w:tc>
      </w:tr>
      <w:tr w:rsidR="00262CE4" w14:paraId="24BA6211" w14:textId="77777777">
        <w:tc>
          <w:tcPr>
            <w:tcW w:w="4535" w:type="dxa"/>
          </w:tcPr>
          <w:p w14:paraId="427B0E3A" w14:textId="77777777" w:rsidR="00262CE4" w:rsidRDefault="00000000" w:rsidP="00B93886">
            <w:pPr>
              <w:jc w:val="both"/>
            </w:pPr>
            <w:r>
              <w:t>Грузооборот порта Абиджана</w:t>
            </w:r>
          </w:p>
        </w:tc>
        <w:tc>
          <w:tcPr>
            <w:tcW w:w="4535" w:type="dxa"/>
          </w:tcPr>
          <w:p w14:paraId="05DDB020" w14:textId="77777777" w:rsidR="00262CE4" w:rsidRDefault="00000000" w:rsidP="00B93886">
            <w:pPr>
              <w:jc w:val="both"/>
            </w:pPr>
            <w:r>
              <w:t>52 млн т/год</w:t>
            </w:r>
          </w:p>
        </w:tc>
      </w:tr>
      <w:tr w:rsidR="00262CE4" w14:paraId="412D33D4" w14:textId="77777777">
        <w:tc>
          <w:tcPr>
            <w:tcW w:w="4535" w:type="dxa"/>
          </w:tcPr>
          <w:p w14:paraId="1D50E09F" w14:textId="77777777" w:rsidR="00262CE4" w:rsidRDefault="00000000" w:rsidP="00B93886">
            <w:pPr>
              <w:jc w:val="both"/>
            </w:pPr>
            <w:r>
              <w:t>Рост грузооборота относительно базы</w:t>
            </w:r>
          </w:p>
        </w:tc>
        <w:tc>
          <w:tcPr>
            <w:tcW w:w="4535" w:type="dxa"/>
          </w:tcPr>
          <w:p w14:paraId="42C60150" w14:textId="77777777" w:rsidR="00262CE4" w:rsidRDefault="00000000" w:rsidP="00B93886">
            <w:pPr>
              <w:jc w:val="both"/>
            </w:pPr>
            <w:r>
              <w:t>+68 %</w:t>
            </w:r>
          </w:p>
        </w:tc>
      </w:tr>
      <w:tr w:rsidR="00262CE4" w14:paraId="04B466EA" w14:textId="77777777">
        <w:tc>
          <w:tcPr>
            <w:tcW w:w="4535" w:type="dxa"/>
          </w:tcPr>
          <w:p w14:paraId="7E2A16B7" w14:textId="77777777" w:rsidR="00262CE4" w:rsidRDefault="00000000" w:rsidP="00B93886">
            <w:pPr>
              <w:jc w:val="both"/>
            </w:pPr>
            <w:r>
              <w:t>Доля транзита в грузообороте</w:t>
            </w:r>
          </w:p>
        </w:tc>
        <w:tc>
          <w:tcPr>
            <w:tcW w:w="4535" w:type="dxa"/>
          </w:tcPr>
          <w:p w14:paraId="2FB66E5B" w14:textId="77777777" w:rsidR="00262CE4" w:rsidRDefault="00000000" w:rsidP="00B93886">
            <w:pPr>
              <w:jc w:val="both"/>
            </w:pPr>
            <w:r>
              <w:t>71 %</w:t>
            </w:r>
          </w:p>
        </w:tc>
      </w:tr>
      <w:tr w:rsidR="00262CE4" w14:paraId="535709A6" w14:textId="77777777">
        <w:tc>
          <w:tcPr>
            <w:tcW w:w="4535" w:type="dxa"/>
          </w:tcPr>
          <w:p w14:paraId="17DCC7EC" w14:textId="77777777" w:rsidR="00262CE4" w:rsidRDefault="00000000" w:rsidP="00B93886">
            <w:pPr>
              <w:jc w:val="both"/>
            </w:pPr>
            <w:r>
              <w:t>Прирост добавленной стоимости (ΔVA)</w:t>
            </w:r>
          </w:p>
        </w:tc>
        <w:tc>
          <w:tcPr>
            <w:tcW w:w="4535" w:type="dxa"/>
          </w:tcPr>
          <w:p w14:paraId="0BEE62F5" w14:textId="77777777" w:rsidR="00262CE4" w:rsidRDefault="00000000" w:rsidP="00B93886">
            <w:pPr>
              <w:jc w:val="both"/>
            </w:pPr>
            <w:r>
              <w:t>2,5 млрд USD</w:t>
            </w:r>
          </w:p>
        </w:tc>
      </w:tr>
      <w:tr w:rsidR="00262CE4" w14:paraId="4B5307FE" w14:textId="77777777">
        <w:tc>
          <w:tcPr>
            <w:tcW w:w="4535" w:type="dxa"/>
          </w:tcPr>
          <w:p w14:paraId="4D1A0B6E" w14:textId="77777777" w:rsidR="00262CE4" w:rsidRDefault="00000000" w:rsidP="00B93886">
            <w:pPr>
              <w:jc w:val="both"/>
            </w:pPr>
            <w:r>
              <w:t>Инвестиционный мультипликатор (k₂)</w:t>
            </w:r>
          </w:p>
        </w:tc>
        <w:tc>
          <w:tcPr>
            <w:tcW w:w="4535" w:type="dxa"/>
          </w:tcPr>
          <w:p w14:paraId="7B356AE7" w14:textId="77777777" w:rsidR="00262CE4" w:rsidRDefault="00000000" w:rsidP="00B93886">
            <w:pPr>
              <w:jc w:val="both"/>
            </w:pPr>
            <w:r>
              <w:t>1,78</w:t>
            </w:r>
          </w:p>
        </w:tc>
      </w:tr>
      <w:tr w:rsidR="00262CE4" w14:paraId="75BB9CCD" w14:textId="77777777">
        <w:tc>
          <w:tcPr>
            <w:tcW w:w="4535" w:type="dxa"/>
          </w:tcPr>
          <w:p w14:paraId="4B6680A7" w14:textId="77777777" w:rsidR="00262CE4" w:rsidRDefault="00000000" w:rsidP="00B93886">
            <w:pPr>
              <w:jc w:val="both"/>
            </w:pPr>
            <w:r>
              <w:t>Снижение операционных логистических издержек</w:t>
            </w:r>
          </w:p>
        </w:tc>
        <w:tc>
          <w:tcPr>
            <w:tcW w:w="4535" w:type="dxa"/>
          </w:tcPr>
          <w:p w14:paraId="3662574B" w14:textId="77777777" w:rsidR="00262CE4" w:rsidRDefault="00000000" w:rsidP="00B93886">
            <w:pPr>
              <w:jc w:val="both"/>
            </w:pPr>
            <w:r>
              <w:t>18–22 %</w:t>
            </w:r>
          </w:p>
        </w:tc>
      </w:tr>
      <w:tr w:rsidR="00262CE4" w14:paraId="6D77AC2F" w14:textId="77777777">
        <w:tc>
          <w:tcPr>
            <w:tcW w:w="4535" w:type="dxa"/>
          </w:tcPr>
          <w:p w14:paraId="397B6C65" w14:textId="77777777" w:rsidR="00262CE4" w:rsidRPr="00B93886" w:rsidRDefault="00000000" w:rsidP="00B93886">
            <w:pPr>
              <w:jc w:val="both"/>
              <w:rPr>
                <w:lang w:val="ru-RU"/>
              </w:rPr>
            </w:pPr>
            <w:r w:rsidRPr="00B93886">
              <w:rPr>
                <w:lang w:val="ru-RU"/>
              </w:rPr>
              <w:t xml:space="preserve">Вклад кластера </w:t>
            </w:r>
            <w:r>
              <w:t>II</w:t>
            </w:r>
            <w:r w:rsidRPr="00B93886">
              <w:rPr>
                <w:lang w:val="ru-RU"/>
              </w:rPr>
              <w:t xml:space="preserve"> в ВВП</w:t>
            </w:r>
          </w:p>
        </w:tc>
        <w:tc>
          <w:tcPr>
            <w:tcW w:w="4535" w:type="dxa"/>
          </w:tcPr>
          <w:p w14:paraId="4EFA2559" w14:textId="77777777" w:rsidR="00262CE4" w:rsidRDefault="00000000" w:rsidP="00B93886">
            <w:pPr>
              <w:jc w:val="both"/>
            </w:pPr>
            <w:r>
              <w:t xml:space="preserve">+2,0 </w:t>
            </w:r>
            <w:proofErr w:type="spellStart"/>
            <w:r>
              <w:t>п.п</w:t>
            </w:r>
            <w:proofErr w:type="spellEnd"/>
            <w:r>
              <w:t>.</w:t>
            </w:r>
          </w:p>
        </w:tc>
      </w:tr>
      <w:tr w:rsidR="00262CE4" w14:paraId="3B86AF23" w14:textId="77777777">
        <w:tc>
          <w:tcPr>
            <w:tcW w:w="4535" w:type="dxa"/>
          </w:tcPr>
          <w:p w14:paraId="231573A6" w14:textId="77777777" w:rsidR="00262CE4" w:rsidRDefault="00000000" w:rsidP="00B93886">
            <w:pPr>
              <w:jc w:val="both"/>
            </w:pPr>
            <w:r>
              <w:t>Горизонт реализации основных инвестиций</w:t>
            </w:r>
          </w:p>
        </w:tc>
        <w:tc>
          <w:tcPr>
            <w:tcW w:w="4535" w:type="dxa"/>
          </w:tcPr>
          <w:p w14:paraId="0902626D" w14:textId="77777777" w:rsidR="00262CE4" w:rsidRDefault="00000000" w:rsidP="00B93886">
            <w:pPr>
              <w:jc w:val="both"/>
            </w:pPr>
            <w:r>
              <w:t>2025–2031 гг.</w:t>
            </w:r>
          </w:p>
        </w:tc>
      </w:tr>
    </w:tbl>
    <w:p w14:paraId="38F9ACC1" w14:textId="77777777" w:rsidR="00262CE4" w:rsidRPr="00B93886" w:rsidRDefault="00000000" w:rsidP="00B93886">
      <w:pPr>
        <w:spacing w:after="0" w:line="360" w:lineRule="auto"/>
        <w:ind w:firstLine="709"/>
        <w:jc w:val="both"/>
        <w:rPr>
          <w:lang w:val="ru-RU"/>
        </w:rPr>
      </w:pPr>
      <w:r w:rsidRPr="00B93886">
        <w:rPr>
          <w:lang w:val="ru-RU"/>
        </w:rPr>
        <w:t xml:space="preserve">Как видно из таблицы 3.3.2.1, при общем объеме капитальных вложений на уровне 2,20 млрд </w:t>
      </w:r>
      <w:r>
        <w:t>USD</w:t>
      </w:r>
      <w:r w:rsidRPr="00B93886">
        <w:rPr>
          <w:lang w:val="ru-RU"/>
        </w:rPr>
        <w:t xml:space="preserve"> кластер </w:t>
      </w:r>
      <w:r>
        <w:t>II</w:t>
      </w:r>
      <w:r w:rsidRPr="00B93886">
        <w:rPr>
          <w:lang w:val="ru-RU"/>
        </w:rPr>
        <w:t xml:space="preserve"> обеспечивает прирост добавленной стоимости порядка 2,5 млрд </w:t>
      </w:r>
      <w:r>
        <w:t>USD</w:t>
      </w:r>
      <w:r w:rsidRPr="00B93886">
        <w:rPr>
          <w:lang w:val="ru-RU"/>
        </w:rPr>
        <w:t xml:space="preserve">, что соответствует инвестиционному мультипликатору 1,78. С учетом </w:t>
      </w:r>
      <w:proofErr w:type="spellStart"/>
      <w:r w:rsidRPr="00B93886">
        <w:rPr>
          <w:lang w:val="ru-RU"/>
        </w:rPr>
        <w:t>мультисекторальных</w:t>
      </w:r>
      <w:proofErr w:type="spellEnd"/>
      <w:r w:rsidRPr="00B93886">
        <w:rPr>
          <w:lang w:val="ru-RU"/>
        </w:rPr>
        <w:t xml:space="preserve"> связей с кластерами </w:t>
      </w:r>
      <w:r>
        <w:t>I</w:t>
      </w:r>
      <w:r w:rsidRPr="00B93886">
        <w:rPr>
          <w:lang w:val="ru-RU"/>
        </w:rPr>
        <w:t xml:space="preserve"> и </w:t>
      </w:r>
      <w:r>
        <w:t>III</w:t>
      </w:r>
      <w:r w:rsidRPr="00B93886">
        <w:rPr>
          <w:lang w:val="ru-RU"/>
        </w:rPr>
        <w:t xml:space="preserve"> фактический вклад кластера в прирост ВВП может быть еще выше за счет эффектов транзита и обработки экспортных потоков.</w:t>
      </w:r>
    </w:p>
    <w:p w14:paraId="5D653630" w14:textId="77777777" w:rsidR="00262CE4" w:rsidRPr="00B93886" w:rsidRDefault="00000000" w:rsidP="00B93886">
      <w:pPr>
        <w:spacing w:after="0" w:line="360" w:lineRule="auto"/>
        <w:jc w:val="both"/>
        <w:rPr>
          <w:lang w:val="ru-RU"/>
        </w:rPr>
      </w:pPr>
      <w:r w:rsidRPr="00B93886">
        <w:rPr>
          <w:b/>
          <w:lang w:val="ru-RU"/>
        </w:rPr>
        <w:t>Инвестиционная модель и финансовая архитектура кластера</w:t>
      </w:r>
    </w:p>
    <w:p w14:paraId="0EDCB39F" w14:textId="77777777" w:rsidR="00262CE4" w:rsidRPr="00B93886" w:rsidRDefault="00000000" w:rsidP="00B93886">
      <w:pPr>
        <w:spacing w:after="0" w:line="360" w:lineRule="auto"/>
        <w:ind w:firstLine="709"/>
        <w:jc w:val="both"/>
        <w:rPr>
          <w:lang w:val="ru-RU"/>
        </w:rPr>
      </w:pPr>
      <w:r w:rsidRPr="00B93886">
        <w:rPr>
          <w:lang w:val="ru-RU"/>
        </w:rPr>
        <w:lastRenderedPageBreak/>
        <w:t xml:space="preserve">Инвестиционная модель кластера </w:t>
      </w:r>
      <w:r>
        <w:t>II</w:t>
      </w:r>
      <w:r w:rsidRPr="00B93886">
        <w:rPr>
          <w:lang w:val="ru-RU"/>
        </w:rPr>
        <w:t xml:space="preserve"> включает пять ключевых направлений капитальных вложений, сфокусированных на расширении пропускной способности порта, цифровизации процедур и создании припортовых индустриальных зон. Структура капитала по направлениям представлена в таблице 3.3.2.2.</w:t>
      </w:r>
    </w:p>
    <w:p w14:paraId="43E3889E" w14:textId="77777777" w:rsidR="00262CE4" w:rsidRPr="00B93886" w:rsidRDefault="00000000" w:rsidP="00B93886">
      <w:pPr>
        <w:spacing w:after="0" w:line="360" w:lineRule="auto"/>
        <w:ind w:firstLine="709"/>
        <w:jc w:val="both"/>
        <w:rPr>
          <w:lang w:val="ru-RU"/>
        </w:rPr>
      </w:pPr>
      <w:r w:rsidRPr="00B93886">
        <w:rPr>
          <w:b/>
          <w:lang w:val="ru-RU"/>
        </w:rPr>
        <w:t xml:space="preserve">Таблица 3.3.2.2 – Инвестиционный профиль кластера </w:t>
      </w:r>
      <w:r>
        <w:rPr>
          <w:b/>
        </w:rPr>
        <w:t>II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695"/>
        <w:gridCol w:w="1435"/>
        <w:gridCol w:w="2464"/>
        <w:gridCol w:w="3021"/>
      </w:tblGrid>
      <w:tr w:rsidR="00262CE4" w14:paraId="47FBD57E" w14:textId="77777777">
        <w:tc>
          <w:tcPr>
            <w:tcW w:w="3402" w:type="dxa"/>
          </w:tcPr>
          <w:p w14:paraId="0AFCF589" w14:textId="77777777" w:rsidR="00262CE4" w:rsidRDefault="00000000" w:rsidP="00B93886">
            <w:pPr>
              <w:jc w:val="center"/>
            </w:pPr>
            <w:r>
              <w:rPr>
                <w:b/>
              </w:rPr>
              <w:t>Направление инвестиций</w:t>
            </w:r>
          </w:p>
        </w:tc>
        <w:tc>
          <w:tcPr>
            <w:tcW w:w="1701" w:type="dxa"/>
          </w:tcPr>
          <w:p w14:paraId="25643DF8" w14:textId="77777777" w:rsidR="00262CE4" w:rsidRDefault="00000000" w:rsidP="00B93886">
            <w:pPr>
              <w:jc w:val="center"/>
            </w:pPr>
            <w:r>
              <w:rPr>
                <w:b/>
              </w:rPr>
              <w:t>CAPEX, млрд USD</w:t>
            </w:r>
          </w:p>
        </w:tc>
        <w:tc>
          <w:tcPr>
            <w:tcW w:w="2835" w:type="dxa"/>
          </w:tcPr>
          <w:p w14:paraId="11AA2B96" w14:textId="77777777" w:rsidR="00262CE4" w:rsidRDefault="00000000" w:rsidP="00B93886">
            <w:pPr>
              <w:jc w:val="center"/>
            </w:pPr>
            <w:r>
              <w:rPr>
                <w:b/>
              </w:rPr>
              <w:t>Основные источники</w:t>
            </w:r>
          </w:p>
        </w:tc>
        <w:tc>
          <w:tcPr>
            <w:tcW w:w="3969" w:type="dxa"/>
          </w:tcPr>
          <w:p w14:paraId="4856E0D3" w14:textId="77777777" w:rsidR="00262CE4" w:rsidRDefault="00000000" w:rsidP="00B93886">
            <w:pPr>
              <w:jc w:val="center"/>
            </w:pPr>
            <w:r>
              <w:rPr>
                <w:b/>
              </w:rPr>
              <w:t>Инновационная составляющая</w:t>
            </w:r>
          </w:p>
        </w:tc>
      </w:tr>
      <w:tr w:rsidR="00262CE4" w:rsidRPr="001D1EEB" w14:paraId="48297565" w14:textId="77777777">
        <w:tc>
          <w:tcPr>
            <w:tcW w:w="3402" w:type="dxa"/>
          </w:tcPr>
          <w:p w14:paraId="233A309F" w14:textId="77777777" w:rsidR="00262CE4" w:rsidRDefault="00000000" w:rsidP="00B93886">
            <w:pPr>
              <w:jc w:val="both"/>
            </w:pPr>
            <w:r>
              <w:t>Контейнерные терминалы</w:t>
            </w:r>
          </w:p>
        </w:tc>
        <w:tc>
          <w:tcPr>
            <w:tcW w:w="1701" w:type="dxa"/>
          </w:tcPr>
          <w:p w14:paraId="0A68022E" w14:textId="77777777" w:rsidR="00262CE4" w:rsidRDefault="00000000" w:rsidP="00B93886">
            <w:pPr>
              <w:jc w:val="both"/>
            </w:pPr>
            <w:r>
              <w:t>0,80</w:t>
            </w:r>
          </w:p>
        </w:tc>
        <w:tc>
          <w:tcPr>
            <w:tcW w:w="2835" w:type="dxa"/>
          </w:tcPr>
          <w:p w14:paraId="53285DF3" w14:textId="77777777" w:rsidR="00262CE4" w:rsidRDefault="00000000" w:rsidP="00B93886">
            <w:pPr>
              <w:jc w:val="both"/>
            </w:pPr>
            <w:r>
              <w:t>ГЧП, АфБР</w:t>
            </w:r>
          </w:p>
        </w:tc>
        <w:tc>
          <w:tcPr>
            <w:tcW w:w="3969" w:type="dxa"/>
          </w:tcPr>
          <w:p w14:paraId="4EA918CE" w14:textId="77777777" w:rsidR="00262CE4" w:rsidRPr="00B93886" w:rsidRDefault="00000000" w:rsidP="00B93886">
            <w:pPr>
              <w:jc w:val="both"/>
              <w:rPr>
                <w:lang w:val="ru-RU"/>
              </w:rPr>
            </w:pPr>
            <w:r w:rsidRPr="00B93886">
              <w:rPr>
                <w:lang w:val="ru-RU"/>
              </w:rPr>
              <w:t xml:space="preserve">Увеличение пропускной способности, </w:t>
            </w:r>
            <w:r>
              <w:t>deep</w:t>
            </w:r>
            <w:r w:rsidRPr="00B93886">
              <w:rPr>
                <w:lang w:val="ru-RU"/>
              </w:rPr>
              <w:t xml:space="preserve"> </w:t>
            </w:r>
            <w:r>
              <w:t>sea</w:t>
            </w:r>
            <w:r w:rsidRPr="00B93886">
              <w:rPr>
                <w:lang w:val="ru-RU"/>
              </w:rPr>
              <w:t>-терминалы для работы с судами большого тоннажа</w:t>
            </w:r>
          </w:p>
        </w:tc>
      </w:tr>
      <w:tr w:rsidR="00262CE4" w:rsidRPr="001D1EEB" w14:paraId="6E38C845" w14:textId="77777777">
        <w:tc>
          <w:tcPr>
            <w:tcW w:w="3402" w:type="dxa"/>
          </w:tcPr>
          <w:p w14:paraId="7989865E" w14:textId="77777777" w:rsidR="00262CE4" w:rsidRDefault="00000000" w:rsidP="00B93886">
            <w:pPr>
              <w:jc w:val="both"/>
            </w:pPr>
            <w:proofErr w:type="spellStart"/>
            <w:r>
              <w:t>Цифровизация</w:t>
            </w:r>
            <w:proofErr w:type="spellEnd"/>
            <w:r>
              <w:t xml:space="preserve"> (</w:t>
            </w:r>
            <w:proofErr w:type="spellStart"/>
            <w:r>
              <w:t>единое</w:t>
            </w:r>
            <w:proofErr w:type="spellEnd"/>
            <w:r>
              <w:t xml:space="preserve"> </w:t>
            </w:r>
            <w:proofErr w:type="spellStart"/>
            <w:r>
              <w:t>окно</w:t>
            </w:r>
            <w:proofErr w:type="spellEnd"/>
            <w:r>
              <w:t>, AI)</w:t>
            </w:r>
          </w:p>
        </w:tc>
        <w:tc>
          <w:tcPr>
            <w:tcW w:w="1701" w:type="dxa"/>
          </w:tcPr>
          <w:p w14:paraId="2BF4CCD2" w14:textId="77777777" w:rsidR="00262CE4" w:rsidRDefault="00000000" w:rsidP="00B93886">
            <w:pPr>
              <w:jc w:val="both"/>
            </w:pPr>
            <w:r>
              <w:t>0,40</w:t>
            </w:r>
          </w:p>
        </w:tc>
        <w:tc>
          <w:tcPr>
            <w:tcW w:w="2835" w:type="dxa"/>
          </w:tcPr>
          <w:p w14:paraId="696253C0" w14:textId="77777777" w:rsidR="00262CE4" w:rsidRDefault="00000000" w:rsidP="00B93886">
            <w:pPr>
              <w:jc w:val="both"/>
            </w:pPr>
            <w:r>
              <w:t>Цифровые и ESG-фонды</w:t>
            </w:r>
          </w:p>
        </w:tc>
        <w:tc>
          <w:tcPr>
            <w:tcW w:w="3969" w:type="dxa"/>
          </w:tcPr>
          <w:p w14:paraId="7C33E72E" w14:textId="77777777" w:rsidR="00262CE4" w:rsidRPr="00B93886" w:rsidRDefault="00000000" w:rsidP="00B93886">
            <w:pPr>
              <w:jc w:val="both"/>
              <w:rPr>
                <w:lang w:val="ru-RU"/>
              </w:rPr>
            </w:pPr>
            <w:r w:rsidRPr="00B93886">
              <w:rPr>
                <w:lang w:val="ru-RU"/>
              </w:rPr>
              <w:t xml:space="preserve">Единое окно таможенного оформления, </w:t>
            </w:r>
            <w:r>
              <w:t>AI</w:t>
            </w:r>
            <w:r w:rsidRPr="00B93886">
              <w:rPr>
                <w:lang w:val="ru-RU"/>
              </w:rPr>
              <w:t>-оптимизация грузопотоков, снижение времени обработки</w:t>
            </w:r>
          </w:p>
        </w:tc>
      </w:tr>
      <w:tr w:rsidR="00262CE4" w:rsidRPr="001D1EEB" w14:paraId="0CDEC7C1" w14:textId="77777777">
        <w:tc>
          <w:tcPr>
            <w:tcW w:w="3402" w:type="dxa"/>
          </w:tcPr>
          <w:p w14:paraId="1367E2F3" w14:textId="77777777" w:rsidR="00262CE4" w:rsidRDefault="00000000" w:rsidP="00B93886">
            <w:pPr>
              <w:jc w:val="both"/>
            </w:pPr>
            <w:proofErr w:type="spellStart"/>
            <w:r>
              <w:t>Припортовые</w:t>
            </w:r>
            <w:proofErr w:type="spellEnd"/>
            <w:r>
              <w:t xml:space="preserve"> </w:t>
            </w:r>
            <w:proofErr w:type="spellStart"/>
            <w:r>
              <w:t>индустриальные</w:t>
            </w:r>
            <w:proofErr w:type="spellEnd"/>
            <w:r>
              <w:t xml:space="preserve"> </w:t>
            </w:r>
            <w:proofErr w:type="spellStart"/>
            <w:r>
              <w:t>зоны</w:t>
            </w:r>
            <w:proofErr w:type="spellEnd"/>
            <w:r>
              <w:t xml:space="preserve"> (ПИЗ)</w:t>
            </w:r>
          </w:p>
        </w:tc>
        <w:tc>
          <w:tcPr>
            <w:tcW w:w="1701" w:type="dxa"/>
          </w:tcPr>
          <w:p w14:paraId="137A3CB4" w14:textId="77777777" w:rsidR="00262CE4" w:rsidRDefault="00000000" w:rsidP="00B93886">
            <w:pPr>
              <w:jc w:val="both"/>
            </w:pPr>
            <w:r>
              <w:t>0,60</w:t>
            </w:r>
          </w:p>
        </w:tc>
        <w:tc>
          <w:tcPr>
            <w:tcW w:w="2835" w:type="dxa"/>
          </w:tcPr>
          <w:p w14:paraId="53777040" w14:textId="77777777" w:rsidR="00262CE4" w:rsidRPr="00B93886" w:rsidRDefault="00000000" w:rsidP="00B93886">
            <w:pPr>
              <w:jc w:val="both"/>
              <w:rPr>
                <w:lang w:val="ru-RU"/>
              </w:rPr>
            </w:pPr>
            <w:r w:rsidRPr="00B93886">
              <w:rPr>
                <w:lang w:val="ru-RU"/>
              </w:rPr>
              <w:t>Частные СП (Китай, Индия и др.)</w:t>
            </w:r>
          </w:p>
        </w:tc>
        <w:tc>
          <w:tcPr>
            <w:tcW w:w="3969" w:type="dxa"/>
          </w:tcPr>
          <w:p w14:paraId="281A1D32" w14:textId="77777777" w:rsidR="00262CE4" w:rsidRPr="00B93886" w:rsidRDefault="00000000" w:rsidP="00B93886">
            <w:pPr>
              <w:jc w:val="both"/>
              <w:rPr>
                <w:lang w:val="ru-RU"/>
              </w:rPr>
            </w:pPr>
            <w:r w:rsidRPr="00B93886">
              <w:rPr>
                <w:lang w:val="ru-RU"/>
              </w:rPr>
              <w:t>Размещение производств у порта, сокращение логистического плеча для экспортеров</w:t>
            </w:r>
          </w:p>
        </w:tc>
      </w:tr>
      <w:tr w:rsidR="00262CE4" w:rsidRPr="001D1EEB" w14:paraId="55FEEB75" w14:textId="77777777">
        <w:tc>
          <w:tcPr>
            <w:tcW w:w="3402" w:type="dxa"/>
          </w:tcPr>
          <w:p w14:paraId="59A2009E" w14:textId="77777777" w:rsidR="00262CE4" w:rsidRDefault="00000000" w:rsidP="00B93886">
            <w:pPr>
              <w:jc w:val="both"/>
            </w:pPr>
            <w:proofErr w:type="spellStart"/>
            <w:r>
              <w:t>Инфраструктура</w:t>
            </w:r>
            <w:proofErr w:type="spellEnd"/>
            <w:r>
              <w:t xml:space="preserve"> (</w:t>
            </w:r>
            <w:proofErr w:type="spellStart"/>
            <w:r>
              <w:t>дороги</w:t>
            </w:r>
            <w:proofErr w:type="spellEnd"/>
            <w:r>
              <w:t>, Ж/Д)</w:t>
            </w:r>
          </w:p>
        </w:tc>
        <w:tc>
          <w:tcPr>
            <w:tcW w:w="1701" w:type="dxa"/>
          </w:tcPr>
          <w:p w14:paraId="36FE8E82" w14:textId="77777777" w:rsidR="00262CE4" w:rsidRDefault="00000000" w:rsidP="00B93886">
            <w:pPr>
              <w:jc w:val="both"/>
            </w:pPr>
            <w:r>
              <w:t>0,25</w:t>
            </w:r>
          </w:p>
        </w:tc>
        <w:tc>
          <w:tcPr>
            <w:tcW w:w="2835" w:type="dxa"/>
          </w:tcPr>
          <w:p w14:paraId="5EADD449" w14:textId="77777777" w:rsidR="00262CE4" w:rsidRDefault="00000000" w:rsidP="00B93886">
            <w:pPr>
              <w:jc w:val="both"/>
            </w:pPr>
            <w:r>
              <w:t>Госбюджет, Всемирный банк</w:t>
            </w:r>
          </w:p>
        </w:tc>
        <w:tc>
          <w:tcPr>
            <w:tcW w:w="3969" w:type="dxa"/>
          </w:tcPr>
          <w:p w14:paraId="4DB5E42A" w14:textId="77777777" w:rsidR="00262CE4" w:rsidRPr="00B93886" w:rsidRDefault="00000000" w:rsidP="00B93886">
            <w:pPr>
              <w:jc w:val="both"/>
              <w:rPr>
                <w:lang w:val="ru-RU"/>
              </w:rPr>
            </w:pPr>
            <w:r w:rsidRPr="00B93886">
              <w:rPr>
                <w:lang w:val="ru-RU"/>
              </w:rPr>
              <w:t>Модернизация подъездных путей, повышение надежности мультимодальной логистики</w:t>
            </w:r>
          </w:p>
        </w:tc>
      </w:tr>
      <w:tr w:rsidR="00262CE4" w:rsidRPr="001D1EEB" w14:paraId="68A15C2D" w14:textId="77777777">
        <w:tc>
          <w:tcPr>
            <w:tcW w:w="3402" w:type="dxa"/>
          </w:tcPr>
          <w:p w14:paraId="2F9BDD4B" w14:textId="77777777" w:rsidR="00262CE4" w:rsidRDefault="00000000" w:rsidP="00B93886">
            <w:pPr>
              <w:jc w:val="both"/>
            </w:pPr>
            <w:proofErr w:type="spellStart"/>
            <w:r>
              <w:t>Нефтяной</w:t>
            </w:r>
            <w:proofErr w:type="spellEnd"/>
            <w:r>
              <w:t xml:space="preserve"> </w:t>
            </w:r>
            <w:proofErr w:type="spellStart"/>
            <w:r>
              <w:t>терминал</w:t>
            </w:r>
            <w:proofErr w:type="spellEnd"/>
          </w:p>
        </w:tc>
        <w:tc>
          <w:tcPr>
            <w:tcW w:w="1701" w:type="dxa"/>
          </w:tcPr>
          <w:p w14:paraId="09854E68" w14:textId="77777777" w:rsidR="00262CE4" w:rsidRDefault="00000000" w:rsidP="00B93886">
            <w:pPr>
              <w:jc w:val="both"/>
            </w:pPr>
            <w:r>
              <w:t>0,15</w:t>
            </w:r>
          </w:p>
        </w:tc>
        <w:tc>
          <w:tcPr>
            <w:tcW w:w="2835" w:type="dxa"/>
          </w:tcPr>
          <w:p w14:paraId="5A1D9C2F" w14:textId="77777777" w:rsidR="00262CE4" w:rsidRDefault="00000000" w:rsidP="00B93886">
            <w:pPr>
              <w:jc w:val="both"/>
            </w:pPr>
            <w:r>
              <w:t>Концессионные соглашения</w:t>
            </w:r>
          </w:p>
        </w:tc>
        <w:tc>
          <w:tcPr>
            <w:tcW w:w="3969" w:type="dxa"/>
          </w:tcPr>
          <w:p w14:paraId="3CFD9DF4" w14:textId="77777777" w:rsidR="00262CE4" w:rsidRPr="00B93886" w:rsidRDefault="00000000" w:rsidP="00B93886">
            <w:pPr>
              <w:jc w:val="both"/>
              <w:rPr>
                <w:lang w:val="ru-RU"/>
              </w:rPr>
            </w:pPr>
            <w:r w:rsidRPr="00B93886">
              <w:rPr>
                <w:lang w:val="ru-RU"/>
              </w:rPr>
              <w:t xml:space="preserve">Рост перевалки нефтепродуктов, развитие бункеровочного </w:t>
            </w:r>
            <w:r w:rsidRPr="00B93886">
              <w:rPr>
                <w:lang w:val="ru-RU"/>
              </w:rPr>
              <w:lastRenderedPageBreak/>
              <w:t>сервиса</w:t>
            </w:r>
          </w:p>
        </w:tc>
      </w:tr>
      <w:tr w:rsidR="00262CE4" w14:paraId="1000E9FA" w14:textId="77777777">
        <w:tc>
          <w:tcPr>
            <w:tcW w:w="3402" w:type="dxa"/>
          </w:tcPr>
          <w:p w14:paraId="115A0F94" w14:textId="77777777" w:rsidR="00262CE4" w:rsidRDefault="00000000" w:rsidP="00B93886">
            <w:pPr>
              <w:jc w:val="both"/>
            </w:pPr>
            <w:proofErr w:type="spellStart"/>
            <w:r>
              <w:lastRenderedPageBreak/>
              <w:t>Итого</w:t>
            </w:r>
            <w:proofErr w:type="spellEnd"/>
          </w:p>
        </w:tc>
        <w:tc>
          <w:tcPr>
            <w:tcW w:w="1701" w:type="dxa"/>
          </w:tcPr>
          <w:p w14:paraId="47146374" w14:textId="77777777" w:rsidR="00262CE4" w:rsidRDefault="00000000" w:rsidP="00B93886">
            <w:pPr>
              <w:jc w:val="both"/>
            </w:pPr>
            <w:r>
              <w:t>2,20</w:t>
            </w:r>
          </w:p>
        </w:tc>
        <w:tc>
          <w:tcPr>
            <w:tcW w:w="2835" w:type="dxa"/>
          </w:tcPr>
          <w:p w14:paraId="743825F0" w14:textId="77777777" w:rsidR="00262CE4" w:rsidRDefault="00000000" w:rsidP="00B93886">
            <w:pPr>
              <w:jc w:val="both"/>
            </w:pPr>
            <w:r>
              <w:t>Смешанное финансирование</w:t>
            </w:r>
          </w:p>
        </w:tc>
        <w:tc>
          <w:tcPr>
            <w:tcW w:w="3969" w:type="dxa"/>
          </w:tcPr>
          <w:p w14:paraId="29146F5C" w14:textId="77777777" w:rsidR="00262CE4" w:rsidRDefault="00000000" w:rsidP="00B93886">
            <w:pPr>
              <w:jc w:val="both"/>
            </w:pPr>
            <w:r>
              <w:t>Комплексное повышение логистической эффективности</w:t>
            </w:r>
          </w:p>
        </w:tc>
      </w:tr>
    </w:tbl>
    <w:p w14:paraId="0E1CCF39" w14:textId="77777777" w:rsidR="00262CE4" w:rsidRPr="00B93886" w:rsidRDefault="00000000" w:rsidP="00B93886">
      <w:pPr>
        <w:spacing w:after="0" w:line="360" w:lineRule="auto"/>
        <w:ind w:firstLine="709"/>
        <w:jc w:val="both"/>
        <w:rPr>
          <w:lang w:val="ru-RU"/>
        </w:rPr>
      </w:pPr>
      <w:r w:rsidRPr="00B93886">
        <w:rPr>
          <w:lang w:val="ru-RU"/>
        </w:rPr>
        <w:t xml:space="preserve">Таблица 3.3.2.2 демонстрирует баланс между государственными инвестициями, средствами международных финансовых организаций и частным капиталом через механизмы государственно‑частного партнерства и концессий. Критически важным элементом здесь выступает блок цифровизации, доля которого в </w:t>
      </w:r>
      <w:r>
        <w:t>CAPEX</w:t>
      </w:r>
      <w:r w:rsidRPr="00B93886">
        <w:rPr>
          <w:lang w:val="ru-RU"/>
        </w:rPr>
        <w:t xml:space="preserve"> составляет около 18 %, однако именно он обеспечивает ключевой качественный скачок в снижении транзакционных издержек и росте прозрачности логистических цепочек.</w:t>
      </w:r>
    </w:p>
    <w:p w14:paraId="0246886A" w14:textId="77777777" w:rsidR="00262CE4" w:rsidRPr="00B93886" w:rsidRDefault="00000000" w:rsidP="00B93886">
      <w:pPr>
        <w:spacing w:after="0" w:line="360" w:lineRule="auto"/>
        <w:ind w:firstLine="709"/>
        <w:jc w:val="both"/>
        <w:rPr>
          <w:lang w:val="ru-RU"/>
        </w:rPr>
      </w:pPr>
      <w:r w:rsidRPr="00B93886">
        <w:rPr>
          <w:lang w:val="ru-RU"/>
        </w:rPr>
        <w:t xml:space="preserve">С точки зрения потребности в основном капитале совокупный объем инвестиций кластера </w:t>
      </w:r>
      <w:r>
        <w:t>II</w:t>
      </w:r>
      <w:r w:rsidRPr="00B93886">
        <w:rPr>
          <w:lang w:val="ru-RU"/>
        </w:rPr>
        <w:t xml:space="preserve"> соизмерим с текущим уровнем валового формирования основного капитала в транспортно‑логистическом секторе страны и может быть профинансирован при условии последовательной реализации трехфазной инвестиционной стратегии проекта «Берег Восхода», предполагающей постепенное наращивание роли частного капитала и международных финансовых институтов.</w:t>
      </w:r>
    </w:p>
    <w:p w14:paraId="66EC01A7" w14:textId="77777777" w:rsidR="00262CE4" w:rsidRPr="00B93886" w:rsidRDefault="00000000" w:rsidP="00B93886">
      <w:pPr>
        <w:spacing w:after="0" w:line="360" w:lineRule="auto"/>
        <w:jc w:val="both"/>
        <w:rPr>
          <w:lang w:val="ru-RU"/>
        </w:rPr>
      </w:pPr>
      <w:r w:rsidRPr="00B93886">
        <w:rPr>
          <w:b/>
          <w:lang w:val="ru-RU"/>
        </w:rPr>
        <w:t>Материалы, пропускная способность и оборотные средства кластера</w:t>
      </w:r>
    </w:p>
    <w:p w14:paraId="070857E3" w14:textId="77777777" w:rsidR="00262CE4" w:rsidRPr="00B93886" w:rsidRDefault="00000000" w:rsidP="00B93886">
      <w:pPr>
        <w:spacing w:after="0" w:line="360" w:lineRule="auto"/>
        <w:ind w:firstLine="709"/>
        <w:jc w:val="both"/>
        <w:rPr>
          <w:lang w:val="ru-RU"/>
        </w:rPr>
      </w:pPr>
      <w:r w:rsidRPr="00B93886">
        <w:rPr>
          <w:lang w:val="ru-RU"/>
        </w:rPr>
        <w:t xml:space="preserve">Рост грузооборота порта с 31 до 52 млн т/год предполагает значительное увеличение объема обрабатываемых материальных потоков. Оценочно, прирост транзитных грузов составляет около 12 млн т/год, а прирост внутренних (локальных) грузов – порядка 8 млн т/год. Средние тарифы на обработку транзитных грузов оцениваются на уровне 28 </w:t>
      </w:r>
      <w:r>
        <w:t>USD</w:t>
      </w:r>
      <w:r w:rsidRPr="00B93886">
        <w:rPr>
          <w:lang w:val="ru-RU"/>
        </w:rPr>
        <w:t xml:space="preserve">/т, на локальные операции – около 45 </w:t>
      </w:r>
      <w:r>
        <w:t>USD</w:t>
      </w:r>
      <w:r w:rsidRPr="00B93886">
        <w:rPr>
          <w:lang w:val="ru-RU"/>
        </w:rPr>
        <w:t xml:space="preserve">/т. Это формирует дополнительный годовой денежный поток порядка 0,7 млрд </w:t>
      </w:r>
      <w:r>
        <w:t>USD</w:t>
      </w:r>
      <w:r w:rsidRPr="00B93886">
        <w:rPr>
          <w:lang w:val="ru-RU"/>
        </w:rPr>
        <w:t>, который служит базой для расчета потребности в оборотных средствах кластера.</w:t>
      </w:r>
    </w:p>
    <w:p w14:paraId="66205F60" w14:textId="77777777" w:rsidR="00262CE4" w:rsidRPr="00B93886" w:rsidRDefault="00000000" w:rsidP="00B93886">
      <w:pPr>
        <w:spacing w:after="0" w:line="360" w:lineRule="auto"/>
        <w:ind w:firstLine="709"/>
        <w:jc w:val="both"/>
        <w:rPr>
          <w:lang w:val="ru-RU"/>
        </w:rPr>
      </w:pPr>
      <w:r w:rsidRPr="00B93886">
        <w:rPr>
          <w:lang w:val="ru-RU"/>
        </w:rPr>
        <w:lastRenderedPageBreak/>
        <w:t xml:space="preserve">Учитывая типичные отраслевые нормативы, потребность в оборотном капитале для обеспечения устойчивой работы кластера </w:t>
      </w:r>
      <w:r>
        <w:t>II</w:t>
      </w:r>
      <w:r w:rsidRPr="00B93886">
        <w:rPr>
          <w:lang w:val="ru-RU"/>
        </w:rPr>
        <w:t xml:space="preserve"> (запасы ГСМ, запасные части, текущие расходы на содержание инфраструктуры и персонала) может оцениваться в диапазоне 0,15–0,20 млрд </w:t>
      </w:r>
      <w:r>
        <w:t>USD</w:t>
      </w:r>
      <w:r w:rsidRPr="00B93886">
        <w:rPr>
          <w:lang w:val="ru-RU"/>
        </w:rPr>
        <w:t>. Данная величина обеспечивается за счет сочетания собственных средств операторов, краткосрочного кредитования и использования инструментов торгового финансирования.</w:t>
      </w:r>
    </w:p>
    <w:p w14:paraId="02F7E3C2" w14:textId="77777777" w:rsidR="00262CE4" w:rsidRPr="00B93886" w:rsidRDefault="00000000" w:rsidP="00B93886">
      <w:pPr>
        <w:spacing w:after="0" w:line="360" w:lineRule="auto"/>
        <w:ind w:firstLine="709"/>
        <w:jc w:val="both"/>
        <w:rPr>
          <w:lang w:val="ru-RU"/>
        </w:rPr>
      </w:pPr>
      <w:r w:rsidRPr="00B93886">
        <w:rPr>
          <w:lang w:val="ru-RU"/>
        </w:rPr>
        <w:t xml:space="preserve">С точки зрения пространственной организации дополнительная потребность кластера </w:t>
      </w:r>
      <w:r>
        <w:t>II</w:t>
      </w:r>
      <w:r w:rsidRPr="00B93886">
        <w:rPr>
          <w:lang w:val="ru-RU"/>
        </w:rPr>
        <w:t xml:space="preserve"> в портовых и припортовых земельных ресурсах оценивается приблизительно в 120–150 га (1,2–1,5 млн м²) под расширение контейнерных и мультимодальных терминалов, а также до 200 га под развитие припортовых индустриальных зон. Это требует синхронизации портового планирования с городской и региональной политикой землепользования, что должно быть отражено в соответствующих схемах территориального планирования.</w:t>
      </w:r>
    </w:p>
    <w:p w14:paraId="7AE942F1" w14:textId="77777777" w:rsidR="00262CE4" w:rsidRPr="00B93886" w:rsidRDefault="00000000" w:rsidP="00B93886">
      <w:pPr>
        <w:spacing w:after="0" w:line="360" w:lineRule="auto"/>
        <w:jc w:val="both"/>
        <w:rPr>
          <w:lang w:val="ru-RU"/>
        </w:rPr>
      </w:pPr>
      <w:r w:rsidRPr="00B93886">
        <w:rPr>
          <w:b/>
          <w:lang w:val="ru-RU"/>
        </w:rPr>
        <w:t>Квалификация и необходимые знания/компетенции</w:t>
      </w:r>
    </w:p>
    <w:p w14:paraId="61BA23F8" w14:textId="77777777" w:rsidR="00262CE4" w:rsidRPr="00B93886" w:rsidRDefault="00000000" w:rsidP="00B93886">
      <w:pPr>
        <w:spacing w:after="0" w:line="360" w:lineRule="auto"/>
        <w:ind w:firstLine="709"/>
        <w:jc w:val="both"/>
        <w:rPr>
          <w:lang w:val="ru-RU"/>
        </w:rPr>
      </w:pPr>
      <w:r w:rsidRPr="00B93886">
        <w:rPr>
          <w:lang w:val="ru-RU"/>
        </w:rPr>
        <w:t xml:space="preserve">Реализация целей кластера </w:t>
      </w:r>
      <w:r>
        <w:t>II</w:t>
      </w:r>
      <w:r w:rsidRPr="00B93886">
        <w:rPr>
          <w:lang w:val="ru-RU"/>
        </w:rPr>
        <w:t xml:space="preserve"> предъявляет повышенные требования к качеству человеческого капитала. Потребность в новых рабочих местах формируется не только за счет операторов портовой инфраструктуры, но и за счет специалистов по управлению цепями поставок, цифровой аналитике и кибербезопасности.</w:t>
      </w:r>
    </w:p>
    <w:p w14:paraId="3D02BAC9" w14:textId="77777777" w:rsidR="00262CE4" w:rsidRPr="00B93886" w:rsidRDefault="00000000" w:rsidP="00B93886">
      <w:pPr>
        <w:spacing w:after="0" w:line="360" w:lineRule="auto"/>
        <w:ind w:firstLine="709"/>
        <w:jc w:val="both"/>
        <w:rPr>
          <w:lang w:val="ru-RU"/>
        </w:rPr>
      </w:pPr>
      <w:r w:rsidRPr="00B93886">
        <w:rPr>
          <w:lang w:val="ru-RU"/>
        </w:rPr>
        <w:t>Ключевые группы компетенций включают: 1) управление цепями поставок (</w:t>
      </w:r>
      <w:r>
        <w:t>SCM</w:t>
      </w:r>
      <w:r w:rsidRPr="00B93886">
        <w:rPr>
          <w:lang w:val="ru-RU"/>
        </w:rPr>
        <w:t>), логистика и мультимодальные перевозки; 2) внешнеэкономическая деятельность, таможенное регулирование, знание правил международной торговли (</w:t>
      </w:r>
      <w:r>
        <w:t>Incoterms</w:t>
      </w:r>
      <w:r w:rsidRPr="00B93886">
        <w:rPr>
          <w:lang w:val="ru-RU"/>
        </w:rPr>
        <w:t xml:space="preserve">, режим </w:t>
      </w:r>
      <w:proofErr w:type="spellStart"/>
      <w:r>
        <w:t>AfCFTA</w:t>
      </w:r>
      <w:proofErr w:type="spellEnd"/>
      <w:r w:rsidRPr="00B93886">
        <w:rPr>
          <w:lang w:val="ru-RU"/>
        </w:rPr>
        <w:t>); 3) работа с портовыми информационными системами (</w:t>
      </w:r>
      <w:r>
        <w:t>Terminal</w:t>
      </w:r>
      <w:r w:rsidRPr="00B93886">
        <w:rPr>
          <w:lang w:val="ru-RU"/>
        </w:rPr>
        <w:t xml:space="preserve"> </w:t>
      </w:r>
      <w:r>
        <w:t>Operating</w:t>
      </w:r>
      <w:r w:rsidRPr="00B93886">
        <w:rPr>
          <w:lang w:val="ru-RU"/>
        </w:rPr>
        <w:t xml:space="preserve"> </w:t>
      </w:r>
      <w:r>
        <w:t>Systems</w:t>
      </w:r>
      <w:r w:rsidRPr="00B93886">
        <w:rPr>
          <w:lang w:val="ru-RU"/>
        </w:rPr>
        <w:t xml:space="preserve">, системы слежения за грузами); 4) цифровые навыки в области анализа </w:t>
      </w:r>
      <w:r w:rsidRPr="00B93886">
        <w:rPr>
          <w:lang w:val="ru-RU"/>
        </w:rPr>
        <w:lastRenderedPageBreak/>
        <w:t>данных, работы с модулями цифровой платформы и обеспечения информационной безопасности критической инфраструктуры.</w:t>
      </w:r>
    </w:p>
    <w:p w14:paraId="2CC474C2" w14:textId="77777777" w:rsidR="00262CE4" w:rsidRPr="00B93886" w:rsidRDefault="00000000" w:rsidP="00B93886">
      <w:pPr>
        <w:spacing w:after="0" w:line="360" w:lineRule="auto"/>
        <w:ind w:firstLine="709"/>
        <w:jc w:val="both"/>
        <w:rPr>
          <w:lang w:val="ru-RU"/>
        </w:rPr>
      </w:pPr>
      <w:r w:rsidRPr="00B93886">
        <w:rPr>
          <w:lang w:val="ru-RU"/>
        </w:rPr>
        <w:t xml:space="preserve">Системное формирование указанных компетенций возможно только при тесной связке кластера </w:t>
      </w:r>
      <w:r>
        <w:t>II</w:t>
      </w:r>
      <w:r w:rsidRPr="00B93886">
        <w:rPr>
          <w:lang w:val="ru-RU"/>
        </w:rPr>
        <w:t xml:space="preserve"> с кластером </w:t>
      </w:r>
      <w:r>
        <w:t>V</w:t>
      </w:r>
      <w:r w:rsidRPr="00B93886">
        <w:rPr>
          <w:lang w:val="ru-RU"/>
        </w:rPr>
        <w:t xml:space="preserve"> (образование и </w:t>
      </w:r>
      <w:r>
        <w:t>R</w:t>
      </w:r>
      <w:r w:rsidRPr="00B93886">
        <w:rPr>
          <w:lang w:val="ru-RU"/>
        </w:rPr>
        <w:t>&amp;</w:t>
      </w:r>
      <w:r>
        <w:t>D</w:t>
      </w:r>
      <w:r w:rsidRPr="00B93886">
        <w:rPr>
          <w:lang w:val="ru-RU"/>
        </w:rPr>
        <w:t xml:space="preserve">), обеспечивающим подготовку операторов, инженеров‑логистов и </w:t>
      </w:r>
      <w:r>
        <w:t>IT</w:t>
      </w:r>
      <w:r w:rsidRPr="00B93886">
        <w:rPr>
          <w:lang w:val="ru-RU"/>
        </w:rPr>
        <w:t xml:space="preserve">‑специалистов на уровне техникумов, университетов и прикладных исследовательских центров. Тем самым кадровая архитектура кластера </w:t>
      </w:r>
      <w:r>
        <w:t>II</w:t>
      </w:r>
      <w:r w:rsidRPr="00B93886">
        <w:rPr>
          <w:lang w:val="ru-RU"/>
        </w:rPr>
        <w:t xml:space="preserve"> становится частью более широкой экосистемы развития человеческого капитала прибрежной зоны.</w:t>
      </w:r>
    </w:p>
    <w:p w14:paraId="07BFF1C0" w14:textId="77777777" w:rsidR="00262CE4" w:rsidRPr="00B93886" w:rsidRDefault="00000000" w:rsidP="00B93886">
      <w:pPr>
        <w:spacing w:after="0" w:line="360" w:lineRule="auto"/>
        <w:jc w:val="both"/>
        <w:rPr>
          <w:lang w:val="ru-RU"/>
        </w:rPr>
      </w:pPr>
      <w:r w:rsidRPr="00B93886">
        <w:rPr>
          <w:b/>
          <w:lang w:val="ru-RU"/>
        </w:rPr>
        <w:t xml:space="preserve">Синергия кластера </w:t>
      </w:r>
      <w:r>
        <w:rPr>
          <w:b/>
        </w:rPr>
        <w:t>II</w:t>
      </w:r>
      <w:r w:rsidRPr="00B93886">
        <w:rPr>
          <w:b/>
          <w:lang w:val="ru-RU"/>
        </w:rPr>
        <w:t xml:space="preserve"> в рамках цифровой платформы «Берег Восхода»</w:t>
      </w:r>
    </w:p>
    <w:p w14:paraId="69A9F9DC" w14:textId="77777777" w:rsidR="00262CE4" w:rsidRPr="00B93886" w:rsidRDefault="00000000" w:rsidP="00B93886">
      <w:pPr>
        <w:spacing w:after="0" w:line="360" w:lineRule="auto"/>
        <w:ind w:firstLine="709"/>
        <w:jc w:val="both"/>
        <w:rPr>
          <w:lang w:val="ru-RU"/>
        </w:rPr>
      </w:pPr>
      <w:r w:rsidRPr="00B93886">
        <w:rPr>
          <w:lang w:val="ru-RU"/>
        </w:rPr>
        <w:t xml:space="preserve">Портово‑логистический кластер играет ключевую роль в формировании сквозной синергии проекта «Берег Восхода». Во‑первых, он обеспечивает транспортную реализацию добавленной стоимости, создаваемой в кластере </w:t>
      </w:r>
      <w:r>
        <w:t>I</w:t>
      </w:r>
      <w:r w:rsidRPr="00B93886">
        <w:rPr>
          <w:lang w:val="ru-RU"/>
        </w:rPr>
        <w:t xml:space="preserve"> (агропереработка) и кластере </w:t>
      </w:r>
      <w:r>
        <w:t>III</w:t>
      </w:r>
      <w:r w:rsidRPr="00B93886">
        <w:rPr>
          <w:lang w:val="ru-RU"/>
        </w:rPr>
        <w:t xml:space="preserve"> (индустриально‑производственный кластер), минимизируя логистическое плечо и обеспечивая устойчивый экспорт готовой продукции с высокой добавленной стоимостью.</w:t>
      </w:r>
    </w:p>
    <w:p w14:paraId="38E36615" w14:textId="77777777" w:rsidR="00262CE4" w:rsidRPr="00B93886" w:rsidRDefault="00000000" w:rsidP="00B93886">
      <w:pPr>
        <w:spacing w:after="0" w:line="360" w:lineRule="auto"/>
        <w:ind w:firstLine="709"/>
        <w:jc w:val="both"/>
        <w:rPr>
          <w:lang w:val="ru-RU"/>
        </w:rPr>
      </w:pPr>
      <w:r w:rsidRPr="00B93886">
        <w:rPr>
          <w:lang w:val="ru-RU"/>
        </w:rPr>
        <w:t xml:space="preserve">Во‑вторых, кластер </w:t>
      </w:r>
      <w:r>
        <w:t>II</w:t>
      </w:r>
      <w:r w:rsidRPr="00B93886">
        <w:rPr>
          <w:lang w:val="ru-RU"/>
        </w:rPr>
        <w:t xml:space="preserve"> является одним из основных потребителей и одновременно поставщиков данных для цифровой платформы: модуль </w:t>
      </w:r>
      <w:r>
        <w:t>Logistics</w:t>
      </w:r>
      <w:r w:rsidRPr="00B93886">
        <w:rPr>
          <w:lang w:val="ru-RU"/>
        </w:rPr>
        <w:t xml:space="preserve"> агрегирует данные о грузопотоках, ставках и времени обработки, что позволяет внедрять </w:t>
      </w:r>
      <w:r>
        <w:t>AI</w:t>
      </w:r>
      <w:r w:rsidRPr="00B93886">
        <w:rPr>
          <w:lang w:val="ru-RU"/>
        </w:rPr>
        <w:t>‑оптимизацию маршрутов и прогнозирование загрузки терминалов. Это снижает неопределенность для инвесторов и экспортеров, повышает прозрачность тарифообразования и стимулирует конкуренцию между логистическими операторами.</w:t>
      </w:r>
    </w:p>
    <w:p w14:paraId="06D00275" w14:textId="77777777" w:rsidR="00262CE4" w:rsidRPr="00B93886" w:rsidRDefault="00000000" w:rsidP="00B93886">
      <w:pPr>
        <w:spacing w:after="0" w:line="360" w:lineRule="auto"/>
        <w:ind w:firstLine="709"/>
        <w:jc w:val="both"/>
        <w:rPr>
          <w:lang w:val="ru-RU"/>
        </w:rPr>
      </w:pPr>
      <w:r w:rsidRPr="00B93886">
        <w:rPr>
          <w:lang w:val="ru-RU"/>
        </w:rPr>
        <w:t xml:space="preserve">В‑третьих, транзитная функция порта Абиджана создает каналы интеграции с экономиками соседних стран, что расширяет потенциальный рынок для резидентов кластеров </w:t>
      </w:r>
      <w:r>
        <w:t>I</w:t>
      </w:r>
      <w:r w:rsidRPr="00B93886">
        <w:rPr>
          <w:lang w:val="ru-RU"/>
        </w:rPr>
        <w:t xml:space="preserve"> и </w:t>
      </w:r>
      <w:r>
        <w:t>III</w:t>
      </w:r>
      <w:r w:rsidRPr="00B93886">
        <w:rPr>
          <w:lang w:val="ru-RU"/>
        </w:rPr>
        <w:t xml:space="preserve">, а также для цифровых сервисов платформы. Таким образом, кластер </w:t>
      </w:r>
      <w:r>
        <w:t>II</w:t>
      </w:r>
      <w:r w:rsidRPr="00B93886">
        <w:rPr>
          <w:lang w:val="ru-RU"/>
        </w:rPr>
        <w:t xml:space="preserve"> выполняет роль «пространственного </w:t>
      </w:r>
      <w:r w:rsidRPr="00B93886">
        <w:rPr>
          <w:lang w:val="ru-RU"/>
        </w:rPr>
        <w:lastRenderedPageBreak/>
        <w:t>усилителя» мультисекторального роста, превращая прибрежную зону Кот‑д’Ивуара в логистический и индустриальный узел субрегиона.</w:t>
      </w:r>
    </w:p>
    <w:p w14:paraId="74FAF946" w14:textId="77777777" w:rsidR="00262CE4" w:rsidRPr="00B93886" w:rsidRDefault="00000000" w:rsidP="00B93886">
      <w:pPr>
        <w:spacing w:after="0" w:line="360" w:lineRule="auto"/>
        <w:ind w:firstLine="709"/>
        <w:jc w:val="both"/>
        <w:rPr>
          <w:lang w:val="ru-RU"/>
        </w:rPr>
      </w:pPr>
      <w:r w:rsidRPr="00B93886">
        <w:rPr>
          <w:lang w:val="ru-RU"/>
        </w:rPr>
        <w:t xml:space="preserve">В совокупности это позволяет рассматривать кластер </w:t>
      </w:r>
      <w:r>
        <w:t>II</w:t>
      </w:r>
      <w:r w:rsidRPr="00B93886">
        <w:rPr>
          <w:lang w:val="ru-RU"/>
        </w:rPr>
        <w:t xml:space="preserve"> не только как объект инфраструктурных инвестиций, но и как институциональный механизм снижения транзакционных издержек и расширения пространства экономических возможностей для национальных и региональных игроков. В рамках диссертационного исследования данный кластер иллюстрирует, каким образом правильно спроектированная логистическая инфраструктура в сочетании с цифровыми решениями и платформенной координацией может выступать драйвером структурной трансформации экономики развивающейся страны.</w:t>
      </w:r>
    </w:p>
    <w:p w14:paraId="3BEDB2DF" w14:textId="77777777" w:rsidR="00B93886" w:rsidRPr="000A7BDC" w:rsidRDefault="00B93886" w:rsidP="00B93886">
      <w:pPr>
        <w:spacing w:after="0" w:line="360" w:lineRule="auto"/>
        <w:ind w:firstLine="709"/>
        <w:jc w:val="both"/>
        <w:rPr>
          <w:lang w:val="ru-RU"/>
        </w:rPr>
      </w:pPr>
      <w:r w:rsidRPr="000A7BDC">
        <w:rPr>
          <w:b/>
          <w:lang w:val="ru-RU"/>
        </w:rPr>
        <w:t xml:space="preserve">Формулы для кластера </w:t>
      </w:r>
      <w:r>
        <w:rPr>
          <w:b/>
        </w:rPr>
        <w:t>II</w:t>
      </w:r>
      <w:r w:rsidRPr="000A7BDC">
        <w:rPr>
          <w:b/>
          <w:lang w:val="ru-RU"/>
        </w:rPr>
        <w:t>: портово‑логистический хаб (подраздел 3.3.2)</w:t>
      </w:r>
    </w:p>
    <w:p w14:paraId="28F3DC32" w14:textId="77777777" w:rsidR="00B93886" w:rsidRPr="000A7BDC" w:rsidRDefault="00B93886" w:rsidP="00B93886">
      <w:pPr>
        <w:spacing w:after="0" w:line="360" w:lineRule="auto"/>
        <w:ind w:firstLine="709"/>
        <w:jc w:val="both"/>
        <w:rPr>
          <w:lang w:val="ru-RU"/>
        </w:rPr>
      </w:pPr>
      <w:r w:rsidRPr="000A7BDC">
        <w:rPr>
          <w:lang w:val="ru-RU"/>
        </w:rPr>
        <w:t xml:space="preserve">Формула </w:t>
      </w:r>
      <w:r w:rsidRPr="001D1EEB">
        <w:rPr>
          <w:highlight w:val="yellow"/>
          <w:lang w:val="ru-RU"/>
        </w:rPr>
        <w:t>(3.3.3).</w:t>
      </w:r>
      <w:r w:rsidRPr="000A7BDC">
        <w:rPr>
          <w:lang w:val="ru-RU"/>
        </w:rPr>
        <w:t xml:space="preserve"> Целевой вклад кластера </w:t>
      </w:r>
      <w:r>
        <w:t>II</w:t>
      </w:r>
      <w:r w:rsidRPr="000A7BDC">
        <w:rPr>
          <w:lang w:val="ru-RU"/>
        </w:rPr>
        <w:t xml:space="preserve"> в прирост валовой добавленной стоимости:</w:t>
      </w:r>
    </w:p>
    <w:p w14:paraId="2E533312" w14:textId="5D75ABC9" w:rsidR="00B93886" w:rsidRDefault="00B93886" w:rsidP="00B93886">
      <w:pPr>
        <w:spacing w:after="0" w:line="360" w:lineRule="auto"/>
        <w:ind w:firstLine="709"/>
        <w:jc w:val="center"/>
        <w:rPr>
          <w:sz w:val="24"/>
          <w:lang w:val="ru-RU"/>
        </w:rPr>
      </w:pPr>
      <m:oMath>
        <m:r>
          <m:rPr>
            <m:sty m:val="p"/>
          </m:rPr>
          <w:rPr>
            <w:rFonts w:ascii="Cambria Math" w:eastAsia="Cambria Math" w:hAnsi="Cambria Math"/>
            <w:szCs w:val="24"/>
            <w:lang w:val="fr-FR"/>
          </w:rPr>
          <m:t>Δ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fr-FR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  <w:lang w:val="fr-FR"/>
              </w:rPr>
              <m:t>Y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2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Cs w:val="24"/>
                <w:lang w:val="fr-FR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  <w:lang w:val="fr-FR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  <w:lang w:val="fr-FR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/>
            <w:szCs w:val="24"/>
            <w:lang w:val="ru-RU"/>
          </w:rPr>
          <m:t>=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fr-FR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  <w:lang w:val="fr-FR"/>
              </w:rPr>
              <m:t>x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⋅</m:t>
        </m:r>
        <m:r>
          <m:rPr>
            <m:sty m:val="p"/>
          </m:rPr>
          <w:rPr>
            <w:rFonts w:ascii="Cambria Math" w:eastAsia="Cambria Math" w:hAnsi="Cambria Math"/>
            <w:szCs w:val="24"/>
            <w:lang w:val="fr-FR"/>
          </w:rPr>
          <m:t>Δ</m:t>
        </m:r>
        <m:sSubSup>
          <m:sSubSupPr>
            <m:ctrlPr>
              <w:rPr>
                <w:rFonts w:ascii="Cambria Math" w:eastAsia="Cambria Math" w:hAnsi="Cambria Math"/>
                <w:i/>
                <w:szCs w:val="24"/>
                <w:lang w:val="fr-FR"/>
              </w:rPr>
            </m:ctrlPr>
          </m:sSubSupPr>
          <m:e>
            <m:r>
              <w:rPr>
                <w:rFonts w:ascii="Cambria Math" w:eastAsia="Cambria Math" w:hAnsi="Cambria Math"/>
                <w:szCs w:val="24"/>
                <w:lang w:val="fr-FR"/>
              </w:rPr>
              <m:t>Y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2</m:t>
            </m:r>
          </m:sub>
          <m:sup>
            <m:r>
              <w:rPr>
                <w:rFonts w:ascii="Cambria Math" w:eastAsia="Cambria Math" w:hAnsi="Cambria Math"/>
                <w:szCs w:val="24"/>
                <w:lang w:val="fr-FR"/>
              </w:rPr>
              <m:t>max</m:t>
            </m:r>
          </m:sup>
        </m:sSubSup>
      </m:oMath>
      <w:r>
        <w:rPr>
          <w:sz w:val="24"/>
          <w:lang w:val="ru-RU"/>
        </w:rPr>
        <w:tab/>
      </w:r>
      <w:r>
        <w:rPr>
          <w:sz w:val="24"/>
          <w:lang w:val="ru-RU"/>
        </w:rPr>
        <w:tab/>
      </w:r>
      <w:r>
        <w:rPr>
          <w:sz w:val="24"/>
          <w:lang w:val="ru-RU"/>
        </w:rPr>
        <w:tab/>
      </w:r>
      <w:r w:rsidRPr="001D1EEB">
        <w:rPr>
          <w:sz w:val="24"/>
          <w:highlight w:val="yellow"/>
          <w:lang w:val="ru-RU"/>
        </w:rPr>
        <w:t>(3.3.3)</w:t>
      </w:r>
    </w:p>
    <w:p w14:paraId="48DB0943" w14:textId="77777777" w:rsidR="00B93886" w:rsidRPr="000A7BDC" w:rsidRDefault="00B93886" w:rsidP="00B93886">
      <w:pPr>
        <w:spacing w:after="0" w:line="360" w:lineRule="auto"/>
        <w:ind w:firstLine="709"/>
        <w:jc w:val="both"/>
        <w:rPr>
          <w:sz w:val="32"/>
          <w:szCs w:val="24"/>
          <w:lang w:val="ru-RU"/>
        </w:rPr>
      </w:pPr>
      <w:r w:rsidRPr="000A7BDC">
        <w:rPr>
          <w:szCs w:val="24"/>
          <w:lang w:val="ru-RU"/>
        </w:rPr>
        <w:t>где</w:t>
      </w:r>
      <w:r w:rsidRPr="000A7BDC">
        <w:rPr>
          <w:sz w:val="32"/>
          <w:szCs w:val="24"/>
          <w:lang w:val="ru-RU"/>
        </w:rPr>
        <w:t>:</w:t>
      </w:r>
    </w:p>
    <w:p w14:paraId="15FF335F" w14:textId="77777777" w:rsidR="00B93886" w:rsidRDefault="00B93886" w:rsidP="001D1EEB">
      <w:pPr>
        <w:pStyle w:val="ae"/>
        <w:numPr>
          <w:ilvl w:val="0"/>
          <w:numId w:val="10"/>
        </w:numPr>
        <w:spacing w:after="0" w:line="360" w:lineRule="auto"/>
        <w:ind w:left="1134"/>
        <w:jc w:val="both"/>
        <w:rPr>
          <w:lang w:val="ru-RU"/>
        </w:rPr>
      </w:pPr>
      <w:r w:rsidRPr="000A7BDC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</m:e>
        </m:d>
      </m:oMath>
      <w:r w:rsidRPr="000A7BDC">
        <w:rPr>
          <w:lang w:val="ru-RU"/>
        </w:rPr>
        <w:t xml:space="preserve"> – фактический вклад кластера </w:t>
      </w:r>
      <w:r w:rsidRPr="00B258A6">
        <w:rPr>
          <w:lang w:val="ru-RU"/>
        </w:rPr>
        <w:t>II</w:t>
      </w:r>
      <w:r w:rsidRPr="000A7BDC">
        <w:rPr>
          <w:lang w:val="ru-RU"/>
        </w:rPr>
        <w:t xml:space="preserve"> (портово‑логистический хаб) в прирост валовой добавленной стоимости прибрежной зоны при степени реализации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0A7BDC">
        <w:rPr>
          <w:lang w:val="ru-RU"/>
        </w:rPr>
        <w:t xml:space="preserve">; </w:t>
      </w:r>
    </w:p>
    <w:p w14:paraId="7A6289CB" w14:textId="77777777" w:rsidR="00B93886" w:rsidRDefault="00B93886" w:rsidP="001D1EEB">
      <w:pPr>
        <w:pStyle w:val="ae"/>
        <w:numPr>
          <w:ilvl w:val="0"/>
          <w:numId w:val="10"/>
        </w:numPr>
        <w:spacing w:after="0" w:line="360" w:lineRule="auto"/>
        <w:ind w:left="1134"/>
        <w:jc w:val="both"/>
        <w:rPr>
          <w:lang w:val="ru-RU"/>
        </w:rPr>
      </w:pP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0A7BDC">
        <w:rPr>
          <w:lang w:val="ru-RU"/>
        </w:rPr>
        <w:t>потенциальный максимум прироста валовой добавленной стоимости при полной реализации портово‑логистического кластера (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0A7BDC">
        <w:rPr>
          <w:lang w:val="ru-RU"/>
        </w:rPr>
        <w:t xml:space="preserve"> = 1);</w:t>
      </w:r>
    </w:p>
    <w:p w14:paraId="314D191F" w14:textId="77777777" w:rsidR="00B93886" w:rsidRDefault="00B93886" w:rsidP="001D1EEB">
      <w:pPr>
        <w:pStyle w:val="ae"/>
        <w:numPr>
          <w:ilvl w:val="0"/>
          <w:numId w:val="10"/>
        </w:numPr>
        <w:spacing w:after="0" w:line="360" w:lineRule="auto"/>
        <w:ind w:left="1134"/>
        <w:jc w:val="both"/>
        <w:rPr>
          <w:lang w:val="ru-RU"/>
        </w:rPr>
      </w:pPr>
      <w:r w:rsidRPr="000A7BDC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0;1</m:t>
            </m:r>
          </m:e>
        </m:d>
      </m:oMath>
      <w:r w:rsidRPr="000A7BDC">
        <w:rPr>
          <w:lang w:val="ru-RU"/>
        </w:rPr>
        <w:t xml:space="preserve"> – степень реализации кластера </w:t>
      </w:r>
      <w:r w:rsidRPr="00B258A6">
        <w:rPr>
          <w:lang w:val="ru-RU"/>
        </w:rPr>
        <w:t>II</w:t>
      </w:r>
      <w:r w:rsidRPr="000A7BDC">
        <w:rPr>
          <w:lang w:val="ru-RU"/>
        </w:rPr>
        <w:t xml:space="preserve">, характеризующая долю достигнутого потенциала по отношению к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>
        <w:rPr>
          <w:lang w:val="ru-RU"/>
        </w:rPr>
        <w:t xml:space="preserve"> ф</w:t>
      </w:r>
      <w:r w:rsidRPr="000A7BDC">
        <w:rPr>
          <w:lang w:val="ru-RU"/>
        </w:rPr>
        <w:t xml:space="preserve">ормула (3.3.4). </w:t>
      </w:r>
    </w:p>
    <w:p w14:paraId="75C99526" w14:textId="77777777" w:rsidR="00B93886" w:rsidRPr="000A7BDC" w:rsidRDefault="00B93886" w:rsidP="00B93886">
      <w:pPr>
        <w:spacing w:after="0" w:line="360" w:lineRule="auto"/>
        <w:ind w:firstLine="709"/>
        <w:jc w:val="both"/>
        <w:rPr>
          <w:lang w:val="ru-RU"/>
        </w:rPr>
      </w:pPr>
      <w:r w:rsidRPr="000A7BDC">
        <w:rPr>
          <w:lang w:val="ru-RU"/>
        </w:rPr>
        <w:lastRenderedPageBreak/>
        <w:t xml:space="preserve">Ограничения по инвестициям, земельным, энергетическим и трудовым ресурсам кластера </w:t>
      </w:r>
      <w:r>
        <w:t>II</w:t>
      </w:r>
      <w:r w:rsidRPr="000A7BDC">
        <w:rPr>
          <w:lang w:val="ru-RU"/>
        </w:rPr>
        <w:t>:</w:t>
      </w:r>
    </w:p>
    <w:p w14:paraId="516BB94E" w14:textId="77777777" w:rsidR="00B93886" w:rsidRPr="001D1EEB" w:rsidRDefault="00B93886" w:rsidP="00B93886">
      <w:pPr>
        <w:spacing w:after="0" w:line="360" w:lineRule="auto"/>
        <w:ind w:firstLine="709"/>
        <w:jc w:val="both"/>
        <w:rPr>
          <w:rFonts w:asciiTheme="minorHAnsi" w:eastAsiaTheme="minorEastAsia" w:hAnsiTheme="minorHAnsi"/>
          <w:szCs w:val="24"/>
          <w:lang w:val="ru-RU"/>
        </w:rPr>
      </w:pPr>
      <m:oMathPara>
        <m:oMath>
          <m:r>
            <w:rPr>
              <w:rFonts w:ascii="Cambria Math" w:eastAsia="Cambria Math" w:hAnsi="Cambria Math"/>
              <w:szCs w:val="24"/>
              <w:lang w:val="ru-RU"/>
            </w:rPr>
            <m:t>0</m:t>
          </m:r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r>
            <w:rPr>
              <w:rFonts w:ascii="Cambria Math" w:eastAsia="Cambria Math" w:hAnsi="Cambria Math"/>
              <w:szCs w:val="24"/>
              <w:lang w:val="ru-RU"/>
            </w:rPr>
            <m:t>1,</m:t>
          </m:r>
        </m:oMath>
      </m:oMathPara>
    </w:p>
    <w:p w14:paraId="2CB0D1C2" w14:textId="77777777" w:rsidR="00B93886" w:rsidRPr="001D1EEB" w:rsidRDefault="00000000" w:rsidP="00B93886">
      <w:pPr>
        <w:spacing w:after="0" w:line="360" w:lineRule="auto"/>
        <w:ind w:firstLine="709"/>
        <w:jc w:val="both"/>
        <w:rPr>
          <w:rFonts w:asciiTheme="minorHAnsi" w:eastAsiaTheme="minorEastAsia" w:hAnsiTheme="minorHAnsi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2</m:t>
              </m:r>
            </m:sub>
          </m:sSub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I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Cs w:val="24"/>
                </w:rPr>
                <m:t>I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2</m:t>
              </m:r>
            </m:sub>
            <m:sup>
              <m:r>
                <w:rPr>
                  <w:rFonts w:ascii="Cambria Math" w:eastAsia="Cambria Math" w:hAnsi="Cambria Math"/>
                  <w:szCs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Cs w:val="24"/>
              <w:lang w:val="ru-RU"/>
            </w:rPr>
            <m:t>,</m:t>
          </m:r>
        </m:oMath>
      </m:oMathPara>
    </w:p>
    <w:p w14:paraId="166BD2F3" w14:textId="77777777" w:rsidR="00B93886" w:rsidRPr="001D1EEB" w:rsidRDefault="00000000" w:rsidP="00B93886">
      <w:pPr>
        <w:spacing w:after="0" w:line="360" w:lineRule="auto"/>
        <w:ind w:firstLine="709"/>
        <w:jc w:val="center"/>
        <w:rPr>
          <w:rFonts w:asciiTheme="minorHAnsi" w:eastAsiaTheme="minorEastAsia" w:hAnsiTheme="minorHAnsi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2</m:t>
              </m:r>
            </m:sub>
          </m:sSub>
          <m:r>
            <w:rPr>
              <w:rFonts w:ascii="Cambria Math" w:eastAsia="Cambria Math" w:hAnsi="Cambria Math"/>
              <w:szCs w:val="24"/>
            </w:rPr>
            <m:t>Lan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d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r>
            <w:rPr>
              <w:rFonts w:ascii="Cambria Math" w:eastAsia="Cambria Math" w:hAnsi="Cambria Math"/>
              <w:szCs w:val="24"/>
            </w:rPr>
            <m:t>Lan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Cs w:val="24"/>
                </w:rPr>
                <m:t>d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2</m:t>
              </m:r>
            </m:sub>
            <m:sup>
              <m:r>
                <w:rPr>
                  <w:rFonts w:ascii="Cambria Math" w:eastAsia="Cambria Math" w:hAnsi="Cambria Math"/>
                  <w:szCs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Cs w:val="24"/>
              <w:lang w:val="ru-RU"/>
            </w:rPr>
            <m:t>,</m:t>
          </m:r>
        </m:oMath>
      </m:oMathPara>
    </w:p>
    <w:p w14:paraId="41887517" w14:textId="77777777" w:rsidR="00B93886" w:rsidRPr="001D1EEB" w:rsidRDefault="00000000" w:rsidP="00B93886">
      <w:pPr>
        <w:spacing w:after="0" w:line="360" w:lineRule="auto"/>
        <w:ind w:firstLine="709"/>
        <w:jc w:val="both"/>
        <w:rPr>
          <w:rFonts w:asciiTheme="minorHAnsi" w:eastAsiaTheme="minorEastAsia" w:hAnsiTheme="minorHAnsi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2</m:t>
              </m:r>
            </m:sub>
          </m:sSub>
          <m:r>
            <w:rPr>
              <w:rFonts w:ascii="Cambria Math" w:eastAsia="Cambria Math" w:hAnsi="Cambria Math"/>
              <w:szCs w:val="24"/>
            </w:rPr>
            <m:t>E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n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r>
            <w:rPr>
              <w:rFonts w:ascii="Cambria Math" w:eastAsia="Cambria Math" w:hAnsi="Cambria Math"/>
              <w:szCs w:val="24"/>
            </w:rPr>
            <m:t>E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Cs w:val="24"/>
                </w:rPr>
                <m:t>n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2</m:t>
              </m:r>
            </m:sub>
            <m:sup>
              <m:r>
                <w:rPr>
                  <w:rFonts w:ascii="Cambria Math" w:eastAsia="Cambria Math" w:hAnsi="Cambria Math"/>
                  <w:szCs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Cs w:val="24"/>
              <w:lang w:val="ru-RU"/>
            </w:rPr>
            <m:t>,</m:t>
          </m:r>
        </m:oMath>
      </m:oMathPara>
    </w:p>
    <w:p w14:paraId="2B00D1C4" w14:textId="77777777" w:rsidR="00B93886" w:rsidRPr="001D1EEB" w:rsidRDefault="00000000" w:rsidP="00B93886">
      <w:pPr>
        <w:spacing w:after="0" w:line="360" w:lineRule="auto"/>
        <w:ind w:firstLine="709"/>
        <w:jc w:val="both"/>
        <w:rPr>
          <w:rFonts w:asciiTheme="minorHAnsi" w:eastAsiaTheme="minorEastAsia" w:hAnsiTheme="minorHAnsi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2</m:t>
              </m:r>
            </m:sub>
          </m:sSub>
          <m:r>
            <w:rPr>
              <w:rFonts w:ascii="Cambria Math" w:eastAsia="Cambria Math" w:hAnsi="Cambria Math"/>
              <w:szCs w:val="24"/>
            </w:rPr>
            <m:t>H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R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r>
            <w:rPr>
              <w:rFonts w:ascii="Cambria Math" w:eastAsia="Cambria Math" w:hAnsi="Cambria Math"/>
              <w:szCs w:val="24"/>
            </w:rPr>
            <m:t>H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Cs w:val="24"/>
                </w:rPr>
                <m:t>R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2</m:t>
              </m:r>
            </m:sub>
            <m:sup>
              <m:r>
                <w:rPr>
                  <w:rFonts w:ascii="Cambria Math" w:eastAsia="Cambria Math" w:hAnsi="Cambria Math"/>
                  <w:szCs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Cs w:val="24"/>
              <w:lang w:val="ru-RU"/>
            </w:rPr>
            <m:t>,</m:t>
          </m:r>
        </m:oMath>
      </m:oMathPara>
    </w:p>
    <w:p w14:paraId="597C20F2" w14:textId="46102D54" w:rsidR="00B93886" w:rsidRPr="001D1EEB" w:rsidRDefault="00000000" w:rsidP="001D1EEB">
      <w:pPr>
        <w:spacing w:after="0" w:line="360" w:lineRule="auto"/>
        <w:ind w:firstLine="709"/>
        <w:jc w:val="center"/>
        <w:rPr>
          <w:szCs w:val="24"/>
          <w:lang w:val="ru-RU"/>
        </w:rPr>
      </w:pPr>
      <m:oMath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Q</m:t>
            </m:r>
            <m:ctrlPr>
              <w:rPr>
                <w:rFonts w:ascii="Cambria Math" w:eastAsia="Cambria Math" w:hAnsi="Cambria Math"/>
                <w:szCs w:val="24"/>
                <w:lang w:val="ru-RU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2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≤</m:t>
        </m:r>
        <m:sSubSup>
          <m:sSubSup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SupPr>
          <m:e>
            <m:r>
              <w:rPr>
                <w:rFonts w:ascii="Cambria Math" w:eastAsia="Cambria Math" w:hAnsi="Cambria Math"/>
                <w:szCs w:val="24"/>
              </w:rPr>
              <m:t>Q</m:t>
            </m:r>
            <m:ctrlPr>
              <w:rPr>
                <w:rFonts w:ascii="Cambria Math" w:eastAsia="Cambria Math" w:hAnsi="Cambria Math"/>
                <w:szCs w:val="24"/>
                <w:lang w:val="ru-RU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2</m:t>
            </m:r>
          </m:sub>
          <m:sup>
            <m:r>
              <w:rPr>
                <w:rFonts w:ascii="Cambria Math" w:eastAsia="Cambria Math" w:hAnsi="Cambria Math"/>
                <w:szCs w:val="24"/>
              </w:rPr>
              <m:t>max</m:t>
            </m:r>
          </m:sup>
        </m:sSubSup>
      </m:oMath>
      <w:r w:rsidR="001D1EEB">
        <w:rPr>
          <w:szCs w:val="24"/>
          <w:lang w:val="ru-RU"/>
        </w:rPr>
        <w:tab/>
      </w:r>
      <w:r w:rsidR="001D1EEB">
        <w:rPr>
          <w:szCs w:val="24"/>
          <w:lang w:val="ru-RU"/>
        </w:rPr>
        <w:tab/>
      </w:r>
      <w:r w:rsidR="001D1EEB">
        <w:rPr>
          <w:szCs w:val="24"/>
          <w:lang w:val="ru-RU"/>
        </w:rPr>
        <w:tab/>
      </w:r>
      <w:r w:rsidR="001D1EEB" w:rsidRPr="000A7BDC">
        <w:rPr>
          <w:lang w:val="ru-RU"/>
        </w:rPr>
        <w:t>(3.3.4).</w:t>
      </w:r>
    </w:p>
    <w:p w14:paraId="0A08CE77" w14:textId="77777777" w:rsidR="00B93886" w:rsidRDefault="00B93886" w:rsidP="00B93886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Где:</w:t>
      </w:r>
    </w:p>
    <w:p w14:paraId="0EE569F3" w14:textId="19E94076" w:rsidR="00B93886" w:rsidRPr="00B258A6" w:rsidRDefault="00000000" w:rsidP="001D1EEB">
      <w:pPr>
        <w:pStyle w:val="ae"/>
        <w:numPr>
          <w:ilvl w:val="0"/>
          <w:numId w:val="10"/>
        </w:numPr>
        <w:spacing w:after="0" w:line="360" w:lineRule="auto"/>
        <w:ind w:left="1134"/>
        <w:jc w:val="both"/>
        <w:rPr>
          <w:lang w:val="ru-RU"/>
        </w:rPr>
      </w:pPr>
      <m:oMath>
        <m:sSub>
          <m:sSubPr>
            <m:ctrlPr>
              <w:rPr>
                <w:rFonts w:ascii="Cambria Math" w:eastAsia="Cambria Math" w:hAnsi="Cambria Math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lang w:val="ru-RU"/>
              </w:rPr>
              <m:t>2</m:t>
            </m:r>
          </m:sub>
        </m:sSub>
        <m:sSub>
          <m:sSubPr>
            <m:ctrlPr>
              <w:rPr>
                <w:rFonts w:ascii="Cambria Math" w:eastAsia="Cambria Math" w:hAnsi="Cambria Math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lang w:val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lang w:val="ru-RU"/>
              </w:rPr>
              <m:t>2</m:t>
            </m:r>
          </m:sub>
        </m:sSub>
      </m:oMath>
      <w:r w:rsidR="00B93886" w:rsidRPr="001D1EEB">
        <w:rPr>
          <w:lang w:val="ru-RU"/>
        </w:rPr>
        <w:t xml:space="preserve"> - </w:t>
      </w:r>
      <w:r w:rsidR="00B93886" w:rsidRPr="00B258A6">
        <w:rPr>
          <w:lang w:val="ru-RU"/>
        </w:rPr>
        <w:t>общий объём капитальных вложений в портово‑логистический кластер;</w:t>
      </w:r>
    </w:p>
    <w:p w14:paraId="121E4408" w14:textId="77777777" w:rsidR="00B93886" w:rsidRPr="00B258A6" w:rsidRDefault="00000000" w:rsidP="001D1EEB">
      <w:pPr>
        <w:pStyle w:val="ae"/>
        <w:numPr>
          <w:ilvl w:val="0"/>
          <w:numId w:val="10"/>
        </w:numPr>
        <w:spacing w:after="0" w:line="360" w:lineRule="auto"/>
        <w:ind w:left="1134"/>
        <w:jc w:val="both"/>
        <w:rPr>
          <w:lang w:val="ru-RU"/>
        </w:rPr>
      </w:pPr>
      <m:oMath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="00B93886" w:rsidRPr="00B258A6">
        <w:rPr>
          <w:lang w:val="ru-RU"/>
        </w:rPr>
        <w:t xml:space="preserve">максимально допустимый объём инвестиций (по проектной модели порядка 2,20 млрд </w:t>
      </w:r>
      <w:r w:rsidR="00B93886" w:rsidRPr="001D1EEB">
        <w:rPr>
          <w:lang w:val="ru-RU"/>
        </w:rPr>
        <w:t>USD</w:t>
      </w:r>
      <w:r w:rsidR="00B93886" w:rsidRPr="00B258A6">
        <w:rPr>
          <w:lang w:val="ru-RU"/>
        </w:rPr>
        <w:t>);</w:t>
      </w:r>
    </w:p>
    <w:p w14:paraId="2E249597" w14:textId="77777777" w:rsidR="00B93886" w:rsidRPr="00B258A6" w:rsidRDefault="00B93886" w:rsidP="001D1EEB">
      <w:pPr>
        <w:pStyle w:val="ae"/>
        <w:numPr>
          <w:ilvl w:val="0"/>
          <w:numId w:val="10"/>
        </w:numPr>
        <w:spacing w:after="0" w:line="360" w:lineRule="auto"/>
        <w:ind w:left="1134"/>
        <w:jc w:val="both"/>
        <w:rPr>
          <w:lang w:val="ru-RU"/>
        </w:rPr>
      </w:pPr>
      <m:oMath>
        <m:r>
          <w:rPr>
            <w:rFonts w:ascii="Cambria Math" w:hAnsi="Cambria Math"/>
            <w:lang w:val="ru-RU"/>
          </w:rPr>
          <m:t>Lan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B258A6">
        <w:rPr>
          <w:lang w:val="ru-RU"/>
        </w:rPr>
        <w:t xml:space="preserve"> – площадь портовых и припортовых земель, занятых объектами кластера;</w:t>
      </w:r>
    </w:p>
    <w:p w14:paraId="4C8B7B8D" w14:textId="77777777" w:rsidR="00B93886" w:rsidRPr="00B258A6" w:rsidRDefault="00B93886" w:rsidP="001D1EEB">
      <w:pPr>
        <w:pStyle w:val="ae"/>
        <w:numPr>
          <w:ilvl w:val="0"/>
          <w:numId w:val="10"/>
        </w:numPr>
        <w:spacing w:after="0" w:line="360" w:lineRule="auto"/>
        <w:ind w:left="1134"/>
        <w:jc w:val="both"/>
        <w:rPr>
          <w:lang w:val="ru-RU"/>
        </w:rPr>
      </w:pPr>
      <m:oMath>
        <m:r>
          <w:rPr>
            <w:rFonts w:ascii="Cambria Math" w:hAnsi="Cambria Math"/>
            <w:lang w:val="ru-RU"/>
          </w:rPr>
          <m:t>Lan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B258A6">
        <w:rPr>
          <w:lang w:val="ru-RU"/>
        </w:rPr>
        <w:t>доступный земельный ресурс (территория терминалов и припортовых индустриальных зон);</w:t>
      </w:r>
    </w:p>
    <w:p w14:paraId="1E0FA4D2" w14:textId="77777777" w:rsidR="00B93886" w:rsidRPr="00B258A6" w:rsidRDefault="00B93886" w:rsidP="001D1EEB">
      <w:pPr>
        <w:pStyle w:val="ae"/>
        <w:numPr>
          <w:ilvl w:val="0"/>
          <w:numId w:val="10"/>
        </w:numPr>
        <w:spacing w:after="0" w:line="360" w:lineRule="auto"/>
        <w:ind w:left="1134"/>
        <w:jc w:val="both"/>
        <w:rPr>
          <w:lang w:val="ru-RU"/>
        </w:rPr>
      </w:pPr>
      <m:oMath>
        <m:r>
          <w:rPr>
            <w:rFonts w:ascii="Cambria Math" w:hAnsi="Cambria Math"/>
            <w:lang w:val="ru-RU"/>
          </w:rPr>
          <m:t>E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B258A6">
        <w:rPr>
          <w:lang w:val="ru-RU"/>
        </w:rPr>
        <w:t xml:space="preserve"> – потребление энергоресурсов кластером </w:t>
      </w:r>
      <w:r w:rsidRPr="001D1EEB">
        <w:rPr>
          <w:lang w:val="ru-RU"/>
        </w:rPr>
        <w:t>II</w:t>
      </w:r>
      <w:r w:rsidRPr="00B258A6">
        <w:rPr>
          <w:lang w:val="ru-RU"/>
        </w:rPr>
        <w:t>;</w:t>
      </w:r>
    </w:p>
    <w:p w14:paraId="5932C289" w14:textId="77777777" w:rsidR="00B93886" w:rsidRPr="00B258A6" w:rsidRDefault="00B93886" w:rsidP="001D1EEB">
      <w:pPr>
        <w:pStyle w:val="ae"/>
        <w:numPr>
          <w:ilvl w:val="0"/>
          <w:numId w:val="10"/>
        </w:numPr>
        <w:spacing w:after="0" w:line="360" w:lineRule="auto"/>
        <w:ind w:left="1134"/>
        <w:jc w:val="both"/>
        <w:rPr>
          <w:lang w:val="ru-RU"/>
        </w:rPr>
      </w:pPr>
      <m:oMath>
        <m:r>
          <w:rPr>
            <w:rFonts w:ascii="Cambria Math" w:hAnsi="Cambria Math"/>
            <w:lang w:val="ru-RU"/>
          </w:rPr>
          <m:t>E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B258A6">
        <w:rPr>
          <w:lang w:val="ru-RU"/>
        </w:rPr>
        <w:t>доступный объём энергоснабжения с учётом ограничений энергетического кластера;</w:t>
      </w:r>
    </w:p>
    <w:p w14:paraId="0B5DEF18" w14:textId="77777777" w:rsidR="00B93886" w:rsidRPr="00B258A6" w:rsidRDefault="00B93886" w:rsidP="001D1EEB">
      <w:pPr>
        <w:pStyle w:val="ae"/>
        <w:numPr>
          <w:ilvl w:val="0"/>
          <w:numId w:val="10"/>
        </w:numPr>
        <w:spacing w:after="0" w:line="360" w:lineRule="auto"/>
        <w:ind w:left="1134"/>
        <w:jc w:val="both"/>
        <w:rPr>
          <w:lang w:val="ru-RU"/>
        </w:rPr>
      </w:pPr>
      <m:oMath>
        <m:r>
          <w:rPr>
            <w:rFonts w:ascii="Cambria Math" w:hAnsi="Cambria Math"/>
            <w:lang w:val="ru-RU"/>
          </w:rPr>
          <m:t>H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B258A6">
        <w:rPr>
          <w:lang w:val="ru-RU"/>
        </w:rPr>
        <w:t xml:space="preserve"> – потребность кластера во всех категориях персонала; </w:t>
      </w:r>
    </w:p>
    <w:p w14:paraId="2DAA1FB8" w14:textId="77777777" w:rsidR="00B93886" w:rsidRPr="00B258A6" w:rsidRDefault="00B93886" w:rsidP="001D1EEB">
      <w:pPr>
        <w:pStyle w:val="ae"/>
        <w:numPr>
          <w:ilvl w:val="0"/>
          <w:numId w:val="10"/>
        </w:numPr>
        <w:spacing w:after="0" w:line="360" w:lineRule="auto"/>
        <w:ind w:left="1134"/>
        <w:jc w:val="both"/>
        <w:rPr>
          <w:lang w:val="ru-RU"/>
        </w:rPr>
      </w:pPr>
      <m:oMath>
        <m:r>
          <w:rPr>
            <w:rFonts w:ascii="Cambria Math" w:hAnsi="Cambria Math"/>
            <w:lang w:val="ru-RU"/>
          </w:rPr>
          <m:t>H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B258A6">
        <w:rPr>
          <w:lang w:val="ru-RU"/>
        </w:rPr>
        <w:t>доступная численность и квалификация кадров;</w:t>
      </w:r>
    </w:p>
    <w:p w14:paraId="728FB1EE" w14:textId="77777777" w:rsidR="00B93886" w:rsidRPr="00B258A6" w:rsidRDefault="00000000" w:rsidP="001D1EEB">
      <w:pPr>
        <w:pStyle w:val="ae"/>
        <w:numPr>
          <w:ilvl w:val="0"/>
          <w:numId w:val="10"/>
        </w:numPr>
        <w:spacing w:after="0" w:line="360" w:lineRule="auto"/>
        <w:ind w:left="1134"/>
        <w:jc w:val="both"/>
        <w:rPr>
          <w:lang w:val="ru-RU"/>
        </w:rPr>
      </w:pP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</m:e>
        </m:d>
      </m:oMath>
      <w:r w:rsidR="00B93886" w:rsidRPr="00B258A6">
        <w:rPr>
          <w:lang w:val="ru-RU"/>
        </w:rPr>
        <w:t xml:space="preserve"> – фактический грузооборот порта Абиджана при реализации кластера на уровне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="00B93886" w:rsidRPr="00B258A6">
        <w:rPr>
          <w:lang w:val="ru-RU"/>
        </w:rPr>
        <w:t>;</w:t>
      </w:r>
    </w:p>
    <w:p w14:paraId="0DA9DA5F" w14:textId="77777777" w:rsidR="00B93886" w:rsidRPr="00B258A6" w:rsidRDefault="00000000" w:rsidP="001D1EEB">
      <w:pPr>
        <w:pStyle w:val="ae"/>
        <w:numPr>
          <w:ilvl w:val="0"/>
          <w:numId w:val="10"/>
        </w:numPr>
        <w:spacing w:after="0" w:line="360" w:lineRule="auto"/>
        <w:ind w:left="1134"/>
        <w:jc w:val="both"/>
        <w:rPr>
          <w:lang w:val="ru-RU"/>
        </w:rPr>
      </w:pPr>
      <m:oMath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="00B93886" w:rsidRPr="00B258A6">
        <w:rPr>
          <w:lang w:val="ru-RU"/>
        </w:rPr>
        <w:t>целевой грузооборот порта (около 52 млн т/год).</w:t>
      </w:r>
    </w:p>
    <w:p w14:paraId="482B18FF" w14:textId="77777777" w:rsidR="00B93886" w:rsidRPr="000A7BDC" w:rsidRDefault="00B93886" w:rsidP="00B93886">
      <w:pPr>
        <w:spacing w:after="0" w:line="360" w:lineRule="auto"/>
        <w:ind w:firstLine="709"/>
        <w:jc w:val="both"/>
        <w:rPr>
          <w:lang w:val="ru-RU"/>
        </w:rPr>
      </w:pPr>
      <w:r w:rsidRPr="000A7BDC">
        <w:rPr>
          <w:lang w:val="ru-RU"/>
        </w:rPr>
        <w:t xml:space="preserve">Формула (3.3.5). Инвестиционный мультипликатор кластера </w:t>
      </w:r>
      <w:r>
        <w:t>II</w:t>
      </w:r>
      <w:r w:rsidRPr="000A7BDC">
        <w:rPr>
          <w:lang w:val="ru-RU"/>
        </w:rPr>
        <w:t>:</w:t>
      </w:r>
    </w:p>
    <w:p w14:paraId="386AC81A" w14:textId="77777777" w:rsidR="00B93886" w:rsidRPr="000A7BDC" w:rsidRDefault="00000000" w:rsidP="00B93886">
      <w:pPr>
        <w:spacing w:after="0"/>
        <w:ind w:firstLine="709"/>
        <w:jc w:val="center"/>
        <w:rPr>
          <w:lang w:val="ru-RU"/>
        </w:rPr>
      </w:pPr>
      <m:oMath>
        <m:sSub>
          <m:sSubPr>
            <m:ctrlPr>
              <w:rPr>
                <w:rFonts w:ascii="Cambria Math" w:eastAsia="Cambria Math" w:hAnsi="Cambria Math"/>
                <w:i/>
                <w:sz w:val="32"/>
                <w:szCs w:val="28"/>
                <w:lang w:val="en-GB"/>
              </w:rPr>
            </m:ctrlPr>
          </m:sSubPr>
          <m:e>
            <m:r>
              <w:rPr>
                <w:rFonts w:ascii="Cambria Math" w:eastAsia="Cambria Math" w:hAnsi="Cambria Math"/>
                <w:sz w:val="32"/>
                <w:szCs w:val="28"/>
                <w:lang w:val="ru-RU"/>
              </w:rPr>
              <m:t>k</m:t>
            </m:r>
          </m:e>
          <m:sub>
            <m:r>
              <w:rPr>
                <w:rFonts w:ascii="Cambria Math" w:eastAsia="Cambria Math" w:hAnsi="Cambria Math"/>
                <w:sz w:val="32"/>
                <w:szCs w:val="28"/>
                <w:lang w:val="ru-RU"/>
              </w:rPr>
              <m:t>2</m:t>
            </m:r>
          </m:sub>
        </m:sSub>
        <m:r>
          <w:rPr>
            <w:rFonts w:ascii="Cambria Math" w:eastAsia="Cambria Math" w:hAnsi="Cambria Math"/>
            <w:sz w:val="32"/>
            <w:szCs w:val="28"/>
            <w:lang w:val="ru-RU"/>
          </w:rPr>
          <m:t>=</m:t>
        </m:r>
        <m:f>
          <m:fPr>
            <m:ctrlPr>
              <w:rPr>
                <w:rFonts w:ascii="Cambria Math" w:eastAsia="Cambria Math" w:hAnsi="Cambria Math"/>
                <w:i/>
                <w:sz w:val="32"/>
                <w:szCs w:val="28"/>
                <w:lang w:val="ru-RU"/>
              </w:rPr>
            </m:ctrlPr>
          </m:fPr>
          <m:num>
            <m:r>
              <w:rPr>
                <w:rFonts w:ascii="Cambria Math" w:eastAsia="Cambria Math" w:hAnsi="Cambria Math"/>
                <w:sz w:val="32"/>
                <w:szCs w:val="28"/>
                <w:lang w:val="ru-RU"/>
              </w:rPr>
              <m:t>ΔV</m:t>
            </m:r>
            <m:sSup>
              <m:sSupPr>
                <m:ctrlPr>
                  <w:rPr>
                    <w:rFonts w:ascii="Cambria Math" w:eastAsia="Cambria Math" w:hAnsi="Cambria Math"/>
                    <w:i/>
                    <w:sz w:val="32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eastAsia="Cambria Math" w:hAnsi="Cambria Math"/>
                    <w:sz w:val="32"/>
                    <w:szCs w:val="28"/>
                    <w:lang w:val="ru-RU"/>
                  </w:rPr>
                  <m:t>A</m:t>
                </m:r>
              </m:e>
              <m:sup>
                <m:r>
                  <w:rPr>
                    <w:rFonts w:ascii="Cambria Math" w:eastAsia="Cambria Math" w:hAnsi="Cambria Math"/>
                    <w:sz w:val="32"/>
                    <w:szCs w:val="28"/>
                    <w:lang w:val="ru-RU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eastAsia="Cambria Math" w:hAnsi="Cambria Math"/>
                    <w:i/>
                    <w:sz w:val="32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 w:val="32"/>
                    <w:szCs w:val="28"/>
                    <w:lang w:val="ru-RU"/>
                  </w:rPr>
                  <m:t>I</m:t>
                </m:r>
              </m:e>
              <m:sub>
                <m:r>
                  <w:rPr>
                    <w:rFonts w:ascii="Cambria Math" w:eastAsia="Cambria Math" w:hAnsi="Cambria Math"/>
                    <w:sz w:val="32"/>
                    <w:szCs w:val="28"/>
                    <w:lang w:val="ru-RU"/>
                  </w:rPr>
                  <m:t>2</m:t>
                </m:r>
              </m:sub>
            </m:sSub>
          </m:den>
        </m:f>
      </m:oMath>
      <w:r w:rsidR="00B93886">
        <w:rPr>
          <w:sz w:val="32"/>
          <w:szCs w:val="28"/>
          <w:lang w:val="ru-RU"/>
        </w:rPr>
        <w:t xml:space="preserve"> </w:t>
      </w:r>
      <w:r w:rsidR="00B93886">
        <w:rPr>
          <w:sz w:val="32"/>
          <w:szCs w:val="28"/>
          <w:lang w:val="ru-RU"/>
        </w:rPr>
        <w:tab/>
      </w:r>
      <w:r w:rsidR="00B93886">
        <w:rPr>
          <w:sz w:val="32"/>
          <w:szCs w:val="28"/>
          <w:lang w:val="ru-RU"/>
        </w:rPr>
        <w:tab/>
      </w:r>
      <w:r w:rsidR="00B93886">
        <w:rPr>
          <w:sz w:val="32"/>
          <w:szCs w:val="28"/>
          <w:lang w:val="ru-RU"/>
        </w:rPr>
        <w:tab/>
      </w:r>
      <w:r w:rsidR="00B93886">
        <w:rPr>
          <w:sz w:val="32"/>
          <w:szCs w:val="28"/>
          <w:lang w:val="ru-RU"/>
        </w:rPr>
        <w:tab/>
        <w:t>(3.3.5)</w:t>
      </w:r>
    </w:p>
    <w:p w14:paraId="738B62A3" w14:textId="77777777" w:rsidR="00B93886" w:rsidRDefault="00B93886" w:rsidP="00B93886">
      <w:pPr>
        <w:spacing w:after="0" w:line="360" w:lineRule="auto"/>
        <w:ind w:firstLine="709"/>
        <w:jc w:val="both"/>
        <w:rPr>
          <w:lang w:val="ru-RU"/>
        </w:rPr>
      </w:pPr>
      <w:r w:rsidRPr="00853A87">
        <w:rPr>
          <w:lang w:val="ru-RU"/>
        </w:rPr>
        <w:t>где:</w:t>
      </w:r>
    </w:p>
    <w:p w14:paraId="4553F536" w14:textId="77777777" w:rsidR="00B93886" w:rsidRDefault="00B93886" w:rsidP="001D1EEB">
      <w:pPr>
        <w:pStyle w:val="ae"/>
        <w:numPr>
          <w:ilvl w:val="0"/>
          <w:numId w:val="10"/>
        </w:numPr>
        <w:spacing w:after="0" w:line="360" w:lineRule="auto"/>
        <w:ind w:left="1134"/>
        <w:jc w:val="both"/>
        <w:rPr>
          <w:lang w:val="ru-RU"/>
        </w:rPr>
      </w:pPr>
      <w:r w:rsidRPr="000A7BDC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0A7BDC">
        <w:rPr>
          <w:lang w:val="ru-RU"/>
        </w:rPr>
        <w:t xml:space="preserve"> – инвестиционный мультипликатор портово‑логистического кластера;</w:t>
      </w:r>
    </w:p>
    <w:p w14:paraId="40F2E4F8" w14:textId="77777777" w:rsidR="00B93886" w:rsidRDefault="00B93886" w:rsidP="001D1EEB">
      <w:pPr>
        <w:pStyle w:val="ae"/>
        <w:numPr>
          <w:ilvl w:val="0"/>
          <w:numId w:val="10"/>
        </w:numPr>
        <w:spacing w:after="0" w:line="360" w:lineRule="auto"/>
        <w:ind w:left="1134"/>
        <w:jc w:val="both"/>
        <w:rPr>
          <w:lang w:val="ru-RU"/>
        </w:rPr>
      </w:pPr>
      <w:r w:rsidRPr="000A7BDC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r>
          <w:rPr>
            <w:rFonts w:ascii="Cambria Math" w:hAnsi="Cambria Math"/>
            <w:lang w:val="ru-RU"/>
          </w:rPr>
          <m:t>V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0A7BDC">
        <w:rPr>
          <w:lang w:val="ru-RU"/>
        </w:rPr>
        <w:t xml:space="preserve"> – прирост валовой добавленной стоимости (</w:t>
      </w:r>
      <w:proofErr w:type="spellStart"/>
      <w:r w:rsidRPr="00B258A6">
        <w:rPr>
          <w:lang w:val="ru-RU"/>
        </w:rPr>
        <w:t>value</w:t>
      </w:r>
      <w:proofErr w:type="spellEnd"/>
      <w:r w:rsidRPr="000A7BDC">
        <w:rPr>
          <w:lang w:val="ru-RU"/>
        </w:rPr>
        <w:t xml:space="preserve"> </w:t>
      </w:r>
      <w:proofErr w:type="spellStart"/>
      <w:r w:rsidRPr="00B258A6">
        <w:rPr>
          <w:lang w:val="ru-RU"/>
        </w:rPr>
        <w:t>added</w:t>
      </w:r>
      <w:proofErr w:type="spellEnd"/>
      <w:r w:rsidRPr="000A7BDC">
        <w:rPr>
          <w:lang w:val="ru-RU"/>
        </w:rPr>
        <w:t xml:space="preserve">), обеспечиваемый кластером </w:t>
      </w:r>
      <w:r w:rsidRPr="00B258A6">
        <w:rPr>
          <w:lang w:val="ru-RU"/>
        </w:rPr>
        <w:t>II</w:t>
      </w:r>
      <w:r w:rsidRPr="000A7BDC">
        <w:rPr>
          <w:lang w:val="ru-RU"/>
        </w:rPr>
        <w:t xml:space="preserve"> при реализации инвестиционной программы (по оценке порядка 2,5 млрд </w:t>
      </w:r>
      <w:r w:rsidRPr="00B258A6">
        <w:rPr>
          <w:lang w:val="ru-RU"/>
        </w:rPr>
        <w:t>USD</w:t>
      </w:r>
      <w:r w:rsidRPr="000A7BDC">
        <w:rPr>
          <w:lang w:val="ru-RU"/>
        </w:rPr>
        <w:t>);</w:t>
      </w:r>
    </w:p>
    <w:p w14:paraId="4146DB74" w14:textId="77777777" w:rsidR="00B93886" w:rsidRDefault="00B93886" w:rsidP="001D1EEB">
      <w:pPr>
        <w:pStyle w:val="ae"/>
        <w:numPr>
          <w:ilvl w:val="0"/>
          <w:numId w:val="10"/>
        </w:numPr>
        <w:spacing w:after="0" w:line="360" w:lineRule="auto"/>
        <w:ind w:left="1134"/>
        <w:jc w:val="both"/>
        <w:rPr>
          <w:lang w:val="ru-RU"/>
        </w:rPr>
      </w:pPr>
      <w:r w:rsidRPr="000A7BDC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0A7BDC">
        <w:rPr>
          <w:lang w:val="ru-RU"/>
        </w:rPr>
        <w:t xml:space="preserve"> – объём капитальных вложений в кластер </w:t>
      </w:r>
      <w:r w:rsidRPr="00B258A6">
        <w:rPr>
          <w:lang w:val="ru-RU"/>
        </w:rPr>
        <w:t>II</w:t>
      </w:r>
      <w:r w:rsidRPr="000A7BDC">
        <w:rPr>
          <w:lang w:val="ru-RU"/>
        </w:rPr>
        <w:t xml:space="preserve"> (около 2,20 млрд </w:t>
      </w:r>
      <w:r w:rsidRPr="00B258A6">
        <w:rPr>
          <w:lang w:val="ru-RU"/>
        </w:rPr>
        <w:t>USD</w:t>
      </w:r>
      <w:r w:rsidRPr="000A7BDC">
        <w:rPr>
          <w:lang w:val="ru-RU"/>
        </w:rPr>
        <w:t xml:space="preserve">). </w:t>
      </w:r>
    </w:p>
    <w:p w14:paraId="565DD76B" w14:textId="77777777" w:rsidR="00B93886" w:rsidRPr="00B258A6" w:rsidRDefault="00B93886" w:rsidP="00B93886">
      <w:pPr>
        <w:spacing w:after="0" w:line="360" w:lineRule="auto"/>
        <w:ind w:firstLine="709"/>
        <w:jc w:val="both"/>
        <w:rPr>
          <w:lang w:val="ru-RU"/>
        </w:rPr>
      </w:pPr>
      <w:r w:rsidRPr="000A7BDC">
        <w:rPr>
          <w:lang w:val="ru-RU"/>
        </w:rPr>
        <w:t xml:space="preserve">Величина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b>
        </m:sSub>
      </m:oMath>
      <w:r>
        <w:rPr>
          <w:lang w:val="ru-RU"/>
        </w:rPr>
        <w:t>=</w:t>
      </w:r>
      <w:r w:rsidRPr="000A7BDC">
        <w:rPr>
          <w:lang w:val="ru-RU"/>
        </w:rPr>
        <w:t xml:space="preserve"> 1,78, приведённая в разделе 3.3.2, означает, что каждый вложенный доллар капитала генерирует порядка 1,78 доллара прироста добавленной стоимости.</w:t>
      </w:r>
    </w:p>
    <w:p w14:paraId="691DFB63" w14:textId="77777777" w:rsidR="00B93886" w:rsidRPr="000A7BDC" w:rsidRDefault="00B93886" w:rsidP="00B93886">
      <w:pPr>
        <w:spacing w:after="0" w:line="360" w:lineRule="auto"/>
        <w:ind w:firstLine="709"/>
        <w:jc w:val="both"/>
        <w:rPr>
          <w:lang w:val="ru-RU"/>
        </w:rPr>
      </w:pPr>
      <w:r w:rsidRPr="000A7BDC">
        <w:rPr>
          <w:lang w:val="ru-RU"/>
        </w:rPr>
        <w:t xml:space="preserve">Формула (3.3.6). Дополнительный годовой доход кластера </w:t>
      </w:r>
      <w:r>
        <w:t>II</w:t>
      </w:r>
      <w:r w:rsidRPr="000A7BDC">
        <w:rPr>
          <w:lang w:val="ru-RU"/>
        </w:rPr>
        <w:t xml:space="preserve"> от роста грузооборота:</w:t>
      </w:r>
    </w:p>
    <w:p w14:paraId="3E41E4CC" w14:textId="6353A893" w:rsidR="00B93886" w:rsidRPr="000A7BDC" w:rsidRDefault="00000000" w:rsidP="001D1EEB">
      <w:pPr>
        <w:spacing w:after="0"/>
        <w:ind w:firstLine="709"/>
        <w:jc w:val="center"/>
        <w:rPr>
          <w:lang w:val="ru-RU"/>
        </w:rPr>
      </w:pPr>
      <m:oMath>
        <m:sSub>
          <m:sSubPr>
            <m:ctrlPr>
              <w:rPr>
                <w:rFonts w:ascii="Cambria Math" w:eastAsia="Cambria Math" w:hAnsi="Cambria Math"/>
                <w:i/>
                <w:sz w:val="32"/>
                <w:szCs w:val="28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 w:val="32"/>
                <w:szCs w:val="28"/>
              </w:rPr>
              <m:t>R</m:t>
            </m:r>
            <m:ctrlPr>
              <w:rPr>
                <w:rFonts w:ascii="Cambria Math" w:eastAsia="Cambria Math" w:hAnsi="Cambria Math"/>
                <w:i/>
                <w:sz w:val="32"/>
                <w:szCs w:val="28"/>
              </w:rPr>
            </m:ctrlPr>
          </m:e>
          <m:sub>
            <m:r>
              <w:rPr>
                <w:rFonts w:ascii="Cambria Math" w:eastAsia="Cambria Math" w:hAnsi="Cambria Math"/>
                <w:sz w:val="32"/>
                <w:szCs w:val="28"/>
                <w:lang w:val="ru-RU"/>
              </w:rPr>
              <m:t>2</m:t>
            </m:r>
          </m:sub>
        </m:sSub>
        <m:r>
          <w:rPr>
            <w:rFonts w:ascii="Cambria Math" w:eastAsia="Cambria Math" w:hAnsi="Cambria Math"/>
            <w:sz w:val="32"/>
            <w:szCs w:val="28"/>
            <w:lang w:val="ru-RU"/>
          </w:rPr>
          <m:t>=</m:t>
        </m:r>
        <m:sSub>
          <m:sSubPr>
            <m:ctrlPr>
              <w:rPr>
                <w:rFonts w:ascii="Cambria Math" w:eastAsia="Cambria Math" w:hAnsi="Cambria Math"/>
                <w:i/>
                <w:sz w:val="32"/>
                <w:szCs w:val="28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 w:val="32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Cambria Math" w:eastAsia="Cambria Math" w:hAnsi="Cambria Math"/>
                <w:sz w:val="32"/>
                <w:szCs w:val="28"/>
              </w:rPr>
              <m:t>tr</m:t>
            </m:r>
          </m:sub>
        </m:sSub>
        <m:r>
          <m:rPr>
            <m:sty m:val="p"/>
          </m:rPr>
          <w:rPr>
            <w:rFonts w:ascii="Cambria Math" w:eastAsia="Cambria Math" w:hAnsi="Cambria Math"/>
            <w:sz w:val="32"/>
            <w:szCs w:val="28"/>
            <w:lang w:val="ru-RU"/>
          </w:rPr>
          <m:t>⋅Δ</m:t>
        </m:r>
        <m:sSub>
          <m:sSubPr>
            <m:ctrlPr>
              <w:rPr>
                <w:rFonts w:ascii="Cambria Math" w:eastAsia="Cambria Math" w:hAnsi="Cambria Math"/>
                <w:i/>
                <w:sz w:val="32"/>
                <w:szCs w:val="28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 w:val="32"/>
                <w:szCs w:val="28"/>
              </w:rPr>
              <m:t>Q</m:t>
            </m:r>
            <m:ctrlPr>
              <w:rPr>
                <w:rFonts w:ascii="Cambria Math" w:eastAsia="Cambria Math" w:hAnsi="Cambria Math"/>
                <w:i/>
                <w:sz w:val="32"/>
                <w:szCs w:val="28"/>
              </w:rPr>
            </m:ctrlPr>
          </m:e>
          <m:sub>
            <m:r>
              <m:rPr>
                <m:nor/>
              </m:rPr>
              <w:rPr>
                <w:rFonts w:ascii="Cambria Math" w:eastAsia="Cambria Math" w:hAnsi="Cambria Math"/>
                <w:sz w:val="32"/>
                <w:szCs w:val="28"/>
              </w:rPr>
              <m:t>tr</m:t>
            </m:r>
          </m:sub>
        </m:sSub>
        <m:r>
          <w:rPr>
            <w:rFonts w:ascii="Cambria Math" w:eastAsia="Cambria Math" w:hAnsi="Cambria Math"/>
            <w:sz w:val="32"/>
            <w:szCs w:val="28"/>
            <w:lang w:val="ru-RU"/>
          </w:rPr>
          <m:t>+</m:t>
        </m:r>
        <m:sSub>
          <m:sSubPr>
            <m:ctrlPr>
              <w:rPr>
                <w:rFonts w:ascii="Cambria Math" w:eastAsia="Cambria Math" w:hAnsi="Cambria Math"/>
                <w:i/>
                <w:sz w:val="32"/>
                <w:szCs w:val="28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 w:val="32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Cambria Math" w:eastAsia="Cambria Math" w:hAnsi="Cambria Math"/>
                <w:sz w:val="32"/>
                <w:szCs w:val="28"/>
              </w:rPr>
              <m:t>loc</m:t>
            </m:r>
          </m:sub>
        </m:sSub>
        <m:r>
          <m:rPr>
            <m:sty m:val="p"/>
          </m:rPr>
          <w:rPr>
            <w:rFonts w:ascii="Cambria Math" w:eastAsia="Cambria Math" w:hAnsi="Cambria Math"/>
            <w:sz w:val="32"/>
            <w:szCs w:val="28"/>
            <w:lang w:val="ru-RU"/>
          </w:rPr>
          <m:t>⋅Δ</m:t>
        </m:r>
        <m:sSub>
          <m:sSubPr>
            <m:ctrlPr>
              <w:rPr>
                <w:rFonts w:ascii="Cambria Math" w:eastAsia="Cambria Math" w:hAnsi="Cambria Math"/>
                <w:i/>
                <w:sz w:val="32"/>
                <w:szCs w:val="28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 w:val="32"/>
                <w:szCs w:val="28"/>
              </w:rPr>
              <m:t>Q</m:t>
            </m:r>
            <m:ctrlPr>
              <w:rPr>
                <w:rFonts w:ascii="Cambria Math" w:eastAsia="Cambria Math" w:hAnsi="Cambria Math"/>
                <w:i/>
                <w:sz w:val="32"/>
                <w:szCs w:val="28"/>
              </w:rPr>
            </m:ctrlPr>
          </m:e>
          <m:sub>
            <m:r>
              <m:rPr>
                <m:nor/>
              </m:rPr>
              <w:rPr>
                <w:rFonts w:ascii="Cambria Math" w:eastAsia="Cambria Math" w:hAnsi="Cambria Math"/>
                <w:sz w:val="32"/>
                <w:szCs w:val="28"/>
              </w:rPr>
              <m:t>loc</m:t>
            </m:r>
          </m:sub>
        </m:sSub>
        <m:r>
          <w:rPr>
            <w:rFonts w:ascii="Cambria Math" w:eastAsia="Cambria Math" w:hAnsi="Cambria Math"/>
            <w:sz w:val="32"/>
            <w:szCs w:val="28"/>
            <w:lang w:val="ru-RU"/>
          </w:rPr>
          <m:t>.</m:t>
        </m:r>
      </m:oMath>
      <w:r w:rsidR="001D1EEB">
        <w:rPr>
          <w:sz w:val="32"/>
          <w:szCs w:val="28"/>
          <w:lang w:val="ru-RU"/>
        </w:rPr>
        <w:tab/>
      </w:r>
      <w:r w:rsidR="001D1EEB">
        <w:rPr>
          <w:sz w:val="32"/>
          <w:szCs w:val="28"/>
          <w:lang w:val="ru-RU"/>
        </w:rPr>
        <w:tab/>
      </w:r>
      <w:r w:rsidR="001D1EEB">
        <w:rPr>
          <w:sz w:val="32"/>
          <w:szCs w:val="28"/>
          <w:lang w:val="ru-RU"/>
        </w:rPr>
        <w:tab/>
      </w:r>
      <w:r w:rsidR="001D1EEB" w:rsidRPr="000A7BDC">
        <w:rPr>
          <w:lang w:val="ru-RU"/>
        </w:rPr>
        <w:t>(3.3.6).</w:t>
      </w:r>
    </w:p>
    <w:p w14:paraId="00F34C2A" w14:textId="77777777" w:rsidR="00B93886" w:rsidRDefault="00B93886" w:rsidP="00B93886">
      <w:pPr>
        <w:spacing w:after="0" w:line="360" w:lineRule="auto"/>
        <w:ind w:firstLine="709"/>
        <w:jc w:val="both"/>
        <w:rPr>
          <w:lang w:val="ru-RU"/>
        </w:rPr>
      </w:pPr>
      <w:r w:rsidRPr="000A7BDC">
        <w:rPr>
          <w:lang w:val="ru-RU"/>
        </w:rPr>
        <w:t>где:</w:t>
      </w:r>
    </w:p>
    <w:p w14:paraId="10BDA9DF" w14:textId="77777777" w:rsidR="00B93886" w:rsidRDefault="00B93886" w:rsidP="001D1EEB">
      <w:pPr>
        <w:pStyle w:val="ae"/>
        <w:numPr>
          <w:ilvl w:val="0"/>
          <w:numId w:val="10"/>
        </w:numPr>
        <w:spacing w:after="0" w:line="360" w:lineRule="auto"/>
        <w:ind w:left="1134"/>
        <w:jc w:val="both"/>
        <w:rPr>
          <w:lang w:val="ru-RU"/>
        </w:rPr>
      </w:pPr>
      <w:r w:rsidRPr="000A7BDC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0A7BDC">
        <w:rPr>
          <w:lang w:val="ru-RU"/>
        </w:rPr>
        <w:t xml:space="preserve"> – дополнительный годовой доход портово‑логистического кластера при достижении целевых параметров грузооборота;</w:t>
      </w:r>
    </w:p>
    <w:p w14:paraId="572A95D8" w14:textId="77777777" w:rsidR="00B93886" w:rsidRDefault="00B93886" w:rsidP="001D1EEB">
      <w:pPr>
        <w:pStyle w:val="ae"/>
        <w:numPr>
          <w:ilvl w:val="0"/>
          <w:numId w:val="10"/>
        </w:numPr>
        <w:spacing w:after="0" w:line="360" w:lineRule="auto"/>
        <w:ind w:left="1134"/>
        <w:jc w:val="both"/>
        <w:rPr>
          <w:lang w:val="ru-RU"/>
        </w:rPr>
      </w:pPr>
      <w:r w:rsidRPr="000A7BDC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m:rPr>
                <m:nor/>
              </m:rPr>
              <w:rPr>
                <w:lang w:val="ru-RU"/>
              </w:rPr>
              <m:t>tr</m:t>
            </m:r>
          </m:sub>
        </m:sSub>
      </m:oMath>
      <w:r w:rsidRPr="000A7BDC">
        <w:rPr>
          <w:lang w:val="ru-RU"/>
        </w:rPr>
        <w:t xml:space="preserve"> – средний тариф (или маржа) на обработку транзитных грузов, оцениваемый на уровне около 28 </w:t>
      </w:r>
      <w:r w:rsidRPr="00B258A6">
        <w:rPr>
          <w:lang w:val="ru-RU"/>
        </w:rPr>
        <w:t>USD</w:t>
      </w:r>
      <w:r w:rsidRPr="000A7BDC">
        <w:rPr>
          <w:lang w:val="ru-RU"/>
        </w:rPr>
        <w:t>/т;</w:t>
      </w:r>
    </w:p>
    <w:p w14:paraId="17C36FE7" w14:textId="77777777" w:rsidR="00B93886" w:rsidRDefault="00B93886" w:rsidP="001D1EEB">
      <w:pPr>
        <w:pStyle w:val="ae"/>
        <w:numPr>
          <w:ilvl w:val="0"/>
          <w:numId w:val="10"/>
        </w:numPr>
        <w:spacing w:after="0" w:line="360" w:lineRule="auto"/>
        <w:ind w:left="1134"/>
        <w:jc w:val="both"/>
        <w:rPr>
          <w:lang w:val="ru-RU"/>
        </w:rPr>
      </w:pPr>
      <w:r w:rsidRPr="000A7BDC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Q</m:t>
            </m:r>
          </m:e>
          <m:sub>
            <m:r>
              <m:rPr>
                <m:nor/>
              </m:rPr>
              <w:rPr>
                <w:lang w:val="ru-RU"/>
              </w:rPr>
              <m:t>tr</m:t>
            </m:r>
          </m:sub>
        </m:sSub>
      </m:oMath>
      <w:r w:rsidRPr="000A7BDC">
        <w:rPr>
          <w:lang w:val="ru-RU"/>
        </w:rPr>
        <w:t xml:space="preserve"> – прирост объёма транзитных грузов (в оценках порядка 12 млн т/год);</w:t>
      </w:r>
    </w:p>
    <w:p w14:paraId="3FA8A66B" w14:textId="77777777" w:rsidR="00B93886" w:rsidRDefault="00B93886" w:rsidP="001D1EEB">
      <w:pPr>
        <w:pStyle w:val="ae"/>
        <w:numPr>
          <w:ilvl w:val="0"/>
          <w:numId w:val="10"/>
        </w:numPr>
        <w:spacing w:after="0" w:line="360" w:lineRule="auto"/>
        <w:ind w:left="1134"/>
        <w:jc w:val="both"/>
        <w:rPr>
          <w:lang w:val="ru-RU"/>
        </w:rPr>
      </w:pPr>
      <w:r w:rsidRPr="000A7BDC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m:rPr>
                <m:nor/>
              </m:rPr>
              <w:rPr>
                <w:lang w:val="ru-RU"/>
              </w:rPr>
              <m:t>loc</m:t>
            </m:r>
          </m:sub>
        </m:sSub>
      </m:oMath>
      <w:r w:rsidRPr="000A7BDC">
        <w:rPr>
          <w:lang w:val="ru-RU"/>
        </w:rPr>
        <w:t xml:space="preserve"> – средний тариф на обработку локальных грузов (ориентировочно 45 </w:t>
      </w:r>
      <w:r w:rsidRPr="00B258A6">
        <w:rPr>
          <w:lang w:val="ru-RU"/>
        </w:rPr>
        <w:t>USD</w:t>
      </w:r>
      <w:r w:rsidRPr="000A7BDC">
        <w:rPr>
          <w:lang w:val="ru-RU"/>
        </w:rPr>
        <w:t>/т);</w:t>
      </w:r>
    </w:p>
    <w:p w14:paraId="440524DF" w14:textId="77777777" w:rsidR="00B93886" w:rsidRDefault="00B93886" w:rsidP="001D1EEB">
      <w:pPr>
        <w:pStyle w:val="ae"/>
        <w:numPr>
          <w:ilvl w:val="0"/>
          <w:numId w:val="10"/>
        </w:numPr>
        <w:spacing w:after="0" w:line="360" w:lineRule="auto"/>
        <w:ind w:left="1134"/>
        <w:jc w:val="both"/>
        <w:rPr>
          <w:lang w:val="ru-RU"/>
        </w:rPr>
      </w:pPr>
      <w:r w:rsidRPr="000A7BDC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Q</m:t>
            </m:r>
          </m:e>
          <m:sub>
            <m:r>
              <m:rPr>
                <m:nor/>
              </m:rPr>
              <w:rPr>
                <w:lang w:val="ru-RU"/>
              </w:rPr>
              <m:t>loc</m:t>
            </m:r>
          </m:sub>
        </m:sSub>
      </m:oMath>
      <w:r w:rsidRPr="000A7BDC">
        <w:rPr>
          <w:lang w:val="ru-RU"/>
        </w:rPr>
        <w:t xml:space="preserve"> – прирост объёма локальных (национальных) грузов (около 8 млн т/год). </w:t>
      </w:r>
    </w:p>
    <w:p w14:paraId="14645C3A" w14:textId="77777777" w:rsidR="00B93886" w:rsidRPr="000A7BDC" w:rsidRDefault="00B93886" w:rsidP="00B93886">
      <w:pPr>
        <w:spacing w:after="0" w:line="360" w:lineRule="auto"/>
        <w:ind w:firstLine="709"/>
        <w:jc w:val="both"/>
        <w:rPr>
          <w:lang w:val="ru-RU"/>
        </w:rPr>
      </w:pPr>
      <w:r w:rsidRPr="000A7BDC">
        <w:rPr>
          <w:lang w:val="ru-RU"/>
        </w:rPr>
        <w:lastRenderedPageBreak/>
        <w:t xml:space="preserve">Данная формула используется при оценке денежного потока, формирующего базу для расчёта потребности в оборотном капитале и финансовой устойчивости кластера </w:t>
      </w:r>
      <w:r>
        <w:t>II</w:t>
      </w:r>
      <w:r w:rsidRPr="000A7BDC">
        <w:rPr>
          <w:lang w:val="ru-RU"/>
        </w:rPr>
        <w:t>.</w:t>
      </w:r>
    </w:p>
    <w:p w14:paraId="2FA3D9F7" w14:textId="77777777" w:rsidR="00B93886" w:rsidRPr="00B93886" w:rsidRDefault="00B93886" w:rsidP="00B93886">
      <w:pPr>
        <w:spacing w:after="0" w:line="360" w:lineRule="auto"/>
        <w:ind w:firstLine="709"/>
        <w:jc w:val="both"/>
        <w:rPr>
          <w:lang w:val="ru-RU"/>
        </w:rPr>
      </w:pPr>
    </w:p>
    <w:sectPr w:rsidR="00B93886" w:rsidRPr="00B93886" w:rsidSect="00B93886">
      <w:pgSz w:w="12240" w:h="15840"/>
      <w:pgMar w:top="1440" w:right="1041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15585B"/>
    <w:multiLevelType w:val="hybridMultilevel"/>
    <w:tmpl w:val="B3C62554"/>
    <w:lvl w:ilvl="0" w:tplc="0D98F34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06964728">
    <w:abstractNumId w:val="8"/>
  </w:num>
  <w:num w:numId="2" w16cid:durableId="1635868269">
    <w:abstractNumId w:val="6"/>
  </w:num>
  <w:num w:numId="3" w16cid:durableId="151526562">
    <w:abstractNumId w:val="5"/>
  </w:num>
  <w:num w:numId="4" w16cid:durableId="718241420">
    <w:abstractNumId w:val="4"/>
  </w:num>
  <w:num w:numId="5" w16cid:durableId="416901313">
    <w:abstractNumId w:val="7"/>
  </w:num>
  <w:num w:numId="6" w16cid:durableId="1949314489">
    <w:abstractNumId w:val="3"/>
  </w:num>
  <w:num w:numId="7" w16cid:durableId="998340428">
    <w:abstractNumId w:val="2"/>
  </w:num>
  <w:num w:numId="8" w16cid:durableId="881479524">
    <w:abstractNumId w:val="1"/>
  </w:num>
  <w:num w:numId="9" w16cid:durableId="1546790074">
    <w:abstractNumId w:val="0"/>
  </w:num>
  <w:num w:numId="10" w16cid:durableId="10526518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EEB"/>
    <w:rsid w:val="00262CE4"/>
    <w:rsid w:val="0029639D"/>
    <w:rsid w:val="00326F90"/>
    <w:rsid w:val="00451D59"/>
    <w:rsid w:val="00A15018"/>
    <w:rsid w:val="00AA1D8D"/>
    <w:rsid w:val="00AD133F"/>
    <w:rsid w:val="00B17337"/>
    <w:rsid w:val="00B47730"/>
    <w:rsid w:val="00B9388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40F5A2"/>
  <w14:defaultImageDpi w14:val="300"/>
  <w15:docId w15:val="{72D3101A-C885-45C5-A7D6-4634A15F9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2152</Words>
  <Characters>12270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Mandritsa</cp:lastModifiedBy>
  <cp:revision>4</cp:revision>
  <dcterms:created xsi:type="dcterms:W3CDTF">2026-02-21T22:50:00Z</dcterms:created>
  <dcterms:modified xsi:type="dcterms:W3CDTF">2026-02-23T21:48:00Z</dcterms:modified>
  <cp:category/>
</cp:coreProperties>
</file>