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E57B" w14:textId="77777777" w:rsidR="008C505D" w:rsidRDefault="008C505D">
      <w:pPr>
        <w:spacing w:before="720" w:after="80" w:line="280" w:lineRule="auto"/>
        <w:jc w:val="both"/>
      </w:pPr>
    </w:p>
    <w:p w14:paraId="5135A73A" w14:textId="77777777" w:rsidR="008C505D" w:rsidRDefault="00000000">
      <w:pPr>
        <w:spacing w:after="60"/>
        <w:jc w:val="center"/>
      </w:pPr>
      <w:r>
        <w:rPr>
          <w:rFonts w:ascii="Cambria" w:eastAsia="Cambria" w:hAnsi="Cambria" w:cs="Cambria"/>
          <w:b/>
          <w:bCs/>
          <w:color w:val="7A6C55"/>
          <w:sz w:val="20"/>
          <w:szCs w:val="20"/>
        </w:rPr>
        <w:t>ПРОЕКТ «БЕРЕГ ВОСХОДА»</w:t>
      </w:r>
    </w:p>
    <w:p w14:paraId="125D4C8A" w14:textId="77777777" w:rsidR="008C505D" w:rsidRDefault="00000000">
      <w:pPr>
        <w:pBdr>
          <w:bottom w:val="single" w:sz="8" w:space="6" w:color="1A3A5C"/>
        </w:pBdr>
        <w:spacing w:after="100"/>
        <w:jc w:val="center"/>
      </w:pPr>
      <w:r>
        <w:rPr>
          <w:rFonts w:ascii="Cambria" w:eastAsia="Cambria" w:hAnsi="Cambria" w:cs="Cambria"/>
          <w:b/>
          <w:bCs/>
          <w:color w:val="0F2640"/>
          <w:sz w:val="38"/>
          <w:szCs w:val="38"/>
        </w:rPr>
        <w:t>Кластер IV — Цифровая платформа и данные</w:t>
      </w:r>
    </w:p>
    <w:p w14:paraId="204E1643" w14:textId="77777777" w:rsidR="008C505D" w:rsidRDefault="008C505D">
      <w:pPr>
        <w:spacing w:before="100" w:after="80" w:line="280" w:lineRule="auto"/>
        <w:jc w:val="both"/>
      </w:pPr>
    </w:p>
    <w:p w14:paraId="6EB8D0CB" w14:textId="77777777" w:rsidR="008C505D" w:rsidRDefault="00000000">
      <w:pPr>
        <w:spacing w:after="60"/>
        <w:jc w:val="center"/>
      </w:pPr>
      <w:r>
        <w:rPr>
          <w:rFonts w:ascii="Cambria" w:eastAsia="Cambria" w:hAnsi="Cambria" w:cs="Cambria"/>
          <w:i/>
          <w:iCs/>
          <w:color w:val="1A3A5C"/>
          <w:sz w:val="26"/>
          <w:szCs w:val="26"/>
        </w:rPr>
        <w:t>Полный свод математических формул подраздела 3.3.4</w:t>
      </w:r>
    </w:p>
    <w:p w14:paraId="432EEE63" w14:textId="77777777" w:rsidR="008C505D" w:rsidRDefault="00000000">
      <w:pPr>
        <w:spacing w:after="500"/>
        <w:jc w:val="center"/>
      </w:pPr>
      <w:r>
        <w:rPr>
          <w:i/>
          <w:iCs/>
          <w:color w:val="555555"/>
          <w:sz w:val="22"/>
          <w:szCs w:val="22"/>
        </w:rPr>
        <w:t>с развёрнутым описанием переменных и экономической интерпретацией</w:t>
      </w:r>
    </w:p>
    <w:p w14:paraId="7A7C2281" w14:textId="77777777" w:rsidR="008C505D" w:rsidRDefault="008C505D">
      <w:pPr>
        <w:pageBreakBefore/>
        <w:spacing w:before="80" w:after="80" w:line="280" w:lineRule="auto"/>
        <w:jc w:val="both"/>
      </w:pPr>
    </w:p>
    <w:p w14:paraId="0744A734" w14:textId="77777777" w:rsidR="008C505D" w:rsidRDefault="00000000">
      <w:pPr>
        <w:pStyle w:val="1"/>
      </w:pPr>
      <w:r>
        <w:t>Введение: зачем нужна формализация Кластера IV</w:t>
      </w:r>
    </w:p>
    <w:p w14:paraId="6FCF1E93" w14:textId="77777777" w:rsidR="008C505D" w:rsidRDefault="00000000">
      <w:pPr>
        <w:spacing w:before="80" w:after="80" w:line="280" w:lineRule="auto"/>
        <w:jc w:val="both"/>
      </w:pPr>
      <w:r>
        <w:t xml:space="preserve">Цифровая платформа «Берег Восхода» (Кластер IV) описана в подразделе 3.3.4 как </w:t>
      </w:r>
      <w:r>
        <w:rPr>
          <w:i/>
          <w:iCs/>
        </w:rPr>
        <w:t>«операционная система» проекта</w:t>
      </w:r>
      <w:r>
        <w:t xml:space="preserve"> — координационный механизм, снижающий транзакционные издержки и создающий синергию между восемью остальными кластерами. Однако в исходном тексте подраздела все количественные утверждения (снижение издержек на 2–3 </w:t>
      </w:r>
      <w:proofErr w:type="spellStart"/>
      <w:r>
        <w:t>п.п</w:t>
      </w:r>
      <w:proofErr w:type="spellEnd"/>
      <w:r>
        <w:t>. ВВП, мультипликатор k</w:t>
      </w:r>
      <w:r>
        <w:rPr>
          <w:rFonts w:ascii="Cambria Math" w:eastAsia="Cambria Math" w:hAnsi="Cambria Math" w:cs="Cambria Math"/>
          <w:color w:val="0F2640"/>
        </w:rPr>
        <w:t>₄ = 2,05</w:t>
      </w:r>
      <w:r>
        <w:t>, ценность сети по закону Меткалфа и др.) приведены без явной математической формализации.</w:t>
      </w:r>
    </w:p>
    <w:p w14:paraId="77D4DF71" w14:textId="77777777" w:rsidR="008C505D" w:rsidRDefault="00000000">
      <w:pPr>
        <w:spacing w:before="80" w:after="80" w:line="280" w:lineRule="auto"/>
        <w:jc w:val="both"/>
      </w:pPr>
      <w:r>
        <w:t xml:space="preserve">Настоящий документ содержит </w:t>
      </w:r>
      <w:r>
        <w:rPr>
          <w:b/>
          <w:bCs/>
        </w:rPr>
        <w:t>полный набор формул Кластера IV</w:t>
      </w:r>
      <w:r>
        <w:t xml:space="preserve"> в нотации </w:t>
      </w:r>
      <w:proofErr w:type="spellStart"/>
      <w:r>
        <w:t>LaTeX</w:t>
      </w:r>
      <w:proofErr w:type="spellEnd"/>
      <w:r>
        <w:t xml:space="preserve"> с текстовым описанием каждой переменной. Формулы организованы по смысловым блокам: (1) степень реализации и добавленная стоимость; (2) сетевой эффект (закон Меткалфа); (3) снижение транзакционных издержек; (4) инвестиционный мультипликатор и ROI; (5) кадровые и ресурсные ограничения; (6) синергетические коэффициенты; (7) критическое ограничение реализации; (8) OPEX и оборотный капитал.</w:t>
      </w:r>
    </w:p>
    <w:p w14:paraId="3C8CDD93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031D1D0F" w14:textId="77777777" w:rsidR="008C505D" w:rsidRDefault="00000000">
      <w:pPr>
        <w:pStyle w:val="2"/>
      </w:pPr>
      <w:r>
        <w:t>Блок 1. Степень реализации кластера и прирост добавленной стоимости</w:t>
      </w:r>
    </w:p>
    <w:p w14:paraId="0EF074F6" w14:textId="77777777" w:rsidR="008C505D" w:rsidRDefault="00000000">
      <w:pPr>
        <w:spacing w:before="80" w:after="80" w:line="280" w:lineRule="auto"/>
        <w:jc w:val="both"/>
      </w:pPr>
      <w:r>
        <w:t xml:space="preserve">Центральной переменной кластера IV является </w:t>
      </w:r>
      <w:r>
        <w:rPr>
          <w:rFonts w:ascii="Cambria Math" w:eastAsia="Cambria Math" w:hAnsi="Cambria Math" w:cs="Cambria Math"/>
          <w:color w:val="0F2640"/>
        </w:rPr>
        <w:t>x₄</w:t>
      </w:r>
      <w:r>
        <w:t xml:space="preserve"> — степень реализации цифровой платформы. При </w:t>
      </w:r>
      <w:r>
        <w:rPr>
          <w:rFonts w:ascii="Cambria Math" w:eastAsia="Cambria Math" w:hAnsi="Cambria Math" w:cs="Cambria Math"/>
          <w:color w:val="0F2640"/>
        </w:rPr>
        <w:t>x₄ = 0</w:t>
      </w:r>
      <w:r>
        <w:t xml:space="preserve"> платформа не функционирует; при </w:t>
      </w:r>
      <w:r>
        <w:rPr>
          <w:rFonts w:ascii="Cambria Math" w:eastAsia="Cambria Math" w:hAnsi="Cambria Math" w:cs="Cambria Math"/>
          <w:color w:val="0F2640"/>
        </w:rPr>
        <w:t>x₄ = 1</w:t>
      </w:r>
      <w:r>
        <w:t xml:space="preserve"> достигнут полный проектный сценарий (все модули запущены, охват ≥ 70 % операций). Прямой прирост добавленной стоимости:</w:t>
      </w:r>
    </w:p>
    <w:p w14:paraId="39C3B0CD" w14:textId="5CDCD6A8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∈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</w:rPr>
              <m:t>0;</m:t>
            </m:r>
            <m:r>
              <w:rPr>
                <w:rFonts w:ascii="Cambria Math" w:eastAsia="Cambria Math" w:hAnsi="Cambria Math" w:cs="Cambria Math"/>
                <w:color w:val="0F2640"/>
              </w:rPr>
              <m:t> </m:t>
            </m:r>
            <m:r>
              <w:rPr>
                <w:rFonts w:ascii="Cambria Math" w:eastAsia="Cambria Math" w:hAnsi="Cambria Math" w:cs="Cambria Math"/>
                <w:color w:val="0F2640"/>
              </w:rPr>
              <m:t>1</m:t>
            </m:r>
          </m:e>
        </m:d>
      </m:oMath>
      <w:r w:rsidR="00000000">
        <w:t xml:space="preserve">   </w:t>
      </w:r>
      <w:r w:rsidR="00000000">
        <w:rPr>
          <w:i/>
          <w:iCs/>
          <w:color w:val="7A6C55"/>
          <w:sz w:val="20"/>
          <w:szCs w:val="20"/>
        </w:rPr>
        <w:t>(Ф.4.1)</w:t>
      </w:r>
    </w:p>
    <w:p w14:paraId="23627221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Область допустимых значений переменной реализации Кластера IV.</w:t>
      </w:r>
    </w:p>
    <w:p w14:paraId="12C124AC" w14:textId="5E516DCD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Y</m:t>
            </m: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color w:val="0F2640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⋅Δ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Y</m:t>
            </m: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max</m:t>
            </m:r>
          </m:sup>
        </m:sSubSup>
      </m:oMath>
      <w:r w:rsidR="00000000" w:rsidRPr="00A069A7">
        <w:rPr>
          <w:i/>
          <w:iCs/>
          <w:color w:val="7A6C55"/>
          <w:sz w:val="20"/>
          <w:szCs w:val="20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</w:rPr>
        <w:t>.4.2)</w:t>
      </w:r>
    </w:p>
    <w:p w14:paraId="16A8954E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Линейная зависимость прироста ВДС от степени реализации. При полном развёртывании (x₄ = 1) достигается целевой прирост ΔY₄^max.</w:t>
      </w:r>
    </w:p>
    <w:p w14:paraId="5C749B5D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00792A50" w14:textId="66AD09BF" w:rsidR="008C505D" w:rsidRDefault="00A069A7">
      <w:pPr>
        <w:spacing w:before="30" w:after="30"/>
        <w:ind w:left="900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прирост валовой добавленной стоимости (ВДС) от Кластера IV в постоянных ценах, млрд USD</w:t>
      </w:r>
    </w:p>
    <w:p w14:paraId="4358E547" w14:textId="20A4F4A1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степень реализации цифровой платформы, x₄ ∈ [0; 1]</w:t>
      </w:r>
    </w:p>
    <w:p w14:paraId="4460A0B2" w14:textId="5DC8BB55" w:rsidR="008C505D" w:rsidRDefault="00A069A7">
      <w:pPr>
        <w:spacing w:before="30" w:after="30"/>
        <w:ind w:left="900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</m:oMath>
      <w:r w:rsidR="00000000">
        <w:rPr>
          <w:color w:val="555555"/>
        </w:rPr>
        <w:t xml:space="preserve"> </w:t>
      </w:r>
      <w:r w:rsidR="00000000">
        <w:rPr>
          <w:color w:val="333333"/>
          <w:sz w:val="22"/>
          <w:szCs w:val="22"/>
        </w:rPr>
        <w:t>максимальный целевой прирост ВДС Кластера IV при полной реализации; базовая оценка — 2,50 млрд USD</w:t>
      </w:r>
    </w:p>
    <w:p w14:paraId="4A01B20B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3E18209F" w14:textId="77777777" w:rsidR="008C505D" w:rsidRDefault="00000000">
      <w:pPr>
        <w:pStyle w:val="2"/>
      </w:pPr>
      <w:r>
        <w:t>Блок 2. Сетевой эффект — закон Меткалфа</w:t>
      </w:r>
    </w:p>
    <w:p w14:paraId="3EA83852" w14:textId="77777777" w:rsidR="008C505D" w:rsidRDefault="00000000">
      <w:pPr>
        <w:spacing w:before="80" w:after="80" w:line="280" w:lineRule="auto"/>
        <w:jc w:val="both"/>
      </w:pPr>
      <w:r>
        <w:t xml:space="preserve">Ценность цифровой платформы нелинейно возрастает с числом подключённых участников. Согласно </w:t>
      </w:r>
      <w:r>
        <w:rPr>
          <w:b/>
          <w:bCs/>
        </w:rPr>
        <w:t>закону Меткалфа</w:t>
      </w:r>
      <w:r>
        <w:t>, ценность сети пропорциональна квадрату числа узлов:</w:t>
      </w:r>
    </w:p>
    <w:p w14:paraId="56858358" w14:textId="1610497B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w:rPr>
            <w:rFonts w:ascii="Cambria Math" w:eastAsia="Cambria Math" w:hAnsi="Cambria Math" w:cs="Cambria Math"/>
            <w:color w:val="0F2640"/>
          </w:rPr>
          <w:lastRenderedPageBreak/>
          <m:t>V</m:t>
        </m:r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</w:rPr>
              <m:t>n</m:t>
            </m:r>
          </m:e>
        </m:d>
        <m:r>
          <w:rPr>
            <w:rFonts w:ascii="Cambria Math" w:eastAsia="Cambria Math" w:hAnsi="Cambria Math" w:cs="Cambria Math"/>
            <w:color w:val="0F2640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β⋅</m:t>
        </m:r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F2640"/>
              </w:rPr>
              <m:t>n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p>
            <m:r>
              <w:rPr>
                <w:rFonts w:ascii="Cambria Math" w:eastAsia="Cambria Math" w:hAnsi="Cambria Math" w:cs="Cambria Math"/>
                <w:color w:val="0F2640"/>
              </w:rPr>
              <m:t>2</m:t>
            </m:r>
          </m:sup>
        </m:sSup>
      </m:oMath>
      <w:r w:rsidR="00000000">
        <w:t xml:space="preserve">   </w:t>
      </w:r>
      <w:r w:rsidR="00000000">
        <w:rPr>
          <w:i/>
          <w:iCs/>
          <w:color w:val="7A6C55"/>
          <w:sz w:val="20"/>
          <w:szCs w:val="20"/>
        </w:rPr>
        <w:t>(Ф.4.3)</w:t>
      </w:r>
    </w:p>
    <w:p w14:paraId="5B0CB3D7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Закон Меткалфа. Используется для количественной оценки ценности платформы при заданном числе участников.</w:t>
      </w:r>
    </w:p>
    <w:p w14:paraId="115C1607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14C5B2A2" w14:textId="0241815A" w:rsidR="008C505D" w:rsidRDefault="00A069A7">
      <w:pPr>
        <w:spacing w:before="30" w:after="30"/>
        <w:ind w:left="900"/>
      </w:pPr>
      <m:oMath>
        <m:r>
          <w:rPr>
            <w:rFonts w:ascii="Cambria Math" w:eastAsia="Cambria Math" w:hAnsi="Cambria Math" w:cs="Cambria Math"/>
            <w:color w:val="0F2640"/>
          </w:rPr>
          <m:t>V</m:t>
        </m:r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</w:rPr>
              <m:t>n</m:t>
            </m:r>
          </m:e>
        </m:d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монетарная ценность платформы при n участниках, млрд USD</w:t>
      </w:r>
    </w:p>
    <w:p w14:paraId="7F62AB24" w14:textId="54B7E6BF" w:rsidR="008C505D" w:rsidRDefault="00A069A7">
      <w:pPr>
        <w:spacing w:before="30" w:after="30"/>
        <w:ind w:left="900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β</m:t>
        </m:r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 xml:space="preserve">калибровочный коэффициент, отражающий среднюю ценность одной связи между участниками; подбирается из условия </w:t>
      </w:r>
      <m:oMath>
        <m:r>
          <w:rPr>
            <w:rFonts w:ascii="Cambria Math" w:hAnsi="Cambria Math"/>
            <w:color w:val="333333"/>
            <w:sz w:val="22"/>
            <w:szCs w:val="22"/>
          </w:rPr>
          <m:t>V</m:t>
        </m:r>
        <m:d>
          <m:dPr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333333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333333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333333"/>
                    <w:sz w:val="22"/>
                    <w:szCs w:val="22"/>
                  </w:rPr>
                  <m:t>0</m:t>
                </m:r>
              </m:sup>
            </m:sSup>
          </m:e>
        </m:d>
        <m:r>
          <w:rPr>
            <w:rFonts w:ascii="Cambria Math" w:hAnsi="Cambria Math"/>
            <w:color w:val="333333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/>
                <w:color w:val="333333"/>
                <w:sz w:val="22"/>
                <w:szCs w:val="22"/>
              </w:rPr>
              <m:t>0</m:t>
            </m:r>
            <m:r>
              <w:rPr>
                <w:rFonts w:ascii="Cambria Math" w:hAnsi="Cambria Math"/>
                <w:color w:val="333333"/>
                <w:sz w:val="22"/>
                <w:szCs w:val="22"/>
              </w:rPr>
              <m:t>ref</m:t>
            </m:r>
          </m:sup>
        </m:sSup>
      </m:oMath>
    </w:p>
    <w:p w14:paraId="074C906C" w14:textId="5F61DDE4" w:rsidR="008C505D" w:rsidRDefault="00A069A7">
      <w:pPr>
        <w:spacing w:before="30" w:after="30"/>
        <w:ind w:left="900"/>
      </w:pPr>
      <m:oMath>
        <m:r>
          <w:rPr>
            <w:rFonts w:ascii="Cambria Math" w:eastAsia="Cambria Math" w:hAnsi="Cambria Math" w:cs="Cambria Math"/>
            <w:color w:val="0F2640"/>
          </w:rPr>
          <m:t>n</m:t>
        </m:r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число активных участников (фирмы + физические лица + государственные органы), подключённых к платформе</w:t>
      </w:r>
    </w:p>
    <w:p w14:paraId="1F4D3AF4" w14:textId="77777777" w:rsidR="008C505D" w:rsidRDefault="00000000">
      <w:pPr>
        <w:spacing w:before="80" w:after="80" w:line="280" w:lineRule="auto"/>
        <w:jc w:val="both"/>
      </w:pPr>
      <w:r>
        <w:t>Калибровка коэффициента β по контрольной точке проекта (n₀ ≈ 12 000 компаний, V(n₀) ≈ 2,16 млрд USD):</w:t>
      </w:r>
    </w:p>
    <w:p w14:paraId="70DB738F" w14:textId="24EB33CB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β</m:t>
        </m:r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F2640"/>
              </w:rPr>
              <m:t>V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lang w:val="en-GB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Sup>
              <m:sSubSup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2</m:t>
                </m:r>
              </m:sup>
            </m:sSubSup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2,16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lang w:val="en-GB"/>
                      </w:rPr>
                      <m:t>12,000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2</m:t>
                </m:r>
              </m:sup>
            </m:sSup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≈</m:t>
        </m:r>
        <m:r>
          <w:rPr>
            <w:rFonts w:ascii="Cambria Math" w:eastAsia="Cambria Math" w:hAnsi="Cambria Math" w:cs="Cambria Math"/>
            <w:color w:val="0F2640"/>
            <w:lang w:val="en-GB"/>
          </w:rPr>
          <m:t>1,5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10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p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-8</m:t>
            </m:r>
          </m:sup>
        </m:sSup>
        <m:r>
          <w:rPr>
            <w:rFonts w:ascii="Cambria Math" w:eastAsia="Cambria Math" w:hAnsi="Cambria Math" w:cs="Cambria Math"/>
            <w:color w:val="0F2640"/>
            <w:lang w:val="en-GB"/>
          </w:rPr>
          <m:t> 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млрд</m:t>
        </m:r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 xml:space="preserve"> USD</m:t>
        </m:r>
      </m:oMath>
      <w:r w:rsidR="00000000" w:rsidRPr="00A069A7">
        <w:rPr>
          <w:lang w:val="en-GB"/>
        </w:rPr>
        <w:t xml:space="preserve">   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.4.4)</w:t>
      </w:r>
    </w:p>
    <w:p w14:paraId="2DED3BBF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Эмпирическая калибровка β для базового сценария проекта «Берег Восхода».</w:t>
      </w:r>
    </w:p>
    <w:p w14:paraId="0119DF8A" w14:textId="77777777" w:rsidR="008C505D" w:rsidRDefault="00000000">
      <w:pPr>
        <w:spacing w:before="80" w:after="80" w:line="280" w:lineRule="auto"/>
        <w:jc w:val="both"/>
      </w:pPr>
      <w:r>
        <w:t>При целевом охвате в 50 тыс. компаний (таблица 3.3.4.1) потенциальная ценность платформы:</w:t>
      </w:r>
    </w:p>
    <w:p w14:paraId="58A159BE" w14:textId="0837E1EC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w:rPr>
            <w:rFonts w:ascii="Cambria Math" w:eastAsia="Cambria Math" w:hAnsi="Cambria Math" w:cs="Cambria Math"/>
            <w:color w:val="0F2640"/>
          </w:rPr>
          <m:t>V</m:t>
        </m:r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50,000</m:t>
            </m:r>
          </m:e>
        </m:d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β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⋅</m:t>
        </m:r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50,000</m:t>
                </m:r>
              </m:e>
            </m:d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p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≈</m:t>
        </m:r>
        <m:r>
          <w:rPr>
            <w:rFonts w:ascii="Cambria Math" w:eastAsia="Cambria Math" w:hAnsi="Cambria Math" w:cs="Cambria Math"/>
            <w:color w:val="0F2640"/>
            <w:lang w:val="en-GB"/>
          </w:rPr>
          <m:t>37,5 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млрд</m:t>
        </m:r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 xml:space="preserve"> USD</m:t>
        </m:r>
      </m:oMath>
      <w:r w:rsidR="00000000" w:rsidRPr="00A069A7">
        <w:rPr>
          <w:lang w:val="en-GB"/>
        </w:rPr>
        <w:t xml:space="preserve">   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.4.5)</w:t>
      </w:r>
    </w:p>
    <w:p w14:paraId="40FCB919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Теоретический верхний предел ценности при достижении целевого числа участников (50 тыс. компаний). Реализуемость ограничена ёмкостью рынка.</w:t>
      </w:r>
    </w:p>
    <w:p w14:paraId="3A55C8AD" w14:textId="77777777" w:rsidR="008C505D" w:rsidRDefault="00000000">
      <w:pPr>
        <w:pStyle w:val="3"/>
      </w:pPr>
      <w:r>
        <w:t>Обобщённый закон Меткалфа для неоднородной сети</w:t>
      </w:r>
    </w:p>
    <w:p w14:paraId="08007176" w14:textId="77777777" w:rsidR="008C505D" w:rsidRDefault="00000000">
      <w:pPr>
        <w:spacing w:before="80" w:after="80" w:line="280" w:lineRule="auto"/>
        <w:jc w:val="both"/>
      </w:pPr>
      <w:r>
        <w:t>Поскольку участники платформы неоднородны по типу (фермеры, компании, банки, госорганы), обобщённая ценность сети с учётом дифференцированных весов связей:</w:t>
      </w:r>
    </w:p>
    <w:p w14:paraId="140D82D4" w14:textId="5D80F0EE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w:rPr>
            <w:rFonts w:ascii="Cambria Math" w:eastAsia="Cambria Math" w:hAnsi="Cambria Math" w:cs="Cambria Math"/>
            <w:color w:val="0F2640"/>
          </w:rPr>
          <m:t>V=</m:t>
        </m:r>
        <m:nary>
          <m:naryPr>
            <m:chr m:val="∑"/>
            <m:ctrlPr>
              <w:rPr>
                <w:rFonts w:ascii="Cambria Math" w:eastAsia="Cambria Math" w:hAnsi="Cambria Math" w:cs="Cambria Math"/>
                <w:color w:val="0F2640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F2640"/>
              </w:rPr>
              <m:t>i=1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M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p>
          <m:e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  <w:color w:val="0F2640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j&gt;i</m:t>
                </m: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ub>
              <m:sup>
                <m:r>
                  <w:rPr>
                    <w:rFonts w:ascii="Cambria Math" w:eastAsia="Cambria Math" w:hAnsi="Cambria Math" w:cs="Cambria Math"/>
                    <w:color w:val="0F2640"/>
                  </w:rPr>
                  <m:t>M</m:t>
                </m: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</w:rPr>
                      <m:t>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ij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e>
            </m:nary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e>
        </m:nary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n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n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</m:sub>
        </m:sSub>
      </m:oMath>
      <w:r w:rsidR="00000000">
        <w:t xml:space="preserve">  </w:t>
      </w:r>
      <w:r w:rsidR="00000000">
        <w:rPr>
          <w:i/>
          <w:iCs/>
          <w:color w:val="7A6C55"/>
          <w:sz w:val="20"/>
          <w:szCs w:val="20"/>
        </w:rPr>
        <w:t>(Ф.4.6)</w:t>
      </w:r>
    </w:p>
    <w:p w14:paraId="6560B304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 xml:space="preserve">Обобщённый закон Меткалфа для M категорий участников. Позволяет учесть, что связь «банк–фермер» имеет </w:t>
      </w:r>
      <w:proofErr w:type="spellStart"/>
      <w:r>
        <w:rPr>
          <w:i/>
          <w:iCs/>
          <w:color w:val="555555"/>
          <w:sz w:val="20"/>
          <w:szCs w:val="20"/>
        </w:rPr>
        <w:t>бо́льшую</w:t>
      </w:r>
      <w:proofErr w:type="spellEnd"/>
      <w:r>
        <w:rPr>
          <w:i/>
          <w:iCs/>
          <w:color w:val="555555"/>
          <w:sz w:val="20"/>
          <w:szCs w:val="20"/>
        </w:rPr>
        <w:t xml:space="preserve"> ценность, чем «фермер–фермер».</w:t>
      </w:r>
    </w:p>
    <w:p w14:paraId="49C07C8A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78769D09" w14:textId="610A22F0" w:rsidR="008C505D" w:rsidRDefault="00A069A7">
      <w:pPr>
        <w:spacing w:before="30" w:after="30"/>
        <w:ind w:left="900"/>
      </w:pPr>
      <m:oMath>
        <m:r>
          <w:rPr>
            <w:rFonts w:ascii="Cambria Math" w:eastAsia="Cambria Math" w:hAnsi="Cambria Math" w:cs="Cambria Math"/>
            <w:color w:val="0F2640"/>
          </w:rPr>
          <m:t xml:space="preserve">M </m:t>
        </m:r>
      </m:oMath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число категорий участников (фермеры, компании-экспортёры, банки, госорганы, международные партнёры и др.)</w:t>
      </w:r>
    </w:p>
    <w:p w14:paraId="7973597A" w14:textId="08A9C8CF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число участников категории i</w:t>
      </w:r>
    </w:p>
    <w:p w14:paraId="593C9D39" w14:textId="6D1FE7AE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β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ij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 xml:space="preserve">ценность одной связи между участником категории </w:t>
      </w:r>
      <m:oMath>
        <m:r>
          <w:rPr>
            <w:rFonts w:ascii="Cambria Math" w:hAnsi="Cambria Math"/>
            <w:color w:val="333333"/>
            <w:sz w:val="22"/>
            <w:szCs w:val="22"/>
          </w:rPr>
          <m:t>i</m:t>
        </m:r>
      </m:oMath>
      <w:r w:rsidR="00000000">
        <w:rPr>
          <w:color w:val="333333"/>
          <w:sz w:val="22"/>
          <w:szCs w:val="22"/>
        </w:rPr>
        <w:t xml:space="preserve"> и участником категории </w:t>
      </w:r>
      <m:oMath>
        <m:r>
          <w:rPr>
            <w:rFonts w:ascii="Cambria Math" w:hAnsi="Cambria Math"/>
            <w:color w:val="333333"/>
            <w:sz w:val="22"/>
            <w:szCs w:val="22"/>
          </w:rPr>
          <m:t>j</m:t>
        </m:r>
      </m:oMath>
      <w:r w:rsidR="00000000">
        <w:rPr>
          <w:color w:val="333333"/>
          <w:sz w:val="22"/>
          <w:szCs w:val="22"/>
        </w:rPr>
        <w:t>, млрд USD</w:t>
      </w:r>
    </w:p>
    <w:p w14:paraId="05686FF3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129B6165" w14:textId="77777777" w:rsidR="008C505D" w:rsidRDefault="00000000">
      <w:pPr>
        <w:pStyle w:val="2"/>
      </w:pPr>
      <w:r>
        <w:t>Блок 3. Снижение транзакционных издержек</w:t>
      </w:r>
    </w:p>
    <w:p w14:paraId="6DF4284B" w14:textId="77777777" w:rsidR="008C505D" w:rsidRDefault="00000000">
      <w:pPr>
        <w:spacing w:before="80" w:after="80" w:line="280" w:lineRule="auto"/>
        <w:jc w:val="both"/>
      </w:pPr>
      <w:r>
        <w:t xml:space="preserve">Стратегическая цель Кластера IV — снижение транзакционных издержек в экономике на 2–3 </w:t>
      </w:r>
      <w:proofErr w:type="spellStart"/>
      <w:r>
        <w:t>п.п</w:t>
      </w:r>
      <w:proofErr w:type="spellEnd"/>
      <w:r>
        <w:t>. ВВП. Это достигается через автоматизацию контрактов, цифровизацию таможенных и логистических процедур, сокращение информационной асимметрии. Формализуем эффект снижения издержек:</w:t>
      </w:r>
    </w:p>
    <w:p w14:paraId="4ABAC5D3" w14:textId="2981960A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r>
          <w:rPr>
            <w:rFonts w:ascii="Cambria Math" w:eastAsia="Cambria Math" w:hAnsi="Cambria Math" w:cs="Cambria Math"/>
            <w:color w:val="0F2640"/>
          </w:rPr>
          <m:t>TC</m:t>
        </m:r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color w:val="0F2640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α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TC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0</m:t>
            </m:r>
          </m:sub>
        </m:sSub>
      </m:oMath>
      <w:r w:rsidR="00000000">
        <w:t xml:space="preserve">   </w:t>
      </w:r>
      <w:r w:rsidR="00000000">
        <w:rPr>
          <w:i/>
          <w:iCs/>
          <w:color w:val="7A6C55"/>
          <w:sz w:val="20"/>
          <w:szCs w:val="20"/>
        </w:rPr>
        <w:t>(Ф.4.7)</w:t>
      </w:r>
    </w:p>
    <w:p w14:paraId="7A43FDCD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Абсолютный объём снижения транзакционных издержек в зависимости от степени реализации платформы.</w:t>
      </w:r>
    </w:p>
    <w:p w14:paraId="1D6C8C9F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685B8002" w14:textId="2E85245B" w:rsidR="008C505D" w:rsidRDefault="00A069A7">
      <w:pPr>
        <w:spacing w:before="30" w:after="30"/>
        <w:ind w:left="900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w:lastRenderedPageBreak/>
          <m:t>Δ</m:t>
        </m:r>
        <m:r>
          <w:rPr>
            <w:rFonts w:ascii="Cambria Math" w:eastAsia="Cambria Math" w:hAnsi="Cambria Math" w:cs="Cambria Math"/>
            <w:color w:val="0F2640"/>
          </w:rPr>
          <m:t>TC</m:t>
        </m:r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снижение транзакционных издержек, млрд USD</w:t>
      </w:r>
    </w:p>
    <w:p w14:paraId="194ABB2C" w14:textId="435F059B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α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TC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 xml:space="preserve">коэффициент снижения транзакционных издержек как доля ВВП; в соответствии с целевым показателем </w:t>
      </w:r>
      <m:oMath>
        <m:sSub>
          <m:sSubPr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/>
                <w:color w:val="333333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color w:val="333333"/>
            <w:sz w:val="22"/>
            <w:szCs w:val="22"/>
          </w:rPr>
          <m:t>C∈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0,02;0,03</m:t>
            </m:r>
          </m:e>
        </m:d>
      </m:oMath>
    </w:p>
    <w:p w14:paraId="62FB56C8" w14:textId="6263F868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0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 xml:space="preserve">базовый ВВП прибрежной зоны в постоянных ценах, млрд USD; </w:t>
      </w:r>
      <m:oMath>
        <m:sSup>
          <m:sSupPr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color w:val="333333"/>
                <w:sz w:val="22"/>
                <w:szCs w:val="22"/>
              </w:rPr>
              <m:t>0</m:t>
            </m:r>
          </m:sup>
        </m:sSup>
        <m:r>
          <w:rPr>
            <w:rFonts w:ascii="Cambria Math" w:hAnsi="Cambria Math"/>
            <w:color w:val="333333"/>
            <w:sz w:val="22"/>
            <w:szCs w:val="22"/>
          </w:rPr>
          <m:t>≈95,5</m:t>
        </m:r>
      </m:oMath>
      <w:r w:rsidR="00000000">
        <w:rPr>
          <w:color w:val="333333"/>
          <w:sz w:val="22"/>
          <w:szCs w:val="22"/>
        </w:rPr>
        <w:t xml:space="preserve"> млрд USD (2024 г.)</w:t>
      </w:r>
    </w:p>
    <w:p w14:paraId="5F3D21A7" w14:textId="127058BA" w:rsidR="008C505D" w:rsidRDefault="00000000">
      <w:pPr>
        <w:spacing w:before="80" w:after="80" w:line="280" w:lineRule="auto"/>
        <w:jc w:val="both"/>
      </w:pPr>
      <w:r>
        <w:t xml:space="preserve">При целевом значении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C=0,025</m:t>
        </m:r>
      </m:oMath>
      <w:r>
        <w:t xml:space="preserve"> и базовом ВВП Y₀ = 95,5 млрд USD:</w:t>
      </w:r>
    </w:p>
    <w:p w14:paraId="4740EC31" w14:textId="6F7CCF29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r>
          <w:rPr>
            <w:rFonts w:ascii="Cambria Math" w:eastAsia="Cambria Math" w:hAnsi="Cambria Math" w:cs="Cambria Math"/>
            <w:color w:val="0F2640"/>
          </w:rPr>
          <m:t>T</m:t>
        </m:r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F2640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p>
        <m:r>
          <w:rPr>
            <w:rFonts w:ascii="Cambria Math" w:eastAsia="Cambria Math" w:hAnsi="Cambria Math" w:cs="Cambria Math"/>
            <w:color w:val="0F2640"/>
            <w:lang w:val="en-GB"/>
          </w:rPr>
          <m:t>=0,025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×</m:t>
        </m:r>
        <m:r>
          <w:rPr>
            <w:rFonts w:ascii="Cambria Math" w:eastAsia="Cambria Math" w:hAnsi="Cambria Math" w:cs="Cambria Math"/>
            <w:color w:val="0F2640"/>
            <w:lang w:val="en-GB"/>
          </w:rPr>
          <m:t>95,5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≈</m:t>
        </m:r>
        <m:r>
          <w:rPr>
            <w:rFonts w:ascii="Cambria Math" w:eastAsia="Cambria Math" w:hAnsi="Cambria Math" w:cs="Cambria Math"/>
            <w:color w:val="0F2640"/>
            <w:lang w:val="en-GB"/>
          </w:rPr>
          <m:t>2,39 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млрд</m:t>
        </m:r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 xml:space="preserve"> USD</m:t>
        </m:r>
      </m:oMath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.4.8)</w:t>
      </w:r>
    </w:p>
    <w:p w14:paraId="20B1FC8E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Ожидаемый годовой эффект снижения транзакционных издержек при полной реализации платформы.</w:t>
      </w:r>
    </w:p>
    <w:p w14:paraId="67328483" w14:textId="77777777" w:rsidR="008C505D" w:rsidRDefault="00000000">
      <w:pPr>
        <w:pStyle w:val="3"/>
      </w:pPr>
      <w:r>
        <w:t>Косвенный мультипликативный эффект на другие кластеры</w:t>
      </w:r>
    </w:p>
    <w:p w14:paraId="181286E2" w14:textId="49A96A94" w:rsidR="008C505D" w:rsidRDefault="00000000">
      <w:pPr>
        <w:spacing w:before="80" w:after="80" w:line="280" w:lineRule="auto"/>
        <w:jc w:val="both"/>
      </w:pPr>
      <w:r>
        <w:t xml:space="preserve">Снижение транзакционных издержек в кластере </w:t>
      </w:r>
      <m:oMath>
        <m:r>
          <w:rPr>
            <w:rFonts w:ascii="Cambria Math" w:hAnsi="Cambria Math"/>
          </w:rPr>
          <m:t>k∈1,2,3,5,6,7,8</m:t>
        </m:r>
      </m:oMath>
      <w:r>
        <w:t xml:space="preserve"> вследствие работы платформы увеличивает эффективный мультипликатор этого кластера:</w:t>
      </w:r>
    </w:p>
    <w:p w14:paraId="19CD5828" w14:textId="6EA6B5D2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 </m:t>
            </m:r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eff</m:t>
            </m:r>
          </m:sup>
        </m:sSubSup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 0</m:t>
            </m:r>
          </m:sup>
        </m:sSubSup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⋅</m:t>
        </m:r>
        <m:d>
          <m:dPr>
            <m:ctrlPr>
              <w:rPr>
                <w:rFonts w:ascii="Cambria Math" w:eastAsia="Cambria Math" w:hAnsi="Cambria Math" w:cs="Cambria Math"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1+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δ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⋅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x</m:t>
                </m:r>
                <m:ctrlPr>
                  <w:rPr>
                    <w:rFonts w:ascii="Cambria Math" w:eastAsia="Cambria Math" w:hAnsi="Cambria Math" w:cs="Cambria Math"/>
                    <w:color w:val="0F2640"/>
                  </w:rPr>
                </m:ctrlP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4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e>
        </m:d>
      </m:oMath>
      <w:r w:rsidR="00000000" w:rsidRPr="00A069A7">
        <w:rPr>
          <w:lang w:val="en-GB"/>
        </w:rPr>
        <w:t xml:space="preserve">   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.4.9)</w:t>
      </w:r>
    </w:p>
    <w:p w14:paraId="75BBB804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Мультипликатор кластера j с учётом цифрового ускорения. Совокупный прирост эффекта: +38 % при x₄ = 1.</w:t>
      </w:r>
    </w:p>
    <w:p w14:paraId="3D8F6837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419DDC13" w14:textId="0FC0EF80" w:rsidR="008C505D" w:rsidRDefault="00A069A7">
      <w:pPr>
        <w:spacing w:before="30" w:after="30"/>
        <w:ind w:left="900"/>
      </w:pPr>
      <m:oMath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 </m:t>
            </m:r>
            <m:r>
              <w:rPr>
                <w:rFonts w:ascii="Cambria Math" w:eastAsia="Cambria Math" w:hAnsi="Cambria Math" w:cs="Cambria Math"/>
                <w:color w:val="0F2640"/>
              </w:rPr>
              <m:t>0</m:t>
            </m:r>
          </m:sup>
        </m:sSubSup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базовый инвестиционный мультипликатор кластера j без цифровой платформы</w:t>
      </w:r>
    </w:p>
    <w:p w14:paraId="6010936D" w14:textId="6FC4EE4D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 xml:space="preserve">параметр цифрового усиления для кластера j; оценивается в диапазоне 0,10–0,50 в зависимости от </w:t>
      </w:r>
      <w:proofErr w:type="spellStart"/>
      <w:r w:rsidR="00000000">
        <w:rPr>
          <w:color w:val="333333"/>
          <w:sz w:val="22"/>
          <w:szCs w:val="22"/>
        </w:rPr>
        <w:t>цифроёмкости</w:t>
      </w:r>
      <w:proofErr w:type="spellEnd"/>
      <w:r w:rsidR="00000000">
        <w:rPr>
          <w:color w:val="333333"/>
          <w:sz w:val="22"/>
          <w:szCs w:val="22"/>
        </w:rPr>
        <w:t xml:space="preserve"> кластера</w:t>
      </w:r>
    </w:p>
    <w:p w14:paraId="76F4A438" w14:textId="710A4211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текущий уровень реализации цифровой платформы</w:t>
      </w:r>
    </w:p>
    <w:p w14:paraId="224D0091" w14:textId="77777777" w:rsidR="008C505D" w:rsidRDefault="00000000">
      <w:pPr>
        <w:spacing w:before="80" w:after="80" w:line="280" w:lineRule="auto"/>
        <w:jc w:val="both"/>
      </w:pPr>
      <w:r>
        <w:t>Суммарный косвенный прирост ВДС от цифрового усиления всех зависимых кластеров:</w:t>
      </w:r>
    </w:p>
    <w:p w14:paraId="7F1B76D7" w14:textId="2E1ED1DE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 </m:t>
            </m:r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ind</m:t>
            </m:r>
          </m:sup>
        </m:sSubSup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nary>
          <m:naryPr>
            <m:chr m:val="∑"/>
            <m:supHide m:val="1"/>
            <m:ctrlPr>
              <w:rPr>
                <w:rFonts w:ascii="Cambria Math" w:eastAsia="Cambria Math" w:hAnsi="Cambria Math" w:cs="Cambria Math"/>
                <w:color w:val="0F2640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≠</m:t>
            </m:r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b>
          <m:sup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p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j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e>
        </m:nary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</m:oMath>
      <w:r w:rsidR="00000000" w:rsidRPr="00A069A7">
        <w:rPr>
          <w:lang w:val="en-GB"/>
        </w:rPr>
        <w:t xml:space="preserve">   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.4.10)</w:t>
      </w:r>
    </w:p>
    <w:p w14:paraId="5BAB10D6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Косвенный вклад цифровой платформы в совокупный прирост ВДС через повышение эффективности кластеров-получателей.</w:t>
      </w:r>
    </w:p>
    <w:p w14:paraId="4CB1CFF6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5C83F19F" w14:textId="77777777" w:rsidR="008C505D" w:rsidRDefault="00000000">
      <w:pPr>
        <w:pStyle w:val="2"/>
      </w:pPr>
      <w:r>
        <w:t>Блок 4. Инвестиционный мультипликатор и ROI кластера</w:t>
      </w:r>
    </w:p>
    <w:p w14:paraId="4CD9581F" w14:textId="314BD6D2" w:rsidR="008C505D" w:rsidRDefault="00000000">
      <w:pPr>
        <w:spacing w:before="80" w:after="80" w:line="280" w:lineRule="auto"/>
        <w:jc w:val="both"/>
      </w:pPr>
      <w:r>
        <w:t xml:space="preserve">Мультипликатор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— общеэкономический мультипликатор Кейнса, отражающий суммарный прирост ВДС в экономике на 1 USD инвестиций в Кластер IV. Он не равен отношению </w:t>
      </w:r>
      <m:oMath>
        <m:r>
          <w:rPr>
            <w:rFonts w:ascii="Cambria Math" w:hAnsi="Cambria Math"/>
          </w:rPr>
          <m:t xml:space="preserve">ΔVA 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 xml:space="preserve"> CAPEX</m:t>
        </m:r>
      </m:oMath>
      <w:r>
        <w:t>:</w:t>
      </w:r>
    </w:p>
    <w:p w14:paraId="491684AA" w14:textId="7F66506F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sSubSup>
              <m:sSubSup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F2640"/>
                  </w:rPr>
                  <m:t> 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color w:val="0F2640"/>
                  </w:rPr>
                  <m:t>total</m:t>
                </m:r>
              </m:sup>
            </m:sSubSup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</m:oMath>
      <w:r w:rsidR="00000000">
        <w:t xml:space="preserve">   </w:t>
      </w:r>
      <w:r w:rsidR="00000000">
        <w:rPr>
          <w:i/>
          <w:iCs/>
          <w:color w:val="7A6C55"/>
          <w:sz w:val="20"/>
          <w:szCs w:val="20"/>
        </w:rPr>
        <w:t>(Ф.4.11)</w:t>
      </w:r>
    </w:p>
    <w:p w14:paraId="7FEC3AB5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Определение инвестиционного мультипликатора Кластера IV.</w:t>
      </w:r>
    </w:p>
    <w:p w14:paraId="24952080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080C93F6" w14:textId="750237D1" w:rsidR="008C505D" w:rsidRDefault="00A069A7">
      <w:pPr>
        <w:spacing w:before="30" w:after="30"/>
        <w:ind w:left="900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 </m:t>
            </m:r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total</m:t>
            </m:r>
          </m:sup>
        </m:sSubSup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совокупный прирост ВДС от Кластера IV, включая прямой (Ф.4.2) и косвенный (Ф.4.10) эффекты</w:t>
      </w:r>
    </w:p>
    <w:p w14:paraId="65950674" w14:textId="268EAA94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 xml:space="preserve">совокупные инвестиции (CAPEX) в Кластер IV, млрд USD; </w:t>
      </w:r>
      <m:oMath>
        <m:sSup>
          <m:sSupPr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I</m:t>
            </m:r>
          </m:e>
          <m:sup>
            <m:r>
              <w:rPr>
                <w:rFonts w:ascii="Cambria Math" w:hAnsi="Cambria Math"/>
                <w:color w:val="333333"/>
                <w:sz w:val="22"/>
                <w:szCs w:val="22"/>
              </w:rPr>
              <m:t>4</m:t>
            </m:r>
          </m:sup>
        </m:sSup>
        <m:r>
          <w:rPr>
            <w:rFonts w:ascii="Cambria Math" w:hAnsi="Cambria Math"/>
            <w:color w:val="333333"/>
            <w:sz w:val="22"/>
            <w:szCs w:val="22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0,35;0,45</m:t>
            </m:r>
          </m:e>
        </m:d>
      </m:oMath>
      <w:r w:rsidR="00000000">
        <w:rPr>
          <w:color w:val="333333"/>
          <w:sz w:val="22"/>
          <w:szCs w:val="22"/>
        </w:rPr>
        <w:t xml:space="preserve"> млрд USD</w:t>
      </w:r>
    </w:p>
    <w:p w14:paraId="212571ED" w14:textId="7B9F9BCD" w:rsidR="008C505D" w:rsidRDefault="00000000">
      <w:pPr>
        <w:spacing w:before="80" w:after="80" w:line="280" w:lineRule="auto"/>
        <w:jc w:val="both"/>
      </w:pPr>
      <w:r>
        <w:t xml:space="preserve">При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otal</m:t>
            </m:r>
          </m:sup>
        </m:sSup>
        <m:r>
          <w:rPr>
            <w:rFonts w:ascii="Cambria Math" w:hAnsi="Cambria Math"/>
          </w:rPr>
          <m:t>≈2,50</m:t>
        </m:r>
      </m:oMath>
      <w:r>
        <w:t xml:space="preserve"> млрд USD и I₄ ≈ 1,25 млрд USD (расширенная оценка с учётом OPEX периода становления):</w:t>
      </w:r>
    </w:p>
    <w:p w14:paraId="34904626" w14:textId="2C45C7E7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≈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F2640"/>
              </w:rPr>
              <m:t>2,50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r>
              <w:rPr>
                <w:rFonts w:ascii="Cambria Math" w:eastAsia="Cambria Math" w:hAnsi="Cambria Math" w:cs="Cambria Math"/>
                <w:color w:val="0F2640"/>
              </w:rPr>
              <m:t>1,25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w:rPr>
            <w:rFonts w:ascii="Cambria Math" w:eastAsia="Cambria Math" w:hAnsi="Cambria Math" w:cs="Cambria Math"/>
            <w:color w:val="0F2640"/>
          </w:rPr>
          <m:t>=2,00</m:t>
        </m:r>
      </m:oMath>
      <w:r w:rsidR="00000000">
        <w:t xml:space="preserve">   </w:t>
      </w:r>
      <w:r w:rsidR="00000000">
        <w:rPr>
          <w:i/>
          <w:iCs/>
          <w:color w:val="7A6C55"/>
          <w:sz w:val="20"/>
          <w:szCs w:val="20"/>
        </w:rPr>
        <w:t>(Ф.4.12)</w:t>
      </w:r>
    </w:p>
    <w:p w14:paraId="1DDFEA5C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Числовая оценка мультипликатора. Наивысшее значение в портфеле — обусловлено сетевыми внешними эффектами.</w:t>
      </w:r>
    </w:p>
    <w:p w14:paraId="322E9AFF" w14:textId="77777777" w:rsidR="008C505D" w:rsidRDefault="00000000">
      <w:pPr>
        <w:pStyle w:val="3"/>
      </w:pPr>
      <w:r>
        <w:t>Рентабельность инвестиций (ROI) и срок окупаемости</w:t>
      </w:r>
    </w:p>
    <w:p w14:paraId="40FCFEBB" w14:textId="787585DC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>RO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I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sSubSup>
              <m:sSubSup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4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 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total</m:t>
                </m:r>
              </m:sup>
            </m:sSubSup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4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4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×</m:t>
        </m:r>
        <m:r>
          <w:rPr>
            <w:rFonts w:ascii="Cambria Math" w:eastAsia="Cambria Math" w:hAnsi="Cambria Math" w:cs="Cambria Math"/>
            <w:color w:val="0F2640"/>
            <w:lang w:val="en-GB"/>
          </w:rPr>
          <m:t>100\%</m:t>
        </m:r>
      </m:oMath>
      <w:r w:rsidR="00000000" w:rsidRPr="00A069A7">
        <w:rPr>
          <w:lang w:val="en-GB"/>
        </w:rPr>
        <w:t xml:space="preserve">   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.4.13)</w:t>
      </w:r>
    </w:p>
    <w:p w14:paraId="44C51A75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Простой ROI цифрового кластера без учёта временного горизонта.</w:t>
      </w:r>
    </w:p>
    <w:p w14:paraId="5894E221" w14:textId="76004720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>NP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V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nary>
          <m:naryPr>
            <m:chr m:val="∑"/>
            <m:ctrlPr>
              <w:rPr>
                <w:rFonts w:ascii="Cambria Math" w:eastAsia="Cambria Math" w:hAnsi="Cambria Math" w:cs="Cambria Math"/>
                <w:color w:val="0F2640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F2640"/>
              </w:rPr>
              <m:t>t</m:t>
            </m:r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=1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T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p>
          <m:e>
            <m:f>
              <m:fPr>
                <m:ctrlPr>
                  <w:rPr>
                    <w:rFonts w:ascii="Cambria Math" w:eastAsia="Cambria Math" w:hAnsi="Cambria Math" w:cs="Cambria Math"/>
                    <w:color w:val="0F264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Δ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lang w:val="en-GB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t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lang w:val="en-GB"/>
                          </w:rPr>
                          <m:t>1+</m:t>
                        </m:r>
                        <m:r>
                          <w:rPr>
                            <w:rFonts w:ascii="Cambria Math" w:eastAsia="Cambria Math" w:hAnsi="Cambria Math" w:cs="Cambria Math"/>
                            <w:color w:val="0F2640"/>
                          </w:rPr>
                          <m:t>r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t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den>
            </m:f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e>
        </m:nary>
        <m:r>
          <w:rPr>
            <w:rFonts w:ascii="Cambria Math" w:eastAsia="Cambria Math" w:hAnsi="Cambria Math" w:cs="Cambria Math"/>
            <w:color w:val="0F2640"/>
            <w:lang w:val="en-GB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</m:oMath>
      <w:r w:rsidR="00000000" w:rsidRPr="00A069A7">
        <w:rPr>
          <w:lang w:val="en-GB"/>
        </w:rPr>
        <w:t xml:space="preserve">   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.4.14)</w:t>
      </w:r>
    </w:p>
    <w:p w14:paraId="62B3EDD8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Чистая приведённая стоимость инвестиций в Кластер IV.</w:t>
      </w:r>
    </w:p>
    <w:p w14:paraId="2BB859DA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5A5BC6A0" w14:textId="1BD4FB81" w:rsidR="008C505D" w:rsidRDefault="00A069A7">
      <w:pPr>
        <w:spacing w:before="30" w:after="30"/>
        <w:ind w:left="900"/>
      </w:pPr>
      <m:oMath>
        <m:r>
          <w:rPr>
            <w:rFonts w:ascii="Cambria Math" w:eastAsia="Cambria Math" w:hAnsi="Cambria Math" w:cs="Cambria Math"/>
            <w:color w:val="0F2640"/>
          </w:rPr>
          <m:t>t</m:t>
        </m:r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год реализации, t = 1, 2, …, T; горизонт T = 11 лет (2025–2035)</w:t>
      </w:r>
    </w:p>
    <w:p w14:paraId="0DDFDE71" w14:textId="313C8A2A" w:rsidR="008C505D" w:rsidRDefault="00A069A7">
      <w:pPr>
        <w:spacing w:before="30" w:after="30"/>
        <w:ind w:left="900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</w:rPr>
              <m:t>t</m:t>
            </m:r>
          </m:e>
        </m:d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прирост ВДС от Кластера IV в году t (нарастающим итогом)</w:t>
      </w:r>
    </w:p>
    <w:p w14:paraId="60654142" w14:textId="131C2659" w:rsidR="008C505D" w:rsidRDefault="00A069A7">
      <w:pPr>
        <w:spacing w:before="30" w:after="30"/>
        <w:ind w:left="900"/>
      </w:pPr>
      <m:oMath>
        <m:r>
          <w:rPr>
            <w:rFonts w:ascii="Cambria Math" w:eastAsia="Cambria Math" w:hAnsi="Cambria Math" w:cs="Cambria Math"/>
            <w:color w:val="0F2640"/>
          </w:rPr>
          <m:t xml:space="preserve">r </m:t>
        </m:r>
      </m:oMath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ставка дисконтирования; для страны с развивающейся экономикой r ∈ [0,10; 0,14]</w:t>
      </w:r>
    </w:p>
    <w:p w14:paraId="27856143" w14:textId="59EF1198" w:rsidR="008C505D" w:rsidRDefault="00A069A7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суммарные капитальные вложения в Кластер IV</w:t>
      </w:r>
    </w:p>
    <w:p w14:paraId="42F10A7A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342BBA92" w14:textId="77777777" w:rsidR="008C505D" w:rsidRDefault="00000000">
      <w:pPr>
        <w:pStyle w:val="2"/>
      </w:pPr>
      <w:r>
        <w:t>Блок 5. Ресурсные и кадровые ограничения</w:t>
      </w:r>
    </w:p>
    <w:p w14:paraId="0CA13B20" w14:textId="77777777" w:rsidR="008C505D" w:rsidRDefault="00000000">
      <w:pPr>
        <w:spacing w:before="80" w:after="80" w:line="280" w:lineRule="auto"/>
        <w:jc w:val="both"/>
      </w:pPr>
      <w:r>
        <w:t>Ресурсные ограничения Кластера IV задают верхние границы освоения инвестиций и использования ресурсов. Для каждого ресурса введено соотношение:</w:t>
      </w:r>
    </w:p>
    <w:p w14:paraId="2065E410" w14:textId="685C1C00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</m:oMath>
      <w:r w:rsidR="00000000">
        <w:rPr>
          <w:i/>
          <w:iCs/>
          <w:color w:val="7A6C55"/>
          <w:sz w:val="20"/>
          <w:szCs w:val="20"/>
        </w:rPr>
        <w:t>(Ф.4.15)</w:t>
      </w:r>
    </w:p>
    <w:p w14:paraId="7FEAFE71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Ограничение по объёму капитальных вложений.</w:t>
      </w:r>
    </w:p>
    <w:p w14:paraId="753043F0" w14:textId="3CEEF94A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E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n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E</m:t>
        </m:r>
        <m:sSubSup>
          <m:sSubSupPr>
            <m:ctrlPr>
              <w:rPr>
                <w:rFonts w:ascii="Cambria Math" w:eastAsia="Cambria Math" w:hAnsi="Cambria Math" w:cs="Cambria Math"/>
                <w:color w:val="0F2640"/>
              </w:rPr>
            </m:ctrlPr>
          </m:sSubSup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n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</m:oMath>
      <w:r w:rsidR="00000000">
        <w:rPr>
          <w:i/>
          <w:iCs/>
          <w:color w:val="7A6C55"/>
          <w:sz w:val="20"/>
          <w:szCs w:val="20"/>
        </w:rPr>
        <w:t>(Ф.4.16)</w:t>
      </w:r>
    </w:p>
    <w:p w14:paraId="57AB3703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Ограничение по потреблению электроэнергии: дата-центры и сетевая инфраструктура предъявляют значительный спрос на стабильное электроснабжение.</w:t>
      </w:r>
    </w:p>
    <w:p w14:paraId="5E6A4C6C" w14:textId="5F3299A0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H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R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H</m:t>
        </m:r>
        <m:sSubSup>
          <m:sSubSupPr>
            <m:ctrlPr>
              <w:rPr>
                <w:rFonts w:ascii="Cambria Math" w:eastAsia="Cambria Math" w:hAnsi="Cambria Math" w:cs="Cambria Math"/>
                <w:color w:val="0F2640"/>
              </w:rPr>
            </m:ctrlPr>
          </m:sSubSup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R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</m:oMath>
      <w:r w:rsidR="00000000">
        <w:rPr>
          <w:i/>
          <w:iCs/>
          <w:color w:val="7A6C55"/>
          <w:sz w:val="20"/>
          <w:szCs w:val="20"/>
        </w:rPr>
        <w:t>(Ф.4.17)</w:t>
      </w:r>
    </w:p>
    <w:p w14:paraId="2F02BF60" w14:textId="6D7317FE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 xml:space="preserve">Ограничение по человеческому капиталу (кадровый потолок). </w:t>
      </w:r>
      <m:oMath>
        <m:r>
          <w:rPr>
            <w:rFonts w:ascii="Cambria Math" w:hAnsi="Cambria Math"/>
            <w:color w:val="555555"/>
            <w:sz w:val="20"/>
            <w:szCs w:val="20"/>
          </w:rPr>
          <m:t>H</m:t>
        </m:r>
        <m:sSup>
          <m:sSupPr>
            <m:ctrlPr>
              <w:rPr>
                <w:rFonts w:ascii="Cambria Math" w:hAnsi="Cambria Math"/>
                <w:i/>
                <w:iCs/>
                <w:color w:val="555555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555555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color w:val="555555"/>
                <w:sz w:val="20"/>
                <w:szCs w:val="20"/>
              </w:rPr>
              <m:t>4</m:t>
            </m:r>
            <m:r>
              <w:rPr>
                <w:rFonts w:ascii="Cambria Math" w:hAnsi="Cambria Math"/>
                <w:color w:val="555555"/>
                <w:sz w:val="20"/>
                <w:szCs w:val="20"/>
              </w:rPr>
              <m:t>m</m:t>
            </m:r>
          </m:sup>
        </m:sSup>
        <m:r>
          <w:rPr>
            <w:rFonts w:ascii="Cambria Math" w:hAnsi="Cambria Math"/>
            <w:color w:val="555555"/>
            <w:sz w:val="20"/>
            <w:szCs w:val="20"/>
          </w:rPr>
          <m:t>ax</m:t>
        </m:r>
      </m:oMath>
      <w:r>
        <w:rPr>
          <w:i/>
          <w:iCs/>
          <w:color w:val="555555"/>
          <w:sz w:val="20"/>
          <w:szCs w:val="20"/>
        </w:rPr>
        <w:t xml:space="preserve"> = 15 000–20 000 высококвалифицированных ИКТ-специалистов.</w:t>
      </w:r>
    </w:p>
    <w:p w14:paraId="17748E2F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6D7F5F6A" w14:textId="15E6B91A" w:rsidR="008C505D" w:rsidRDefault="00A069A7">
      <w:pPr>
        <w:spacing w:before="30" w:after="30"/>
        <w:ind w:left="900"/>
      </w:pPr>
      <m:oMath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</m:oMath>
      <w:r w:rsidR="00000000">
        <w:rPr>
          <w:color w:val="555555"/>
        </w:rPr>
        <w:t xml:space="preserve"> </w:t>
      </w:r>
      <w:r w:rsidR="00000000">
        <w:rPr>
          <w:color w:val="333333"/>
          <w:sz w:val="22"/>
          <w:szCs w:val="22"/>
        </w:rPr>
        <w:t xml:space="preserve">предельный объём CAPEX, который может быть освоен за период реализации; </w:t>
      </w:r>
      <m:oMath>
        <m:sSup>
          <m:sSupPr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I</m:t>
            </m:r>
          </m:e>
          <m:sup>
            <m:r>
              <w:rPr>
                <w:rFonts w:ascii="Cambria Math" w:hAnsi="Cambria Math"/>
                <w:color w:val="333333"/>
                <w:sz w:val="22"/>
                <w:szCs w:val="22"/>
              </w:rPr>
              <m:t>4</m:t>
            </m:r>
            <m:r>
              <w:rPr>
                <w:rFonts w:ascii="Cambria Math" w:hAnsi="Cambria Math"/>
                <w:color w:val="333333"/>
                <w:sz w:val="22"/>
                <w:szCs w:val="22"/>
              </w:rPr>
              <m:t>m</m:t>
            </m:r>
          </m:sup>
        </m:sSup>
        <m:r>
          <w:rPr>
            <w:rFonts w:ascii="Cambria Math" w:hAnsi="Cambria Math"/>
            <w:color w:val="333333"/>
            <w:sz w:val="22"/>
            <w:szCs w:val="22"/>
          </w:rPr>
          <m:t>ax≈0,45</m:t>
        </m:r>
      </m:oMath>
      <w:r w:rsidR="00000000">
        <w:rPr>
          <w:color w:val="333333"/>
          <w:sz w:val="22"/>
          <w:szCs w:val="22"/>
        </w:rPr>
        <w:t xml:space="preserve"> млрд USD</w:t>
      </w:r>
    </w:p>
    <w:p w14:paraId="4A7C4424" w14:textId="72704B09" w:rsidR="008C505D" w:rsidRDefault="00A069A7">
      <w:pPr>
        <w:spacing w:before="30" w:after="30"/>
        <w:ind w:left="900"/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E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n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 xml:space="preserve">потребность в электроэнергии при полной реализации Кластера IV (ЦОД + сети), </w:t>
      </w:r>
      <w:proofErr w:type="spellStart"/>
      <w:r w:rsidR="00000000">
        <w:rPr>
          <w:color w:val="333333"/>
          <w:sz w:val="22"/>
          <w:szCs w:val="22"/>
        </w:rPr>
        <w:t>МВт·ч</w:t>
      </w:r>
      <w:proofErr w:type="spellEnd"/>
      <w:r w:rsidR="00000000">
        <w:rPr>
          <w:color w:val="333333"/>
          <w:sz w:val="22"/>
          <w:szCs w:val="22"/>
        </w:rPr>
        <w:t>/год</w:t>
      </w:r>
    </w:p>
    <w:p w14:paraId="1C4F02CE" w14:textId="799C800B" w:rsidR="008C505D" w:rsidRDefault="00A069A7">
      <w:pPr>
        <w:spacing w:before="30" w:after="30"/>
        <w:ind w:left="900"/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E</m:t>
        </m:r>
        <m:sSubSup>
          <m:sSubSupPr>
            <m:ctrlPr>
              <w:rPr>
                <w:rFonts w:ascii="Cambria Math" w:eastAsia="Cambria Math" w:hAnsi="Cambria Math" w:cs="Cambria Math"/>
                <w:color w:val="0F2640"/>
              </w:rPr>
            </m:ctrlPr>
          </m:sSubSup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n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</m:oMath>
      <w:r w:rsidR="00000000">
        <w:rPr>
          <w:color w:val="555555"/>
        </w:rPr>
        <w:t xml:space="preserve"> </w:t>
      </w:r>
      <w:r w:rsidR="00000000">
        <w:rPr>
          <w:color w:val="333333"/>
          <w:sz w:val="22"/>
          <w:szCs w:val="22"/>
        </w:rPr>
        <w:t>доступный лимит мощности для ЦОД, определяемый развитием Кластера VI (Энергетика)</w:t>
      </w:r>
    </w:p>
    <w:p w14:paraId="1E2B57A1" w14:textId="7D89D713" w:rsidR="008C505D" w:rsidRDefault="00A069A7">
      <w:pPr>
        <w:spacing w:before="30" w:after="30"/>
        <w:ind w:left="900"/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H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R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потребность в квалифицированных ИКТ-кадрах при полной реализации</w:t>
      </w:r>
    </w:p>
    <w:p w14:paraId="7FCD7734" w14:textId="56722E1E" w:rsidR="008C505D" w:rsidRDefault="00A069A7">
      <w:pPr>
        <w:spacing w:before="30" w:after="30"/>
        <w:ind w:left="900"/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H</m:t>
        </m:r>
        <m:sSubSup>
          <m:sSubSupPr>
            <m:ctrlPr>
              <w:rPr>
                <w:rFonts w:ascii="Cambria Math" w:eastAsia="Cambria Math" w:hAnsi="Cambria Math" w:cs="Cambria Math"/>
                <w:color w:val="0F2640"/>
              </w:rPr>
            </m:ctrlPr>
          </m:sSubSup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R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</m:oMath>
      <w:r w:rsidR="00000000">
        <w:rPr>
          <w:color w:val="555555"/>
        </w:rPr>
        <w:t xml:space="preserve"> </w:t>
      </w:r>
      <w:r w:rsidR="00000000">
        <w:rPr>
          <w:color w:val="333333"/>
          <w:sz w:val="22"/>
          <w:szCs w:val="22"/>
        </w:rPr>
        <w:t>максимально доступное предложение ИКТ-специалистов, определяемое выпуском Кластера V (Образование)</w:t>
      </w:r>
    </w:p>
    <w:p w14:paraId="0862FD2E" w14:textId="77777777" w:rsidR="008C505D" w:rsidRDefault="00000000">
      <w:pPr>
        <w:pStyle w:val="3"/>
      </w:pPr>
      <w:r>
        <w:t>Функция спроса на труд в Кластере IV</w:t>
      </w:r>
    </w:p>
    <w:p w14:paraId="589787C7" w14:textId="207912A3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>H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R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⋅</m:t>
        </m:r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>H</m:t>
        </m:r>
        <m:sSubSup>
          <m:sSubSupPr>
            <m:ctrlPr>
              <w:rPr>
                <w:rFonts w:ascii="Cambria Math" w:eastAsia="Cambria Math" w:hAnsi="Cambria Math" w:cs="Cambria Math"/>
                <w:color w:val="0F2640"/>
              </w:rPr>
            </m:ctrlPr>
          </m:sSubSup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R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  <m:sup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max</m:t>
            </m:r>
          </m:sup>
        </m:sSubSup>
      </m:oMath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.4.18)</w:t>
      </w:r>
    </w:p>
    <w:p w14:paraId="4840D4BA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Линейная зависимость спроса на ИКТ-кадры от степени реализации платформы.</w:t>
      </w:r>
    </w:p>
    <w:p w14:paraId="7A2DD1F0" w14:textId="63E048B3" w:rsidR="008C505D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w:lastRenderedPageBreak/>
          <m:t>Δ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color w:val="0F2640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L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  <m:r>
          <w:rPr>
            <w:rFonts w:ascii="Cambria Math" w:eastAsia="Cambria Math" w:hAnsi="Cambria Math" w:cs="Cambria Math"/>
            <w:color w:val="0F2640"/>
          </w:rPr>
          <m:t>,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 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L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≈</m:t>
        </m:r>
        <m:r>
          <w:rPr>
            <w:rFonts w:ascii="Cambria Math" w:eastAsia="Cambria Math" w:hAnsi="Cambria Math" w:cs="Cambria Math"/>
            <w:color w:val="0F2640"/>
          </w:rPr>
          <m:t>20</m:t>
        </m:r>
        <m:r>
          <w:rPr>
            <w:rFonts w:ascii="Cambria Math" w:eastAsia="Cambria Math" w:hAnsi="Cambria Math" w:cs="Cambria Math"/>
            <w:color w:val="0F2640"/>
          </w:rPr>
          <m:t> 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тыс. рабочих мест</m:t>
        </m:r>
      </m:oMath>
      <w:r w:rsidR="00000000">
        <w:rPr>
          <w:i/>
          <w:iCs/>
          <w:color w:val="7A6C55"/>
          <w:sz w:val="20"/>
          <w:szCs w:val="20"/>
        </w:rPr>
        <w:t>4.19)</w:t>
      </w:r>
    </w:p>
    <w:p w14:paraId="4ADBD361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Прирост занятости в Кластере IV, входящий в агрегированный показатель ΔL интегральной функции F(x).</w:t>
      </w:r>
    </w:p>
    <w:p w14:paraId="6E491F5B" w14:textId="77777777" w:rsidR="008C505D" w:rsidRDefault="00000000">
      <w:pPr>
        <w:pStyle w:val="3"/>
      </w:pPr>
      <w:r>
        <w:t>Операционные расходы (OPEX) и оборотный капитал</w:t>
      </w:r>
    </w:p>
    <w:p w14:paraId="0644CE36" w14:textId="55A2F9F3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>OPE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X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α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opex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  <w:lang w:val="en-GB"/>
          </w:rPr>
          <m:t>,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 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α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opex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∈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0,15; 0,20</m:t>
            </m:r>
          </m:e>
        </m:d>
      </m:oMath>
      <w:r w:rsidR="00000000" w:rsidRPr="00A069A7">
        <w:rPr>
          <w:lang w:val="en-GB"/>
        </w:rPr>
        <w:t xml:space="preserve">   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.4.20)</w:t>
      </w:r>
    </w:p>
    <w:p w14:paraId="18A7B3AE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Годовой OPEX как фиксированная доля от CAPEX. При I₄ = 0,45 млрд USD: OPEX₄ ≈ 67,5–90 млн USD/год.</w:t>
      </w:r>
    </w:p>
    <w:p w14:paraId="74A4C751" w14:textId="7AFEC268" w:rsidR="008C505D" w:rsidRPr="00A069A7" w:rsidRDefault="00A069A7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en-GB"/>
        </w:rPr>
      </w:pPr>
      <m:oMath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>W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C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  <w:lang w:val="en-GB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α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wc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⋅</m:t>
        </m:r>
        <m:r>
          <m:rPr>
            <m:nor/>
          </m:rPr>
          <w:rPr>
            <w:rFonts w:ascii="Cambria Math" w:eastAsia="Cambria Math" w:hAnsi="Cambria Math" w:cs="Cambria Math"/>
            <w:color w:val="0F2640"/>
            <w:lang w:val="en-GB"/>
          </w:rPr>
          <m:t>OPE</m:t>
        </m:r>
        <m:sSub>
          <m:sSubPr>
            <m:ctrlPr>
              <w:rPr>
                <w:rFonts w:ascii="Cambria Math" w:eastAsia="Cambria Math" w:hAnsi="Cambria Math" w:cs="Cambria Math"/>
                <w:color w:val="0F2640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X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  <w:lang w:val="en-GB"/>
          </w:rPr>
          <m:t>,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 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α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wc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en-GB"/>
          </w:rPr>
          <m:t>≈</m:t>
        </m:r>
        <m:r>
          <w:rPr>
            <w:rFonts w:ascii="Cambria Math" w:eastAsia="Cambria Math" w:hAnsi="Cambria Math" w:cs="Cambria Math"/>
            <w:color w:val="0F2640"/>
            <w:lang w:val="en-GB"/>
          </w:rPr>
          <m:t>0,10-0,12</m:t>
        </m:r>
      </m:oMath>
      <w:r w:rsidR="00000000" w:rsidRPr="00A069A7">
        <w:rPr>
          <w:lang w:val="en-GB"/>
        </w:rPr>
        <w:t xml:space="preserve">   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A069A7">
        <w:rPr>
          <w:i/>
          <w:iCs/>
          <w:color w:val="7A6C55"/>
          <w:sz w:val="20"/>
          <w:szCs w:val="20"/>
          <w:lang w:val="en-GB"/>
        </w:rPr>
        <w:t>.4.21)</w:t>
      </w:r>
    </w:p>
    <w:p w14:paraId="707F5599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Оборотный капитал кластера как доля от OPEX. Оценка: WC₄ ≈ 5–10 млн USD.</w:t>
      </w:r>
    </w:p>
    <w:p w14:paraId="6003D36E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0DD2FEC0" w14:textId="77777777" w:rsidR="008C505D" w:rsidRDefault="00000000">
      <w:pPr>
        <w:pStyle w:val="2"/>
      </w:pPr>
      <w:r>
        <w:t>Блок 6. Коэффициенты синергии Кластера IV с другими кластерами</w:t>
      </w:r>
    </w:p>
    <w:p w14:paraId="7283D2C7" w14:textId="77777777" w:rsidR="008C505D" w:rsidRDefault="00000000">
      <w:pPr>
        <w:spacing w:before="80" w:after="80" w:line="280" w:lineRule="auto"/>
        <w:jc w:val="both"/>
      </w:pPr>
      <w:r>
        <w:t xml:space="preserve">Цифровая платформа — единственный кластер с положительными синергетическими коэффициентами γ₄ⱼ ко </w:t>
      </w:r>
      <w:r>
        <w:rPr>
          <w:b/>
          <w:bCs/>
        </w:rPr>
        <w:t>всем</w:t>
      </w:r>
      <w:r>
        <w:t xml:space="preserve"> восьми остальным кластерам. В интегральной модели вклад синергии:</w:t>
      </w:r>
    </w:p>
    <w:p w14:paraId="463A23FD" w14:textId="7706E070" w:rsidR="008C505D" w:rsidRPr="00201DC1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fr-FR"/>
              </w:rPr>
              <m:t>syn</m:t>
            </m:r>
            <m:r>
              <w:rPr>
                <w:rFonts w:ascii="Cambria Math" w:eastAsia="Cambria Math" w:hAnsi="Cambria Math" w:cs="Cambria Math"/>
                <w:color w:val="0F2640"/>
              </w:rPr>
              <m:t>,4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=</m:t>
        </m:r>
        <m:nary>
          <m:naryPr>
            <m:chr m:val="∑"/>
            <m:supHide m:val="1"/>
            <m:ctrlPr>
              <w:rPr>
                <w:rFonts w:ascii="Cambria Math" w:eastAsia="Cambria Math" w:hAnsi="Cambria Math" w:cs="Cambria Math"/>
                <w:color w:val="0F2640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≠</m:t>
            </m:r>
            <m:r>
              <w:rPr>
                <w:rFonts w:ascii="Cambria Math" w:eastAsia="Cambria Math" w:hAnsi="Cambria Math" w:cs="Cambria Math"/>
                <w:color w:val="0F2640"/>
              </w:rPr>
              <m:t>4, </m:t>
            </m:r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∈</m:t>
            </m:r>
            <m:r>
              <w:rPr>
                <w:rFonts w:ascii="Cambria Math" w:eastAsia="Cambria Math" w:hAnsi="Cambria Math" w:cs="Cambria Math"/>
                <w:color w:val="0F2640"/>
              </w:rPr>
              <m:t>K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b>
          <m:sup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p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γ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color w:val="0F2640"/>
                  </w:rPr>
                  <m:t>j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e>
        </m:nary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</m:sub>
        </m:sSub>
      </m:oMath>
      <w:r w:rsidR="00000000" w:rsidRPr="00201DC1">
        <w:t xml:space="preserve">   </w:t>
      </w:r>
      <w:r w:rsidR="00000000" w:rsidRPr="00201DC1">
        <w:rPr>
          <w:i/>
          <w:iCs/>
          <w:color w:val="7A6C55"/>
          <w:sz w:val="20"/>
          <w:szCs w:val="20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201DC1">
        <w:rPr>
          <w:i/>
          <w:iCs/>
          <w:color w:val="7A6C55"/>
          <w:sz w:val="20"/>
          <w:szCs w:val="20"/>
        </w:rPr>
        <w:t>.4.22)</w:t>
      </w:r>
    </w:p>
    <w:p w14:paraId="3F8378F4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 xml:space="preserve">Синергетический вклад Кластера IV (суммирование по </w:t>
      </w:r>
      <w:proofErr w:type="gramStart"/>
      <w:r>
        <w:rPr>
          <w:i/>
          <w:iCs/>
          <w:color w:val="555555"/>
          <w:sz w:val="20"/>
          <w:szCs w:val="20"/>
        </w:rPr>
        <w:t>j &gt;</w:t>
      </w:r>
      <w:proofErr w:type="gramEnd"/>
      <w:r>
        <w:rPr>
          <w:i/>
          <w:iCs/>
          <w:color w:val="555555"/>
          <w:sz w:val="20"/>
          <w:szCs w:val="20"/>
        </w:rPr>
        <w:t xml:space="preserve"> 4 и j </w:t>
      </w:r>
      <w:proofErr w:type="gramStart"/>
      <w:r>
        <w:rPr>
          <w:i/>
          <w:iCs/>
          <w:color w:val="555555"/>
          <w:sz w:val="20"/>
          <w:szCs w:val="20"/>
        </w:rPr>
        <w:t>&lt; 4</w:t>
      </w:r>
      <w:proofErr w:type="gramEnd"/>
      <w:r>
        <w:rPr>
          <w:i/>
          <w:iCs/>
          <w:color w:val="555555"/>
          <w:sz w:val="20"/>
          <w:szCs w:val="20"/>
        </w:rPr>
        <w:t xml:space="preserve"> для исключения двойного счёта при симметричном γ₄ⱼ = γⱼ₄).</w:t>
      </w:r>
    </w:p>
    <w:p w14:paraId="31C3EC87" w14:textId="77777777" w:rsidR="008C505D" w:rsidRDefault="00000000">
      <w:pPr>
        <w:spacing w:before="80" w:after="80" w:line="280" w:lineRule="auto"/>
        <w:jc w:val="both"/>
      </w:pPr>
      <w:r>
        <w:t>Таблица оценочных значений γ₄ⱼ: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00"/>
      </w:tblGrid>
      <w:tr w:rsidR="008C505D" w14:paraId="1D235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F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C03F" w14:textId="77777777" w:rsidR="008C505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Кластер-получатель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F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1C7C" w14:textId="77777777" w:rsidR="008C505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γ₄ⱼ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F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9497" w14:textId="77777777" w:rsidR="008C505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Экономический механизм синергии</w:t>
            </w:r>
          </w:p>
        </w:tc>
      </w:tr>
      <w:tr w:rsidR="008C505D" w14:paraId="027679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0170" w14:textId="77777777" w:rsidR="008C505D" w:rsidRDefault="00000000">
            <w:r>
              <w:rPr>
                <w:sz w:val="20"/>
                <w:szCs w:val="20"/>
              </w:rPr>
              <w:t>Кластер I · Агропереработка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08BE" w14:textId="77777777" w:rsidR="008C505D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A3A5C"/>
                <w:sz w:val="20"/>
                <w:szCs w:val="20"/>
              </w:rPr>
              <w:t>γ₄₁ ≈ 0,22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3FF5" w14:textId="77777777" w:rsidR="008C505D" w:rsidRDefault="00000000">
            <w:proofErr w:type="spellStart"/>
            <w:r>
              <w:rPr>
                <w:color w:val="555555"/>
                <w:sz w:val="20"/>
                <w:szCs w:val="20"/>
              </w:rPr>
              <w:t>Трейсабилити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EUDR + электронные контракты → рост маржи переработки</w:t>
            </w:r>
          </w:p>
        </w:tc>
      </w:tr>
      <w:tr w:rsidR="008C505D" w14:paraId="4CB2F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0DF6" w14:textId="77777777" w:rsidR="008C505D" w:rsidRDefault="00000000">
            <w:r>
              <w:rPr>
                <w:sz w:val="20"/>
                <w:szCs w:val="20"/>
              </w:rPr>
              <w:t>Кластер II · Порт-Логистика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57B4" w14:textId="77777777" w:rsidR="008C505D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A3A5C"/>
                <w:sz w:val="20"/>
                <w:szCs w:val="20"/>
              </w:rPr>
              <w:t>γ₄₂ ≈ 0,19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9437" w14:textId="77777777" w:rsidR="008C505D" w:rsidRDefault="00000000">
            <w:r>
              <w:rPr>
                <w:color w:val="555555"/>
                <w:sz w:val="20"/>
                <w:szCs w:val="20"/>
              </w:rPr>
              <w:t xml:space="preserve">Single </w:t>
            </w:r>
            <w:proofErr w:type="spellStart"/>
            <w:r>
              <w:rPr>
                <w:color w:val="555555"/>
                <w:sz w:val="20"/>
                <w:szCs w:val="20"/>
              </w:rPr>
              <w:t>Window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AI-маршрутизация → −18–22% операционных издержек</w:t>
            </w:r>
          </w:p>
        </w:tc>
      </w:tr>
      <w:tr w:rsidR="008C505D" w14:paraId="7F53D6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1E96" w14:textId="77777777" w:rsidR="008C505D" w:rsidRDefault="00000000">
            <w:r>
              <w:rPr>
                <w:sz w:val="20"/>
                <w:szCs w:val="20"/>
              </w:rPr>
              <w:t>Кластер III · СЭЗ / Индустрия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0534" w14:textId="77777777" w:rsidR="008C505D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A3A5C"/>
                <w:sz w:val="20"/>
                <w:szCs w:val="20"/>
              </w:rPr>
              <w:t>γ₄₃ ≈ 0,20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9C3E" w14:textId="77777777" w:rsidR="008C505D" w:rsidRDefault="00000000">
            <w:r>
              <w:rPr>
                <w:color w:val="555555"/>
                <w:sz w:val="20"/>
                <w:szCs w:val="20"/>
              </w:rPr>
              <w:t>ESG-мониторинг + цепочки поставок → доступ к рынкам ЕС</w:t>
            </w:r>
          </w:p>
        </w:tc>
      </w:tr>
      <w:tr w:rsidR="008C505D" w14:paraId="2B5E0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A780" w14:textId="77777777" w:rsidR="008C505D" w:rsidRDefault="00000000">
            <w:r>
              <w:rPr>
                <w:sz w:val="20"/>
                <w:szCs w:val="20"/>
              </w:rPr>
              <w:t>Кластер V · Образование / R&amp;D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A88D" w14:textId="77777777" w:rsidR="008C505D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A3A5C"/>
                <w:sz w:val="20"/>
                <w:szCs w:val="20"/>
              </w:rPr>
              <w:t>γ₄₅ ≈ 0,15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F4E6" w14:textId="77777777" w:rsidR="008C505D" w:rsidRDefault="00000000">
            <w:r>
              <w:rPr>
                <w:color w:val="555555"/>
                <w:sz w:val="20"/>
                <w:szCs w:val="20"/>
              </w:rPr>
              <w:t>HR-платформа + e-Learning → ускорение роста компетенций</w:t>
            </w:r>
          </w:p>
        </w:tc>
      </w:tr>
      <w:tr w:rsidR="008C505D" w14:paraId="3BEA25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971A" w14:textId="77777777" w:rsidR="008C505D" w:rsidRDefault="00000000">
            <w:r>
              <w:rPr>
                <w:sz w:val="20"/>
                <w:szCs w:val="20"/>
              </w:rPr>
              <w:t>Кластер VI · Энергетика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9498" w14:textId="77777777" w:rsidR="008C505D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A3A5C"/>
                <w:sz w:val="20"/>
                <w:szCs w:val="20"/>
              </w:rPr>
              <w:t>γ₄₆ ≈ 0,13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3E06" w14:textId="77777777" w:rsidR="008C505D" w:rsidRDefault="00000000">
            <w:proofErr w:type="spellStart"/>
            <w:r>
              <w:rPr>
                <w:color w:val="555555"/>
                <w:sz w:val="20"/>
                <w:szCs w:val="20"/>
              </w:rPr>
              <w:t>IoT</w:t>
            </w:r>
            <w:proofErr w:type="spellEnd"/>
            <w:r>
              <w:rPr>
                <w:color w:val="555555"/>
                <w:sz w:val="20"/>
                <w:szCs w:val="20"/>
              </w:rPr>
              <w:t>-мониторинг сетей + оптимизация нагрузки → −5–8% потерь</w:t>
            </w:r>
          </w:p>
        </w:tc>
      </w:tr>
      <w:tr w:rsidR="008C505D" w14:paraId="4B365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779E" w14:textId="77777777" w:rsidR="008C505D" w:rsidRDefault="00000000">
            <w:r>
              <w:rPr>
                <w:sz w:val="20"/>
                <w:szCs w:val="20"/>
              </w:rPr>
              <w:t>Кластер VII · Финансовый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B341" w14:textId="77777777" w:rsidR="008C505D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A3A5C"/>
                <w:sz w:val="20"/>
                <w:szCs w:val="20"/>
              </w:rPr>
              <w:t>γ₄₇ ≈ 0,18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89B2" w14:textId="77777777" w:rsidR="008C505D" w:rsidRDefault="00000000">
            <w:proofErr w:type="spellStart"/>
            <w:r>
              <w:rPr>
                <w:color w:val="555555"/>
                <w:sz w:val="20"/>
                <w:szCs w:val="20"/>
              </w:rPr>
              <w:t>FinTech</w:t>
            </w:r>
            <w:proofErr w:type="spellEnd"/>
            <w:r>
              <w:rPr>
                <w:color w:val="555555"/>
                <w:sz w:val="20"/>
                <w:szCs w:val="20"/>
              </w:rPr>
              <w:t>-модуль + прозрачность данных → снижение кредитного риска</w:t>
            </w:r>
          </w:p>
        </w:tc>
      </w:tr>
      <w:tr w:rsidR="008C505D" w14:paraId="6CB751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063C" w14:textId="77777777" w:rsidR="008C505D" w:rsidRDefault="00000000">
            <w:r>
              <w:rPr>
                <w:sz w:val="20"/>
                <w:szCs w:val="20"/>
              </w:rPr>
              <w:t>Кластер VIII · Социально-</w:t>
            </w:r>
            <w:proofErr w:type="spellStart"/>
            <w:r>
              <w:rPr>
                <w:sz w:val="20"/>
                <w:szCs w:val="20"/>
              </w:rPr>
              <w:t>урбан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2BB4" w14:textId="77777777" w:rsidR="008C505D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A3A5C"/>
                <w:sz w:val="20"/>
                <w:szCs w:val="20"/>
              </w:rPr>
              <w:t>γ₄₈ ≈ 0,12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4E44" w14:textId="77777777" w:rsidR="008C505D" w:rsidRDefault="00000000">
            <w:proofErr w:type="spellStart"/>
            <w:r>
              <w:rPr>
                <w:color w:val="555555"/>
                <w:sz w:val="20"/>
                <w:szCs w:val="20"/>
              </w:rPr>
              <w:t>GovTech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цифровые госуслуги → рост качества городской среды</w:t>
            </w:r>
          </w:p>
        </w:tc>
      </w:tr>
      <w:tr w:rsidR="008C505D" w14:paraId="283C00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40AE" w14:textId="77777777" w:rsidR="008C505D" w:rsidRDefault="00000000">
            <w:r>
              <w:rPr>
                <w:sz w:val="20"/>
                <w:szCs w:val="20"/>
              </w:rPr>
              <w:t>Кластер IX · Экологический</w:t>
            </w:r>
          </w:p>
        </w:tc>
        <w:tc>
          <w:tcPr>
            <w:tcW w:w="1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2D81" w14:textId="77777777" w:rsidR="008C505D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A3A5C"/>
                <w:sz w:val="20"/>
                <w:szCs w:val="20"/>
              </w:rPr>
              <w:t>γ₄₉ ≈ 0,09</w:t>
            </w:r>
          </w:p>
        </w:tc>
        <w:tc>
          <w:tcPr>
            <w:tcW w:w="47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5C9F" w14:textId="77777777" w:rsidR="008C505D" w:rsidRDefault="00000000">
            <w:proofErr w:type="spellStart"/>
            <w:r>
              <w:rPr>
                <w:color w:val="555555"/>
                <w:sz w:val="20"/>
                <w:szCs w:val="20"/>
              </w:rPr>
              <w:t>IoT</w:t>
            </w:r>
            <w:proofErr w:type="spellEnd"/>
            <w:r>
              <w:rPr>
                <w:color w:val="555555"/>
                <w:sz w:val="20"/>
                <w:szCs w:val="20"/>
              </w:rPr>
              <w:t>-экомониторинг + карбоновые реестры → верификация кредитов</w:t>
            </w:r>
          </w:p>
        </w:tc>
      </w:tr>
    </w:tbl>
    <w:p w14:paraId="20E92613" w14:textId="77777777" w:rsidR="008C505D" w:rsidRDefault="00000000">
      <w:pPr>
        <w:spacing w:before="60" w:after="80" w:line="280" w:lineRule="auto"/>
        <w:jc w:val="both"/>
      </w:pPr>
      <w:r>
        <w:rPr>
          <w:i/>
          <w:iCs/>
          <w:color w:val="555555"/>
          <w:sz w:val="20"/>
          <w:szCs w:val="20"/>
        </w:rPr>
        <w:t>Таблица Б.4.1. Оценочные синергетические коэффициенты γ₄ⱼ Кластера IV. Источник: авторские расчёты.</w:t>
      </w:r>
    </w:p>
    <w:p w14:paraId="2B665D87" w14:textId="77777777" w:rsidR="008C505D" w:rsidRDefault="00000000">
      <w:pPr>
        <w:spacing w:before="80" w:after="80" w:line="280" w:lineRule="auto"/>
        <w:jc w:val="both"/>
      </w:pPr>
      <w:r>
        <w:t>Суммарный синергетический прирост ВДС от Кластера IV при сбалансированном сценарии (x₄ = 0,80; x̄ⱼ ≈ 0,70):</w:t>
      </w:r>
    </w:p>
    <w:p w14:paraId="111EC77B" w14:textId="46F1411C" w:rsidR="008C505D" w:rsidRPr="00201DC1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  <w:rPr>
          <w:lang w:val="fr-FR"/>
        </w:rPr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b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fr-FR"/>
              </w:rPr>
              <m:t>syn</m:t>
            </m:r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,4</m:t>
            </m:r>
          </m:sub>
          <m:sup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  <w:lang w:val="fr-FR"/>
              </w:rPr>
              <m:t>est</m:t>
            </m:r>
          </m:sup>
        </m:sSubSup>
        <m:r>
          <w:rPr>
            <w:rFonts w:ascii="Cambria Math" w:eastAsia="Cambria Math" w:hAnsi="Cambria Math" w:cs="Cambria Math"/>
            <w:color w:val="0F2640"/>
            <w:lang w:val="fr-FR"/>
          </w:rPr>
          <m:t>=0,80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fr-FR"/>
          </w:rPr>
          <m:t>×</m:t>
        </m:r>
        <m:r>
          <w:rPr>
            <w:rFonts w:ascii="Cambria Math" w:eastAsia="Cambria Math" w:hAnsi="Cambria Math" w:cs="Cambria Math"/>
            <w:color w:val="0F2640"/>
            <w:lang w:val="fr-FR"/>
          </w:rPr>
          <m:t>0,70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fr-FR"/>
          </w:rPr>
          <m:t>×</m:t>
        </m:r>
        <m:nary>
          <m:naryPr>
            <m:chr m:val="∑"/>
            <m:supHide m:val="1"/>
            <m:ctrlPr>
              <w:rPr>
                <w:rFonts w:ascii="Cambria Math" w:eastAsia="Cambria Math" w:hAnsi="Cambria Math" w:cs="Cambria Math"/>
                <w:color w:val="0F2640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F2640"/>
              </w:rPr>
              <m:t>j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b>
          <m:sup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up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γ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  <w:lang w:val="fr-FR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color w:val="0F2640"/>
                  </w:rPr>
                  <m:t>j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e>
        </m:nary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fr-FR"/>
          </w:rPr>
          <m:t>≈</m:t>
        </m:r>
        <m:r>
          <w:rPr>
            <w:rFonts w:ascii="Cambria Math" w:eastAsia="Cambria Math" w:hAnsi="Cambria Math" w:cs="Cambria Math"/>
            <w:color w:val="0F2640"/>
            <w:lang w:val="fr-FR"/>
          </w:rPr>
          <m:t>0,80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fr-FR"/>
          </w:rPr>
          <m:t>×</m:t>
        </m:r>
        <m:r>
          <w:rPr>
            <w:rFonts w:ascii="Cambria Math" w:eastAsia="Cambria Math" w:hAnsi="Cambria Math" w:cs="Cambria Math"/>
            <w:color w:val="0F2640"/>
            <w:lang w:val="fr-FR"/>
          </w:rPr>
          <m:t>0,70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fr-FR"/>
          </w:rPr>
          <m:t>×</m:t>
        </m:r>
        <m:r>
          <w:rPr>
            <w:rFonts w:ascii="Cambria Math" w:eastAsia="Cambria Math" w:hAnsi="Cambria Math" w:cs="Cambria Math"/>
            <w:color w:val="0F2640"/>
            <w:lang w:val="fr-FR"/>
          </w:rPr>
          <m:t>1,08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fr-FR"/>
          </w:rPr>
          <m:t>≈</m:t>
        </m:r>
        <m:r>
          <w:rPr>
            <w:rFonts w:ascii="Cambria Math" w:eastAsia="Cambria Math" w:hAnsi="Cambria Math" w:cs="Cambria Math"/>
            <w:color w:val="0F2640"/>
            <w:lang w:val="fr-FR"/>
          </w:rPr>
          <m:t>0,60 </m:t>
        </m:r>
        <m:r>
          <m:rPr>
            <m:nor/>
          </m:rPr>
          <w:rPr>
            <w:rFonts w:ascii="Cambria Math" w:eastAsia="Cambria Math" w:hAnsi="Cambria Math" w:cs="Cambria Math"/>
            <w:color w:val="0F2640"/>
          </w:rPr>
          <m:t>млрд</m:t>
        </m:r>
        <m:r>
          <m:rPr>
            <m:nor/>
          </m:rPr>
          <w:rPr>
            <w:rFonts w:ascii="Cambria Math" w:eastAsia="Cambria Math" w:hAnsi="Cambria Math" w:cs="Cambria Math"/>
            <w:color w:val="0F2640"/>
            <w:lang w:val="fr-FR"/>
          </w:rPr>
          <m:t xml:space="preserve"> USD</m:t>
        </m:r>
      </m:oMath>
      <w:r w:rsidR="00000000" w:rsidRPr="00201DC1">
        <w:rPr>
          <w:lang w:val="fr-FR"/>
        </w:rPr>
        <w:t xml:space="preserve">   </w:t>
      </w:r>
      <w:r w:rsidR="00000000" w:rsidRPr="00201DC1">
        <w:rPr>
          <w:i/>
          <w:iCs/>
          <w:color w:val="7A6C55"/>
          <w:sz w:val="20"/>
          <w:szCs w:val="20"/>
          <w:lang w:val="fr-FR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201DC1">
        <w:rPr>
          <w:i/>
          <w:iCs/>
          <w:color w:val="7A6C55"/>
          <w:sz w:val="20"/>
          <w:szCs w:val="20"/>
          <w:lang w:val="fr-FR"/>
        </w:rPr>
        <w:t>.4.23)</w:t>
      </w:r>
    </w:p>
    <w:p w14:paraId="64D77F71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lastRenderedPageBreak/>
        <w:t>Численная оценка синергетического вклада Кластера IV в совокупный ΔY платформы при сбалансированном сценарии.</w:t>
      </w:r>
    </w:p>
    <w:p w14:paraId="3A40F003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68447463" w14:textId="77777777" w:rsidR="008C505D" w:rsidRDefault="00000000">
      <w:pPr>
        <w:pStyle w:val="2"/>
      </w:pPr>
      <w:r>
        <w:t>Блок 7. Критическое ограничение реализации</w:t>
      </w:r>
    </w:p>
    <w:p w14:paraId="2531D6E1" w14:textId="77777777" w:rsidR="008C505D" w:rsidRDefault="00000000">
      <w:pPr>
        <w:spacing w:before="80" w:after="80" w:line="280" w:lineRule="auto"/>
        <w:jc w:val="both"/>
      </w:pPr>
      <w:r>
        <w:t xml:space="preserve">Цифровая платформа является критически важным инфраструктурным кластером. Без достижения минимально допустимого уровня развития платформы функционирование логистических, агро- и промышленных кластеров становится невозможным. Это фиксируется через </w:t>
      </w:r>
      <w:r>
        <w:rPr>
          <w:b/>
          <w:bCs/>
        </w:rPr>
        <w:t>нижнюю границу реализации</w:t>
      </w:r>
      <w:r>
        <w:t xml:space="preserve"> (исправленное ограничение; в исходной схеме ошибочно стояло 0 ≤ x₄ ≤ 1):</w:t>
      </w:r>
    </w:p>
    <w:p w14:paraId="040D3236" w14:textId="7CCD4DD0" w:rsidR="008C505D" w:rsidRPr="00201DC1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min</m:t>
            </m:r>
          </m:sup>
        </m:sSubSup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r>
          <w:rPr>
            <w:rFonts w:ascii="Cambria Math" w:eastAsia="Cambria Math" w:hAnsi="Cambria Math" w:cs="Cambria Math"/>
            <w:color w:val="0F2640"/>
          </w:rPr>
          <m:t>1</m:t>
        </m:r>
      </m:oMath>
      <w:r w:rsidR="00000000" w:rsidRPr="00201DC1">
        <w:rPr>
          <w:i/>
          <w:iCs/>
          <w:color w:val="7A6C55"/>
          <w:sz w:val="20"/>
          <w:szCs w:val="20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201DC1">
        <w:rPr>
          <w:i/>
          <w:iCs/>
          <w:color w:val="7A6C55"/>
          <w:sz w:val="20"/>
          <w:szCs w:val="20"/>
        </w:rPr>
        <w:t>.4.24)</w:t>
      </w:r>
    </w:p>
    <w:p w14:paraId="094BE523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Критическое ограничение для Кластера IV. Нижняя граница x₄^</w:t>
      </w:r>
      <w:proofErr w:type="spellStart"/>
      <w:r>
        <w:rPr>
          <w:i/>
          <w:iCs/>
          <w:color w:val="555555"/>
          <w:sz w:val="20"/>
          <w:szCs w:val="20"/>
        </w:rPr>
        <w:t>min</w:t>
      </w:r>
      <w:proofErr w:type="spellEnd"/>
      <w:r>
        <w:rPr>
          <w:i/>
          <w:iCs/>
          <w:color w:val="555555"/>
          <w:sz w:val="20"/>
          <w:szCs w:val="20"/>
        </w:rPr>
        <w:t xml:space="preserve"> ≈ 0,30 соответствует запуску базовых модулей (Logistics, </w:t>
      </w:r>
      <w:proofErr w:type="spellStart"/>
      <w:r>
        <w:rPr>
          <w:i/>
          <w:iCs/>
          <w:color w:val="555555"/>
          <w:sz w:val="20"/>
          <w:szCs w:val="20"/>
        </w:rPr>
        <w:t>Agro</w:t>
      </w:r>
      <w:proofErr w:type="spellEnd"/>
      <w:r>
        <w:rPr>
          <w:i/>
          <w:iCs/>
          <w:color w:val="555555"/>
          <w:sz w:val="20"/>
          <w:szCs w:val="20"/>
        </w:rPr>
        <w:t>) и обеспечению минимальной цифровой связности кластеров.</w:t>
      </w:r>
    </w:p>
    <w:p w14:paraId="3FA226F0" w14:textId="77777777" w:rsidR="008C505D" w:rsidRDefault="00000000">
      <w:pPr>
        <w:spacing w:before="80" w:after="80" w:line="280" w:lineRule="auto"/>
        <w:jc w:val="both"/>
      </w:pPr>
      <w:r>
        <w:t>Технологические ограничения предшествующей зависимости от Кластера IV:</w:t>
      </w:r>
    </w:p>
    <w:p w14:paraId="4ABC9A02" w14:textId="26458D43" w:rsidR="008C505D" w:rsidRPr="00201DC1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,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 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,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 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3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</m:oMath>
      <w:r w:rsidR="00000000" w:rsidRPr="00201DC1">
        <w:t xml:space="preserve">   </w:t>
      </w:r>
      <w:r w:rsidR="00000000" w:rsidRPr="00201DC1">
        <w:rPr>
          <w:i/>
          <w:iCs/>
          <w:color w:val="7A6C55"/>
          <w:sz w:val="20"/>
          <w:szCs w:val="20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201DC1">
        <w:rPr>
          <w:i/>
          <w:iCs/>
          <w:color w:val="7A6C55"/>
          <w:sz w:val="20"/>
          <w:szCs w:val="20"/>
        </w:rPr>
        <w:t>.4.25)</w:t>
      </w:r>
    </w:p>
    <w:p w14:paraId="406D09E1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 xml:space="preserve">Агропереработка, порт и СЭЗ не могут развиваться выше уровня цифровой платформы: без платформы невозможны </w:t>
      </w:r>
      <w:proofErr w:type="spellStart"/>
      <w:r>
        <w:rPr>
          <w:i/>
          <w:iCs/>
          <w:color w:val="555555"/>
          <w:sz w:val="20"/>
          <w:szCs w:val="20"/>
        </w:rPr>
        <w:t>трейсабилити</w:t>
      </w:r>
      <w:proofErr w:type="spellEnd"/>
      <w:r>
        <w:rPr>
          <w:i/>
          <w:iCs/>
          <w:color w:val="555555"/>
          <w:sz w:val="20"/>
          <w:szCs w:val="20"/>
        </w:rPr>
        <w:t xml:space="preserve">, Single </w:t>
      </w:r>
      <w:proofErr w:type="spellStart"/>
      <w:r>
        <w:rPr>
          <w:i/>
          <w:iCs/>
          <w:color w:val="555555"/>
          <w:sz w:val="20"/>
          <w:szCs w:val="20"/>
        </w:rPr>
        <w:t>Window</w:t>
      </w:r>
      <w:proofErr w:type="spellEnd"/>
      <w:r>
        <w:rPr>
          <w:i/>
          <w:iCs/>
          <w:color w:val="555555"/>
          <w:sz w:val="20"/>
          <w:szCs w:val="20"/>
        </w:rPr>
        <w:t xml:space="preserve"> и ESG-мониторинг.</w:t>
      </w:r>
    </w:p>
    <w:p w14:paraId="3220DDB2" w14:textId="77777777" w:rsidR="008C505D" w:rsidRDefault="00000000">
      <w:pPr>
        <w:spacing w:before="80" w:after="80" w:line="280" w:lineRule="auto"/>
        <w:jc w:val="both"/>
      </w:pPr>
      <w:r>
        <w:t>Дополнительно, развитие цифрового кластера само зависит от инфраструктурных кластеров:</w:t>
      </w:r>
    </w:p>
    <w:p w14:paraId="31E5D127" w14:textId="11BF9A3E" w:rsidR="008C505D" w:rsidRPr="00201DC1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5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,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 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6</m:t>
            </m:r>
          </m:sub>
        </m:sSub>
      </m:oMath>
      <w:r w:rsidR="00000000" w:rsidRPr="00201DC1">
        <w:t xml:space="preserve">   </w:t>
      </w:r>
      <w:r w:rsidR="00000000" w:rsidRPr="00201DC1">
        <w:rPr>
          <w:i/>
          <w:iCs/>
          <w:color w:val="7A6C55"/>
          <w:sz w:val="20"/>
          <w:szCs w:val="20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201DC1">
        <w:rPr>
          <w:i/>
          <w:iCs/>
          <w:color w:val="7A6C55"/>
          <w:sz w:val="20"/>
          <w:szCs w:val="20"/>
        </w:rPr>
        <w:t>.4.26)</w:t>
      </w:r>
    </w:p>
    <w:p w14:paraId="589596B0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Платформа ограничена предложением ИКТ-кадров (Кластер V) и стабильностью энергоснабжения ЦОД (Кластер VI).</w:t>
      </w:r>
    </w:p>
    <w:p w14:paraId="7DC2CFC0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35A8F595" w14:textId="77777777" w:rsidR="008C505D" w:rsidRDefault="00000000">
      <w:pPr>
        <w:pStyle w:val="2"/>
      </w:pPr>
      <w:r>
        <w:t>Блок 8. Фискальный эффект: рост собираемости налогов</w:t>
      </w:r>
    </w:p>
    <w:p w14:paraId="2DE22049" w14:textId="77777777" w:rsidR="008C505D" w:rsidRPr="00201DC1" w:rsidRDefault="00000000">
      <w:pPr>
        <w:spacing w:before="80" w:after="80" w:line="280" w:lineRule="auto"/>
        <w:jc w:val="both"/>
      </w:pPr>
      <w:r>
        <w:t>Целевой показатель подраздела 3.3.4 — рост собираемости налогов и сборов на 10–15 % к базе. Математически</w:t>
      </w:r>
      <w:r w:rsidRPr="00201DC1">
        <w:t>:</w:t>
      </w:r>
    </w:p>
    <w:p w14:paraId="56FD4B1D" w14:textId="20519CA2" w:rsidR="008C505D" w:rsidRPr="00201DC1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  <w:lang w:val="fr-FR"/>
          </w:rPr>
          <m:t>Δ</m:t>
        </m:r>
        <m:r>
          <w:rPr>
            <w:rFonts w:ascii="Cambria Math" w:eastAsia="Cambria Math" w:hAnsi="Cambria Math" w:cs="Cambria Math"/>
            <w:color w:val="0F2640"/>
            <w:lang w:val="fr-FR"/>
          </w:rPr>
          <m:t>T</m:t>
        </m:r>
        <m:d>
          <m:dP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  <w:lang w:val="fr-FR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color w:val="0F2640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  <w:lang w:val="fr-FR"/>
              </w:rPr>
              <m:t>α</m:t>
            </m:r>
            <m:ctrlPr>
              <w:rPr>
                <w:rFonts w:ascii="Cambria Math" w:eastAsia="Cambria Math" w:hAnsi="Cambria Math" w:cs="Cambria Math"/>
                <w:color w:val="0F2640"/>
                <w:lang w:val="fr-FR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T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  <w:lang w:val="fr-FR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fr-FR"/>
              </w:rPr>
              <m:t>T</m:t>
            </m:r>
            <m:ctrlPr>
              <w:rPr>
                <w:rFonts w:ascii="Cambria Math" w:eastAsia="Cambria Math" w:hAnsi="Cambria Math" w:cs="Cambria Math"/>
                <w:color w:val="0F2640"/>
                <w:lang w:val="fr-FR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0</m:t>
            </m:r>
          </m:sub>
        </m:sSub>
      </m:oMath>
      <w:r w:rsidR="00000000" w:rsidRPr="00201DC1">
        <w:t xml:space="preserve">   </w:t>
      </w:r>
      <w:r w:rsidR="00000000" w:rsidRPr="00201DC1">
        <w:rPr>
          <w:i/>
          <w:iCs/>
          <w:color w:val="7A6C55"/>
          <w:sz w:val="20"/>
          <w:szCs w:val="20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201DC1">
        <w:rPr>
          <w:i/>
          <w:iCs/>
          <w:color w:val="7A6C55"/>
          <w:sz w:val="20"/>
          <w:szCs w:val="20"/>
        </w:rPr>
        <w:t>.4.27)</w:t>
      </w:r>
    </w:p>
    <w:p w14:paraId="4E377306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Прирост налоговых поступлений, обусловленный цифровизацией налогового администрирования и снижением теневой экономики.</w:t>
      </w:r>
    </w:p>
    <w:p w14:paraId="40447EB4" w14:textId="77777777" w:rsidR="008C505D" w:rsidRDefault="00000000">
      <w:pPr>
        <w:spacing w:before="80" w:after="80" w:line="280" w:lineRule="auto"/>
        <w:jc w:val="both"/>
      </w:pPr>
      <w:r>
        <w:t>где:</w:t>
      </w:r>
    </w:p>
    <w:p w14:paraId="1EBD8AD9" w14:textId="7ED2A6AA" w:rsidR="008C505D" w:rsidRDefault="00201DC1">
      <w:pPr>
        <w:spacing w:before="30" w:after="30"/>
        <w:ind w:left="900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r>
          <w:rPr>
            <w:rFonts w:ascii="Cambria Math" w:eastAsia="Cambria Math" w:hAnsi="Cambria Math" w:cs="Cambria Math"/>
            <w:color w:val="0F2640"/>
          </w:rPr>
          <m:t>T</m:t>
        </m:r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прирост налоговых поступлений, млрд USD/год</w:t>
      </w:r>
    </w:p>
    <w:p w14:paraId="688456EF" w14:textId="39769FC2" w:rsidR="008C505D" w:rsidRDefault="00201DC1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α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T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 xml:space="preserve">коэффициент роста собираемости; </w:t>
      </w:r>
      <m:oMath>
        <m:sSub>
          <m:sSubPr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α</m:t>
            </m:r>
          </m:e>
          <m:sub>
            <m:r>
              <w:rPr>
                <w:rFonts w:ascii="Cambria Math" w:hAnsi="Cambria Math"/>
                <w:color w:val="333333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color w:val="333333"/>
            <w:sz w:val="22"/>
            <w:szCs w:val="22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333333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333333"/>
                <w:sz w:val="22"/>
                <w:szCs w:val="22"/>
              </w:rPr>
              <m:t>0,10;0,15</m:t>
            </m:r>
          </m:e>
        </m:d>
      </m:oMath>
      <w:r w:rsidR="00000000">
        <w:rPr>
          <w:color w:val="333333"/>
          <w:sz w:val="22"/>
          <w:szCs w:val="22"/>
        </w:rPr>
        <w:t xml:space="preserve"> согласно целевым показателям таблицы 3.3.4.1</w:t>
      </w:r>
    </w:p>
    <w:p w14:paraId="38080031" w14:textId="3F84C722" w:rsidR="008C505D" w:rsidRDefault="00201DC1">
      <w:pPr>
        <w:spacing w:before="30" w:after="30"/>
        <w:ind w:left="90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0</m:t>
            </m:r>
          </m:sub>
        </m:sSub>
      </m:oMath>
      <w:r w:rsidR="00000000">
        <w:rPr>
          <w:rFonts w:ascii="Cambria Math" w:eastAsia="Cambria Math" w:hAnsi="Cambria Math" w:cs="Cambria Math"/>
          <w:color w:val="0F2640"/>
        </w:rPr>
        <w:t xml:space="preserve"> </w:t>
      </w:r>
      <w:r w:rsidR="00000000">
        <w:rPr>
          <w:color w:val="555555"/>
        </w:rPr>
        <w:t xml:space="preserve"> — </w:t>
      </w:r>
      <w:r w:rsidR="00000000">
        <w:rPr>
          <w:color w:val="333333"/>
          <w:sz w:val="22"/>
          <w:szCs w:val="22"/>
        </w:rPr>
        <w:t>базовый объём налоговых поступлений в прибрежной зоне, млрд USD</w:t>
      </w:r>
    </w:p>
    <w:p w14:paraId="25FC2AD3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56039E05" w14:textId="77777777" w:rsidR="008C505D" w:rsidRDefault="00000000">
      <w:pPr>
        <w:pStyle w:val="2"/>
      </w:pPr>
      <w:r>
        <w:t>Блок 9. Доля цифровых сервисов в ВВП</w:t>
      </w:r>
    </w:p>
    <w:p w14:paraId="63D1F696" w14:textId="77777777" w:rsidR="008C505D" w:rsidRPr="00201DC1" w:rsidRDefault="00000000">
      <w:pPr>
        <w:spacing w:before="80" w:after="80" w:line="280" w:lineRule="auto"/>
        <w:jc w:val="both"/>
      </w:pPr>
      <w:r>
        <w:t>Целевой показатель: доля цифровых сервисов в ВВП ≥ 1,0–1,5 %. Формализация</w:t>
      </w:r>
      <w:r w:rsidRPr="00201DC1">
        <w:t>:</w:t>
      </w:r>
    </w:p>
    <w:p w14:paraId="08EDD15B" w14:textId="68CB38FB" w:rsidR="008C505D" w:rsidRPr="00201DC1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  <w:lang w:val="en-GB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color w:val="0F2640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  <w:lang w:val="en-GB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color w:val="0F264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F2640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  <w:lang w:val="en-GB"/>
              </w:rPr>
              <m:t>Δ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  <w:lang w:val="en-GB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</m:sSub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F2640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4</m:t>
                    </m:r>
                  </m:sub>
                </m:sSub>
              </m:e>
            </m:d>
            <m:ctrlPr>
              <w:rPr>
                <w:rFonts w:ascii="Cambria Math" w:eastAsia="Cambria Math" w:hAnsi="Cambria Math" w:cs="Cambria Math"/>
                <w:i/>
                <w:color w:val="0F2640"/>
                <w:lang w:val="en-GB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  <w:lang w:val="en-GB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  <w:lang w:val="en-GB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  <w:lang w:val="en-GB"/>
              </w:rPr>
            </m:ctrlP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×</m:t>
        </m:r>
        <m:r>
          <w:rPr>
            <w:rFonts w:ascii="Cambria Math" w:eastAsia="Cambria Math" w:hAnsi="Cambria Math" w:cs="Cambria Math"/>
            <w:color w:val="0F2640"/>
          </w:rPr>
          <m:t>100 %</m:t>
        </m:r>
      </m:oMath>
      <w:r w:rsidR="00000000" w:rsidRPr="00201DC1">
        <w:t xml:space="preserve">   </w:t>
      </w:r>
      <w:r w:rsidR="00000000" w:rsidRPr="00201DC1">
        <w:rPr>
          <w:i/>
          <w:iCs/>
          <w:color w:val="7A6C55"/>
          <w:sz w:val="20"/>
          <w:szCs w:val="20"/>
        </w:rPr>
        <w:t>(</w:t>
      </w:r>
      <w:r w:rsidR="00000000">
        <w:rPr>
          <w:i/>
          <w:iCs/>
          <w:color w:val="7A6C55"/>
          <w:sz w:val="20"/>
          <w:szCs w:val="20"/>
        </w:rPr>
        <w:t>Ф</w:t>
      </w:r>
      <w:r w:rsidR="00000000" w:rsidRPr="00201DC1">
        <w:rPr>
          <w:i/>
          <w:iCs/>
          <w:color w:val="7A6C55"/>
          <w:sz w:val="20"/>
          <w:szCs w:val="20"/>
        </w:rPr>
        <w:t>.4.28)</w:t>
      </w:r>
    </w:p>
    <w:p w14:paraId="26854303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Доля добавленной стоимости Кластера IV в базовом ВВП прибрежной зоны.</w:t>
      </w:r>
    </w:p>
    <w:p w14:paraId="61689158" w14:textId="7E110520" w:rsidR="008C505D" w:rsidRDefault="00000000">
      <w:pPr>
        <w:spacing w:before="80" w:after="80" w:line="280" w:lineRule="auto"/>
        <w:jc w:val="both"/>
      </w:pPr>
      <w:r>
        <w:t xml:space="preserve">При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ax=2,50</m:t>
        </m:r>
      </m:oMath>
      <w:r>
        <w:t xml:space="preserve"> млрд USD и Y₀ = 95,5 млрд USD:</w:t>
      </w:r>
    </w:p>
    <w:p w14:paraId="039CD336" w14:textId="3B270A2F" w:rsidR="008C505D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  <m:r>
          <w:rPr>
            <w:rFonts w:ascii="Cambria Math" w:eastAsia="Cambria Math" w:hAnsi="Cambria Math" w:cs="Cambria Math"/>
            <w:color w:val="0F264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F2640"/>
              </w:rPr>
              <m:t>2,50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r>
              <w:rPr>
                <w:rFonts w:ascii="Cambria Math" w:eastAsia="Cambria Math" w:hAnsi="Cambria Math" w:cs="Cambria Math"/>
                <w:color w:val="0F2640"/>
              </w:rPr>
              <m:t>95,5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×</m:t>
        </m:r>
        <m:r>
          <w:rPr>
            <w:rFonts w:ascii="Cambria Math" w:eastAsia="Cambria Math" w:hAnsi="Cambria Math" w:cs="Cambria Math"/>
            <w:color w:val="0F2640"/>
          </w:rPr>
          <m:t>100</m:t>
        </m:r>
        <m:r>
          <w:rPr>
            <w:rFonts w:ascii="Cambria Math" w:eastAsia="Cambria Math" w:hAnsi="Cambria Math" w:cs="Cambria Math"/>
            <w:color w:val="0F2640"/>
          </w:rPr>
          <m:t xml:space="preserve"> </m:t>
        </m:r>
        <m:r>
          <w:rPr>
            <w:rFonts w:ascii="Cambria Math" w:eastAsia="Cambria Math" w:hAnsi="Cambria Math" w:cs="Cambria Math"/>
            <w:color w:val="0F2640"/>
          </w:rPr>
          <m:t>%</m:t>
        </m:r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≈</m:t>
        </m:r>
        <m:r>
          <w:rPr>
            <w:rFonts w:ascii="Cambria Math" w:eastAsia="Cambria Math" w:hAnsi="Cambria Math" w:cs="Cambria Math"/>
            <w:color w:val="0F2640"/>
          </w:rPr>
          <m:t>2,62</m:t>
        </m:r>
        <m:r>
          <w:rPr>
            <w:rFonts w:ascii="Cambria Math" w:eastAsia="Cambria Math" w:hAnsi="Cambria Math" w:cs="Cambria Math"/>
            <w:color w:val="0F2640"/>
          </w:rPr>
          <m:t xml:space="preserve"> </m:t>
        </m:r>
        <m:r>
          <w:rPr>
            <w:rFonts w:ascii="Cambria Math" w:eastAsia="Cambria Math" w:hAnsi="Cambria Math" w:cs="Cambria Math"/>
            <w:color w:val="0F2640"/>
          </w:rPr>
          <m:t>%</m:t>
        </m:r>
      </m:oMath>
      <w:r w:rsidR="00000000">
        <w:rPr>
          <w:i/>
          <w:iCs/>
          <w:color w:val="7A6C55"/>
          <w:sz w:val="20"/>
          <w:szCs w:val="20"/>
        </w:rPr>
        <w:t>(Ф.4.29)</w:t>
      </w:r>
    </w:p>
    <w:p w14:paraId="325F63DC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Теоретически достижимая доля при x₄ = 1. Целевой ориентир (1,0–1,5 %) соответствует x₄ ∈ [0,38; 0,57].</w:t>
      </w:r>
    </w:p>
    <w:p w14:paraId="1086ACF7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19A6427F" w14:textId="77777777" w:rsidR="008C505D" w:rsidRDefault="00000000">
      <w:pPr>
        <w:pStyle w:val="2"/>
      </w:pPr>
      <w:r>
        <w:t>Блок 10. Вклад Кластера IV в интегральную целевую функцию F(x)</w:t>
      </w:r>
    </w:p>
    <w:p w14:paraId="1A51AF8C" w14:textId="77777777" w:rsidR="008C505D" w:rsidRDefault="00000000">
      <w:pPr>
        <w:spacing w:before="80" w:after="80" w:line="280" w:lineRule="auto"/>
        <w:jc w:val="both"/>
      </w:pPr>
      <w:r>
        <w:t>Кластер IV участвует в интегральной целевой функции через три канала: прямой вклад в ΔY, прирост занятости ΔL и синергетический эффект:</w:t>
      </w:r>
    </w:p>
    <w:p w14:paraId="4AC8442F" w14:textId="4CE7CA04" w:rsidR="008C505D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w:rPr>
            <w:rFonts w:ascii="Cambria Math" w:eastAsia="Cambria Math" w:hAnsi="Cambria Math" w:cs="Cambria Math"/>
            <w:color w:val="0F2640"/>
          </w:rPr>
          <m:t>F</m:t>
        </m:r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</m:d>
        <m:r>
          <w:rPr>
            <w:rFonts w:ascii="Cambria Math" w:eastAsia="Cambria Math" w:hAnsi="Cambria Math" w:cs="Cambria Math"/>
            <w:color w:val="0F2640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w:rPr>
            <w:rFonts w:ascii="Cambria Math" w:eastAsia="Cambria Math" w:hAnsi="Cambria Math" w:cs="Cambria Math"/>
            <w:color w:val="0F2640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L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r>
              <w:rPr>
                <w:rFonts w:ascii="Cambria Math" w:eastAsia="Cambria Math" w:hAnsi="Cambria Math" w:cs="Cambria Math"/>
                <w:color w:val="0F2640"/>
              </w:rPr>
              <m:t>L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L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w:rPr>
            <w:rFonts w:ascii="Cambria Math" w:eastAsia="Cambria Math" w:hAnsi="Cambria Math" w:cs="Cambria Math"/>
            <w:color w:val="0F2640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S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r>
              <w:rPr>
                <w:rFonts w:ascii="Cambria Math" w:eastAsia="Cambria Math" w:hAnsi="Cambria Math" w:cs="Cambria Math"/>
                <w:color w:val="0F2640"/>
              </w:rPr>
              <m:t>S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w:rPr>
            <w:rFonts w:ascii="Cambria Math" w:eastAsia="Cambria Math" w:hAnsi="Cambria Math" w:cs="Cambria Math"/>
            <w:color w:val="0F2640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E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r>
              <w:rPr>
                <w:rFonts w:ascii="Cambria Math" w:eastAsia="Cambria Math" w:hAnsi="Cambria Math" w:cs="Cambria Math"/>
                <w:color w:val="0F2640"/>
              </w:rPr>
              <m:t>E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E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w:rPr>
            <w:rFonts w:ascii="Cambria Math" w:eastAsia="Cambria Math" w:hAnsi="Cambria Math" w:cs="Cambria Math"/>
            <w:color w:val="0F2640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R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Σ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→</m:t>
        </m:r>
      </m:oMath>
      <w:r w:rsidR="00000000">
        <w:t xml:space="preserve">  </w:t>
      </w:r>
      <w:r w:rsidR="00000000">
        <w:rPr>
          <w:i/>
          <w:iCs/>
          <w:color w:val="7A6C55"/>
          <w:sz w:val="20"/>
          <w:szCs w:val="20"/>
        </w:rPr>
        <w:t>(Ф.4.30)</w:t>
      </w:r>
    </w:p>
    <w:p w14:paraId="7FEC8CFF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>Интегральная целевая функция платформенной модели (общая форма, с нормировкой всех слагаемых).</w:t>
      </w:r>
    </w:p>
    <w:p w14:paraId="30EA0F3E" w14:textId="77777777" w:rsidR="008C505D" w:rsidRDefault="00000000">
      <w:pPr>
        <w:spacing w:before="80" w:after="80" w:line="280" w:lineRule="auto"/>
        <w:jc w:val="both"/>
      </w:pPr>
      <w:r>
        <w:t>Вклад Кластера IV в компоненту ΔY:</w:t>
      </w:r>
    </w:p>
    <w:p w14:paraId="1E579A10" w14:textId="2582AF29" w:rsidR="008C505D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Δ</m:t>
        </m:r>
        <m:r>
          <w:rPr>
            <w:rFonts w:ascii="Cambria Math" w:eastAsia="Cambria Math" w:hAnsi="Cambria Math" w:cs="Cambria Math"/>
            <w:color w:val="0F2640"/>
          </w:rPr>
          <m:t>Y=</m:t>
        </m:r>
        <m:limLow>
          <m:limLow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limLowPr>
          <m:e>
            <m:groupChr>
              <m:groupChrPr>
                <m:ctrlPr>
                  <w:rPr>
                    <w:rFonts w:ascii="Cambria Math" w:eastAsia="Cambria Math" w:hAnsi="Cambria Math" w:cs="Cambria Math"/>
                    <w:color w:val="0F2640"/>
                  </w:rPr>
                </m:ctrlPr>
              </m:groupChrP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eastAsia="Cambria Math" w:hAnsi="Cambria Math" w:cs="Cambria Math"/>
                        <w:color w:val="0F2640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</w:rPr>
                      <m:t>∈</m:t>
                    </m:r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K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ub>
                  <m:sup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⋅Δ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k</m:t>
                    </m:r>
                  </m:sub>
                </m:sSub>
              </m:e>
            </m:groupChr>
          </m:e>
          <m:lim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прямые вклады</m:t>
            </m:r>
          </m:lim>
        </m:limLow>
        <m:r>
          <w:rPr>
            <w:rFonts w:ascii="Cambria Math" w:eastAsia="Cambria Math" w:hAnsi="Cambria Math" w:cs="Cambria Math"/>
            <w:color w:val="0F2640"/>
          </w:rPr>
          <m:t>+</m:t>
        </m:r>
        <m:limLow>
          <m:limLow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limLowPr>
          <m:e>
            <m:groupChr>
              <m:groupChrPr>
                <m:ctrlPr>
                  <w:rPr>
                    <w:rFonts w:ascii="Cambria Math" w:eastAsia="Cambria Math" w:hAnsi="Cambria Math" w:cs="Cambria Math"/>
                    <w:color w:val="0F2640"/>
                  </w:rPr>
                </m:ctrlPr>
              </m:groupChrP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eastAsia="Cambria Math" w:hAnsi="Cambria Math" w:cs="Cambria Math"/>
                        <w:color w:val="0F2640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k&lt;j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ub>
                  <m:sup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color w:val="0F2640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</w:rPr>
                          <m:t>kj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j</m:t>
                    </m:r>
                  </m:sub>
                </m:sSub>
              </m:e>
            </m:groupChr>
          </m:e>
          <m:lim>
            <m:r>
              <m:rPr>
                <m:nor/>
              </m:rPr>
              <w:rPr>
                <w:rFonts w:ascii="Cambria Math" w:eastAsia="Cambria Math" w:hAnsi="Cambria Math" w:cs="Cambria Math"/>
                <w:color w:val="0F2640"/>
              </w:rPr>
              <m:t>синергия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k&lt;j</m:t>
                </m:r>
              </m:e>
            </m:d>
          </m:lim>
        </m:limLow>
      </m:oMath>
      <w:r w:rsidR="00000000">
        <w:t xml:space="preserve">   </w:t>
      </w:r>
      <w:r w:rsidR="00000000">
        <w:rPr>
          <w:i/>
          <w:iCs/>
          <w:color w:val="7A6C55"/>
          <w:sz w:val="20"/>
          <w:szCs w:val="20"/>
        </w:rPr>
        <w:t>(Ф.4.31)</w:t>
      </w:r>
    </w:p>
    <w:p w14:paraId="21BE17CE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 xml:space="preserve">Суммирование синергии по k </w:t>
      </w:r>
      <w:proofErr w:type="gramStart"/>
      <w:r>
        <w:rPr>
          <w:i/>
          <w:iCs/>
          <w:color w:val="555555"/>
          <w:sz w:val="20"/>
          <w:szCs w:val="20"/>
        </w:rPr>
        <w:t>&lt; j</w:t>
      </w:r>
      <w:proofErr w:type="gramEnd"/>
      <w:r>
        <w:rPr>
          <w:i/>
          <w:iCs/>
          <w:color w:val="555555"/>
          <w:sz w:val="20"/>
          <w:szCs w:val="20"/>
        </w:rPr>
        <w:t xml:space="preserve"> устраняет двойной счёт симметричных коэффициентов γₖⱼ = γⱼₖ.</w:t>
      </w:r>
    </w:p>
    <w:p w14:paraId="14A3F1F6" w14:textId="77777777" w:rsidR="008C505D" w:rsidRDefault="00000000">
      <w:pPr>
        <w:spacing w:before="80" w:after="80" w:line="280" w:lineRule="auto"/>
        <w:jc w:val="both"/>
      </w:pPr>
      <w:r>
        <w:t>Частичная производная F(x) по x₄ показывает предельную ценность наращивания цифровой платформы:</w:t>
      </w:r>
    </w:p>
    <w:p w14:paraId="70861FB7" w14:textId="54C3A6B8" w:rsidR="008C505D" w:rsidRDefault="00201DC1">
      <w:pPr>
        <w:pBdr>
          <w:left w:val="single" w:sz="6" w:space="10" w:color="1A3A5C"/>
        </w:pBdr>
        <w:shd w:val="clear" w:color="auto" w:fill="EEF4FB"/>
        <w:spacing w:before="160" w:after="40"/>
        <w:jc w:val="center"/>
      </w:pPr>
      <m:oMath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∂</m:t>
            </m:r>
            <m:r>
              <w:rPr>
                <w:rFonts w:ascii="Cambria Math" w:eastAsia="Cambria Math" w:hAnsi="Cambria Math" w:cs="Cambria Math"/>
                <w:color w:val="0F2640"/>
              </w:rPr>
              <m:t>F</m:t>
            </m: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∂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w:rPr>
            <w:rFonts w:ascii="Cambria Math" w:eastAsia="Cambria Math" w:hAnsi="Cambria Math" w:cs="Cambria Math"/>
            <w:color w:val="0F264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w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Y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d>
          <m:dPr>
            <m:ctrlPr>
              <w:rPr>
                <w:rFonts w:ascii="Cambria Math" w:eastAsia="Cambria Math" w:hAnsi="Cambria Math" w:cs="Cambria Math"/>
                <w:color w:val="0F2640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Δ</m:t>
            </m:r>
            <m:sSubSup>
              <m:sSubSup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F2640"/>
                  </w:rPr>
                  <m:t>max</m:t>
                </m:r>
              </m:sup>
            </m:sSubSup>
            <m:r>
              <w:rPr>
                <w:rFonts w:ascii="Cambria Math" w:eastAsia="Cambria Math" w:hAnsi="Cambria Math" w:cs="Cambria Math"/>
                <w:color w:val="0F2640"/>
              </w:rPr>
              <m:t>+</m:t>
            </m:r>
            <m:nary>
              <m:naryPr>
                <m:chr m:val="∑"/>
                <m:supHide m:val="1"/>
                <m:ctrlPr>
                  <w:rPr>
                    <w:rFonts w:ascii="Cambria Math" w:eastAsia="Cambria Math" w:hAnsi="Cambria Math" w:cs="Cambria Math"/>
                    <w:color w:val="0F2640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</w:rPr>
                  <m:t>≠</m:t>
                </m:r>
                <m:r>
                  <w:rPr>
                    <w:rFonts w:ascii="Cambria Math" w:eastAsia="Cambria Math" w:hAnsi="Cambria Math" w:cs="Cambria Math"/>
                    <w:color w:val="0F2640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ub>
              <m:sup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</w:rPr>
                      <m:t>γ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</w:rPr>
                      <m:t>4j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e>
            </m:nary>
            <m:r>
              <m:rPr>
                <m:sty m:val="p"/>
              </m:rPr>
              <w:rPr>
                <w:rFonts w:ascii="Cambria Math" w:eastAsia="Cambria Math" w:hAnsi="Cambria Math" w:cs="Cambria Math"/>
                <w:color w:val="0F2640"/>
              </w:rPr>
              <m:t>⋅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x</m:t>
                </m:r>
                <m:ctrlPr>
                  <w:rPr>
                    <w:rFonts w:ascii="Cambria Math" w:eastAsia="Cambria Math" w:hAnsi="Cambria Math" w:cs="Cambria Math"/>
                    <w:color w:val="0F2640"/>
                  </w:rPr>
                </m:ctrlP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j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e>
        </m:d>
        <m:r>
          <w:rPr>
            <w:rFonts w:ascii="Cambria Math" w:eastAsia="Cambria Math" w:hAnsi="Cambria Math" w:cs="Cambria Math"/>
            <w:color w:val="0F2640"/>
          </w:rPr>
          <m:t>+</m:t>
        </m:r>
        <m:f>
          <m:fPr>
            <m:ctrlPr>
              <w:rPr>
                <w:rFonts w:ascii="Cambria Math" w:eastAsia="Cambria Math" w:hAnsi="Cambria Math" w:cs="Cambria Math"/>
                <w:color w:val="0F2640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w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L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L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F2640"/>
          </w:rPr>
          <m:t>⋅</m:t>
        </m:r>
        <m:sSubSup>
          <m:sSub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F2640"/>
              </w:rPr>
              <m:t>L</m:t>
            </m:r>
            <m:ctrlPr>
              <w:rPr>
                <w:rFonts w:ascii="Cambria Math" w:eastAsia="Cambria Math" w:hAnsi="Cambria Math" w:cs="Cambria Math"/>
                <w:color w:val="0F2640"/>
              </w:rPr>
            </m:ctrlP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4</m:t>
            </m:r>
          </m:sub>
          <m:sup>
            <m:r>
              <w:rPr>
                <w:rFonts w:ascii="Cambria Math" w:eastAsia="Cambria Math" w:hAnsi="Cambria Math" w:cs="Cambria Math"/>
                <w:color w:val="0F2640"/>
              </w:rPr>
              <m:t>max</m:t>
            </m:r>
          </m:sup>
        </m:sSubSup>
      </m:oMath>
      <w:r w:rsidR="00000000">
        <w:rPr>
          <w:i/>
          <w:iCs/>
          <w:color w:val="7A6C55"/>
          <w:sz w:val="20"/>
          <w:szCs w:val="20"/>
        </w:rPr>
        <w:t>4.32)</w:t>
      </w:r>
    </w:p>
    <w:p w14:paraId="647B95E8" w14:textId="77777777" w:rsidR="008C505D" w:rsidRDefault="00000000">
      <w:pPr>
        <w:spacing w:before="40" w:after="140"/>
        <w:ind w:left="720"/>
        <w:jc w:val="both"/>
      </w:pPr>
      <w:r>
        <w:rPr>
          <w:i/>
          <w:iCs/>
          <w:color w:val="555555"/>
          <w:sz w:val="20"/>
          <w:szCs w:val="20"/>
        </w:rPr>
        <w:t xml:space="preserve">Предельный эффект от увеличения x₄ на единицу. Положительность при любых </w:t>
      </w:r>
      <w:proofErr w:type="spellStart"/>
      <w:r>
        <w:rPr>
          <w:i/>
          <w:iCs/>
          <w:color w:val="555555"/>
          <w:sz w:val="20"/>
          <w:szCs w:val="20"/>
        </w:rPr>
        <w:t>x_</w:t>
      </w:r>
      <w:proofErr w:type="gramStart"/>
      <w:r>
        <w:rPr>
          <w:i/>
          <w:iCs/>
          <w:color w:val="555555"/>
          <w:sz w:val="20"/>
          <w:szCs w:val="20"/>
        </w:rPr>
        <w:t>j</w:t>
      </w:r>
      <w:proofErr w:type="spellEnd"/>
      <w:r>
        <w:rPr>
          <w:i/>
          <w:iCs/>
          <w:color w:val="555555"/>
          <w:sz w:val="20"/>
          <w:szCs w:val="20"/>
        </w:rPr>
        <w:t xml:space="preserve"> &gt;</w:t>
      </w:r>
      <w:proofErr w:type="gramEnd"/>
      <w:r>
        <w:rPr>
          <w:i/>
          <w:iCs/>
          <w:color w:val="555555"/>
          <w:sz w:val="20"/>
          <w:szCs w:val="20"/>
        </w:rPr>
        <w:t xml:space="preserve"> 0 обусловливает стратегический приоритет опережающего развёртывания платформы.</w:t>
      </w:r>
    </w:p>
    <w:p w14:paraId="7432CACE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5B9B45C2" w14:textId="77777777" w:rsidR="008C505D" w:rsidRDefault="00000000">
      <w:pPr>
        <w:pStyle w:val="2"/>
      </w:pPr>
      <w:r>
        <w:t>Сводная таблица формул Кластера IV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300"/>
      </w:tblGrid>
      <w:tr w:rsidR="008C505D" w14:paraId="1FB2C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F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064E" w14:textId="77777777" w:rsidR="008C505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F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CE94" w14:textId="77777777" w:rsidR="008C505D" w:rsidRDefault="00000000">
            <w:pPr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LaTeX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-запись</w:t>
            </w:r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F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E181" w14:textId="77777777" w:rsidR="008C505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Содержательное описание</w:t>
            </w:r>
          </w:p>
        </w:tc>
      </w:tr>
      <w:tr w:rsidR="008C505D" w14:paraId="01D188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7CE4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Ф.4.1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F22B" w14:textId="45B18B81" w:rsidR="008C505D" w:rsidRDefault="00201DC1"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0;1</m:t>
                    </m:r>
                  </m:e>
                </m:d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566D" w14:textId="77777777" w:rsidR="008C505D" w:rsidRDefault="00000000">
            <w:r>
              <w:rPr>
                <w:color w:val="333333"/>
                <w:sz w:val="18"/>
                <w:szCs w:val="18"/>
              </w:rPr>
              <w:t>Область допустимых значений x₄</w:t>
            </w:r>
          </w:p>
        </w:tc>
      </w:tr>
      <w:tr w:rsidR="008C505D" w14:paraId="2EDA92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A46A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5021" w14:textId="5C2EB6DB" w:rsidR="008C505D" w:rsidRPr="00A069A7" w:rsidRDefault="00201DC1">
            <w:pPr>
              <w:rPr>
                <w:lang w:val="fr-F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Δ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⋅Δ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max</m:t>
                    </m:r>
                  </m:sup>
                </m:sSubSup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AF66" w14:textId="77777777" w:rsidR="008C505D" w:rsidRDefault="00000000">
            <w:r>
              <w:rPr>
                <w:color w:val="333333"/>
                <w:sz w:val="18"/>
                <w:szCs w:val="18"/>
              </w:rPr>
              <w:t>Прямой прирост ВДС</w:t>
            </w:r>
          </w:p>
        </w:tc>
      </w:tr>
      <w:tr w:rsidR="008C505D" w14:paraId="41632C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612B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Ф.4.3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5E81" w14:textId="5BBCA994" w:rsidR="008C505D" w:rsidRPr="00A069A7" w:rsidRDefault="00201DC1">
            <w:pPr>
              <w:rPr>
                <w:lang w:val="en-GB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V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n</m:t>
                    </m:r>
                  </m:e>
                </m:d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β⋅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n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</m:ctrlPr>
                  </m:e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30F7" w14:textId="77777777" w:rsidR="008C505D" w:rsidRDefault="00000000">
            <w:r>
              <w:rPr>
                <w:color w:val="333333"/>
                <w:sz w:val="18"/>
                <w:szCs w:val="18"/>
              </w:rPr>
              <w:t>Закон Меткалфа (ценность сети)</w:t>
            </w:r>
          </w:p>
        </w:tc>
      </w:tr>
      <w:tr w:rsidR="008C505D" w14:paraId="4AABE5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A45C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Ф.4.4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1266" w14:textId="7619AE47" w:rsidR="008C505D" w:rsidRDefault="00201DC1"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β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=V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lit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/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96A4" w14:textId="77777777" w:rsidR="008C505D" w:rsidRDefault="00000000">
            <w:r>
              <w:rPr>
                <w:color w:val="333333"/>
                <w:sz w:val="18"/>
                <w:szCs w:val="18"/>
              </w:rPr>
              <w:t>Калибровка коэффициента β</w:t>
            </w:r>
          </w:p>
        </w:tc>
      </w:tr>
      <w:tr w:rsidR="008C505D" w14:paraId="4DC291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8426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Ф.4.6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77DA" w14:textId="32D51DF8" w:rsidR="008C505D" w:rsidRDefault="00201DC1">
            <m:oMathPara>
              <m:oMath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V=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ub>
                  <m:sup/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j&gt;i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</w:rPr>
                        </m:ctrlPr>
                      </m:sub>
                      <m:sup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0F264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color w:val="0F2640"/>
                                <w:sz w:val="18"/>
                                <w:szCs w:val="18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0F2640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0F264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F2640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0F2640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0F264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F2640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0F2640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</w:rPr>
                        </m:ctrlPr>
                      </m:e>
                    </m:nary>
                  </m:e>
                </m:nary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BC11" w14:textId="77777777" w:rsidR="008C505D" w:rsidRDefault="00000000">
            <w:r>
              <w:rPr>
                <w:color w:val="333333"/>
                <w:sz w:val="18"/>
                <w:szCs w:val="18"/>
              </w:rPr>
              <w:t>Обобщённый закон Меткалфа</w:t>
            </w:r>
          </w:p>
        </w:tc>
      </w:tr>
      <w:tr w:rsidR="008C505D" w14:paraId="723D7F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0CBC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Ф.4.7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6907" w14:textId="3F619BC8" w:rsidR="008C505D" w:rsidRPr="00A069A7" w:rsidRDefault="00201DC1">
            <w:pPr>
              <w:rPr>
                <w:lang w:val="fr-F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Δ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TC=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α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TC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Y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1E7D" w14:textId="77777777" w:rsidR="008C505D" w:rsidRDefault="00000000">
            <w:r>
              <w:rPr>
                <w:color w:val="333333"/>
                <w:sz w:val="18"/>
                <w:szCs w:val="18"/>
              </w:rPr>
              <w:t>Снижение транзакционных издержек</w:t>
            </w:r>
          </w:p>
        </w:tc>
      </w:tr>
      <w:tr w:rsidR="008C505D" w14:paraId="0F0A1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50F0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Ф.4.9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E838" w14:textId="755328E8" w:rsidR="008C505D" w:rsidRDefault="00201DC1"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j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eff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=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j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0</m:t>
                    </m:r>
                  </m:sup>
                </m:sSubSup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8ECC" w14:textId="77777777" w:rsidR="008C505D" w:rsidRDefault="00000000">
            <w:r>
              <w:rPr>
                <w:color w:val="333333"/>
                <w:sz w:val="18"/>
                <w:szCs w:val="18"/>
              </w:rPr>
              <w:t>Эффективный мультипликатор кластера j</w:t>
            </w:r>
          </w:p>
        </w:tc>
      </w:tr>
      <w:tr w:rsidR="008C505D" w14:paraId="638BC0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2C35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Ф.4.10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99D6" w14:textId="10D8852A" w:rsidR="008C505D" w:rsidRDefault="00201DC1"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ind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≠</m:t>
                    </m:r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δ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8380" w14:textId="77777777" w:rsidR="008C505D" w:rsidRDefault="00000000">
            <w:r>
              <w:rPr>
                <w:color w:val="333333"/>
                <w:sz w:val="18"/>
                <w:szCs w:val="18"/>
              </w:rPr>
              <w:t>Косвенный ВДС-эффект</w:t>
            </w:r>
          </w:p>
        </w:tc>
      </w:tr>
      <w:tr w:rsidR="008C505D" w14:paraId="5D049C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A49A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Ф.4.11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5E6B" w14:textId="33864E43" w:rsidR="008C505D" w:rsidRPr="00A069A7" w:rsidRDefault="00201DC1">
            <w:pPr>
              <w:rPr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total</m:t>
                    </m:r>
                  </m:sup>
                </m:sSubSup>
                <m:r>
                  <m:rPr>
                    <m:lit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/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0ABD" w14:textId="77777777" w:rsidR="008C505D" w:rsidRDefault="00000000">
            <w:r>
              <w:rPr>
                <w:color w:val="333333"/>
                <w:sz w:val="18"/>
                <w:szCs w:val="18"/>
              </w:rPr>
              <w:t>Инвестиционный мультипликатор</w:t>
            </w:r>
          </w:p>
        </w:tc>
      </w:tr>
      <w:tr w:rsidR="008C505D" w14:paraId="3762BB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ECD3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Ф.4.13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0CA1" w14:textId="487F0E22" w:rsidR="008C505D" w:rsidRPr="00A069A7" w:rsidRDefault="00201DC1">
            <w:pPr>
              <w:rPr>
                <w:lang w:val="en-GB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RO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=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Δ</m:t>
                    </m:r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  <w:lang w:val="en-GB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en-GB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en-GB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en-GB"/>
                          </w:rPr>
                          <m:t>total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en-GB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lit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/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5C3E" w14:textId="77777777" w:rsidR="008C505D" w:rsidRDefault="00000000">
            <w:r>
              <w:rPr>
                <w:color w:val="333333"/>
                <w:sz w:val="18"/>
                <w:szCs w:val="18"/>
              </w:rPr>
              <w:t>ROI кластера IV</w:t>
            </w:r>
          </w:p>
        </w:tc>
      </w:tr>
      <w:tr w:rsidR="008C505D" w14:paraId="06F786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0643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Ф.4.14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2B21" w14:textId="49FAFE9B" w:rsidR="008C505D" w:rsidRPr="00A069A7" w:rsidRDefault="00201DC1">
            <w:pPr>
              <w:rPr>
                <w:lang w:val="fr-FR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NP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t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ub>
                  <m:sup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fr-FR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fr-FR"/>
                          </w:rPr>
                          <m:t>4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  <w:lang w:val="fr-FR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fr-FR"/>
                          </w:rPr>
                          <m:t>t</m:t>
                        </m:r>
                      </m:e>
                    </m:d>
                    <m:r>
                      <m:rPr>
                        <m:lit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/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  <w:lang w:val="fr-FR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0F2640"/>
                                <w:sz w:val="18"/>
                                <w:szCs w:val="18"/>
                                <w:lang w:val="fr-F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F2640"/>
                                <w:sz w:val="18"/>
                                <w:szCs w:val="18"/>
                                <w:lang w:val="fr-FR"/>
                              </w:rPr>
                              <m:t>1+r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  <w:lang w:val="fr-FR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</m:nary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7552" w14:textId="77777777" w:rsidR="008C505D" w:rsidRDefault="00000000">
            <w:r>
              <w:rPr>
                <w:color w:val="333333"/>
                <w:sz w:val="18"/>
                <w:szCs w:val="18"/>
              </w:rPr>
              <w:t>NPV инвестиций</w:t>
            </w:r>
          </w:p>
        </w:tc>
      </w:tr>
      <w:tr w:rsidR="008C505D" w14:paraId="0E6D22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DA05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Ф.4.15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CE20" w14:textId="4EF8BD50" w:rsidR="008C505D" w:rsidRDefault="00201DC1"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≤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max</m:t>
                    </m:r>
                  </m:sup>
                </m:sSubSup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9970" w14:textId="77777777" w:rsidR="008C505D" w:rsidRDefault="00000000">
            <w:r>
              <w:rPr>
                <w:color w:val="333333"/>
                <w:sz w:val="18"/>
                <w:szCs w:val="18"/>
              </w:rPr>
              <w:t>Ограничение CAPEX</w:t>
            </w:r>
          </w:p>
        </w:tc>
      </w:tr>
      <w:tr w:rsidR="008C505D" w14:paraId="542630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CC94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Ф.4.16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EE09" w14:textId="4B759FE8" w:rsidR="008C505D" w:rsidRPr="00A069A7" w:rsidRDefault="00201DC1">
            <w:pPr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E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E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max</m:t>
                    </m:r>
                  </m:sup>
                </m:sSubSup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7F72" w14:textId="77777777" w:rsidR="008C505D" w:rsidRDefault="00000000">
            <w:r>
              <w:rPr>
                <w:color w:val="333333"/>
                <w:sz w:val="18"/>
                <w:szCs w:val="18"/>
              </w:rPr>
              <w:t>Ограничение по энергии</w:t>
            </w:r>
          </w:p>
        </w:tc>
      </w:tr>
      <w:tr w:rsidR="008C505D" w14:paraId="2F17C3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04A6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Ф.4.17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3869" w14:textId="42D05C98" w:rsidR="008C505D" w:rsidRPr="00A069A7" w:rsidRDefault="00201DC1">
            <w:pPr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H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H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max</m:t>
                    </m:r>
                  </m:sup>
                </m:sSubSup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E166" w14:textId="77777777" w:rsidR="008C505D" w:rsidRDefault="00000000">
            <w:r>
              <w:rPr>
                <w:color w:val="333333"/>
                <w:sz w:val="18"/>
                <w:szCs w:val="18"/>
              </w:rPr>
              <w:t>Ограничение по кадрам</w:t>
            </w:r>
          </w:p>
        </w:tc>
      </w:tr>
      <w:tr w:rsidR="008C505D" w14:paraId="6CAD6F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F61A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Ф.4.20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1F75" w14:textId="17CB555F" w:rsidR="008C505D" w:rsidRPr="00A069A7" w:rsidRDefault="00201DC1">
            <w:pPr>
              <w:rPr>
                <w:lang w:val="en-GB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OPE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α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opex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I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A770" w14:textId="77777777" w:rsidR="008C505D" w:rsidRDefault="00000000">
            <w:r>
              <w:rPr>
                <w:color w:val="333333"/>
                <w:sz w:val="18"/>
                <w:szCs w:val="18"/>
              </w:rPr>
              <w:t>Годовой OPEX</w:t>
            </w:r>
          </w:p>
        </w:tc>
      </w:tr>
      <w:tr w:rsidR="008C505D" w14:paraId="318062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EBE8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Ф.4.21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FC13" w14:textId="25F5432F" w:rsidR="008C505D" w:rsidRPr="00A069A7" w:rsidRDefault="00201DC1">
            <w:pPr>
              <w:rPr>
                <w:lang w:val="en-GB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W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α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wc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⋅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en-GB"/>
                  </w:rPr>
                  <m:t>OPE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en-GB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21BE" w14:textId="77777777" w:rsidR="008C505D" w:rsidRDefault="00000000">
            <w:r>
              <w:rPr>
                <w:color w:val="333333"/>
                <w:sz w:val="18"/>
                <w:szCs w:val="18"/>
              </w:rPr>
              <w:t>Оборотный капитал</w:t>
            </w:r>
          </w:p>
        </w:tc>
      </w:tr>
      <w:tr w:rsidR="008C505D" w14:paraId="52AB6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025E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Ф.4.22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A6D7" w14:textId="5FEE6566" w:rsidR="008C505D" w:rsidRDefault="00201DC1"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syn,4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≠</m:t>
                    </m:r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F264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γ</m:t>
                        </m:r>
                        <m:ctrlP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F2640"/>
                            <w:sz w:val="18"/>
                            <w:szCs w:val="18"/>
                          </w:rPr>
                          <m:t>4j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6603" w14:textId="77777777" w:rsidR="008C505D" w:rsidRDefault="00000000">
            <w:r>
              <w:rPr>
                <w:color w:val="333333"/>
                <w:sz w:val="18"/>
                <w:szCs w:val="18"/>
              </w:rPr>
              <w:t>Синергия Кластера IV</w:t>
            </w:r>
          </w:p>
        </w:tc>
      </w:tr>
      <w:tr w:rsidR="008C505D" w14:paraId="58B2FB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0D1A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Ф.4.24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6BA0" w14:textId="3DF69278" w:rsidR="008C505D" w:rsidRPr="00A069A7" w:rsidRDefault="00201DC1">
            <w:pPr>
              <w:rPr>
                <w:lang w:val="fr-FR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min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1</m:t>
                </m:r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900D" w14:textId="77777777" w:rsidR="008C505D" w:rsidRDefault="00000000">
            <w:r>
              <w:rPr>
                <w:color w:val="333333"/>
                <w:sz w:val="18"/>
                <w:szCs w:val="18"/>
              </w:rPr>
              <w:t>Критическое ограничение реализации</w:t>
            </w:r>
          </w:p>
        </w:tc>
      </w:tr>
      <w:tr w:rsidR="008C505D" w14:paraId="173B3D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AAC2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Ф.4.25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B3F0" w14:textId="1A77462A" w:rsidR="008C505D" w:rsidRPr="00A069A7" w:rsidRDefault="00201DC1">
            <w:pPr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,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,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C166" w14:textId="77777777" w:rsidR="008C505D" w:rsidRDefault="00000000">
            <w:r>
              <w:rPr>
                <w:color w:val="333333"/>
                <w:sz w:val="18"/>
                <w:szCs w:val="18"/>
              </w:rPr>
              <w:t>Зависимость эконом. кластеров от IV</w:t>
            </w:r>
          </w:p>
        </w:tc>
      </w:tr>
      <w:tr w:rsidR="008C505D" w14:paraId="6D8B29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6A63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Ф.4.26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4E80" w14:textId="0876A0F1" w:rsidR="008C505D" w:rsidRPr="00A069A7" w:rsidRDefault="00201DC1">
            <w:pPr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5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,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≤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6BFB" w14:textId="77777777" w:rsidR="008C505D" w:rsidRDefault="00000000">
            <w:r>
              <w:rPr>
                <w:color w:val="333333"/>
                <w:sz w:val="18"/>
                <w:szCs w:val="18"/>
              </w:rPr>
              <w:t>Зависимость IV от кадров и энергии</w:t>
            </w:r>
          </w:p>
        </w:tc>
      </w:tr>
      <w:tr w:rsidR="008C505D" w14:paraId="13672A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2249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Ф.4.27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1046" w14:textId="6C800790" w:rsidR="008C505D" w:rsidRPr="00A069A7" w:rsidRDefault="00201DC1">
            <w:pPr>
              <w:rPr>
                <w:lang w:val="fr-F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Δ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T=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α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  <w:lang w:val="fr-FR"/>
                  </w:rPr>
                  <m:t>⋅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T</m:t>
                    </m:r>
                    <m:ctrlP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</m:ctrlP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  <w:lang w:val="fr-FR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51C0" w14:textId="77777777" w:rsidR="008C505D" w:rsidRDefault="00000000">
            <w:r>
              <w:rPr>
                <w:color w:val="333333"/>
                <w:sz w:val="18"/>
                <w:szCs w:val="18"/>
              </w:rPr>
              <w:t>Фискальный эффект (налоги)</w:t>
            </w:r>
          </w:p>
        </w:tc>
      </w:tr>
      <w:tr w:rsidR="008C505D" w14:paraId="4F39BA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9ACB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Ф.4.28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EB3" w14:textId="12B0911E" w:rsidR="008C505D" w:rsidRDefault="00201DC1"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</m:sSub>
                <m:r>
                  <m:rPr>
                    <m:lit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/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C3BB" w14:textId="77777777" w:rsidR="008C505D" w:rsidRDefault="00000000">
            <w:r>
              <w:rPr>
                <w:color w:val="333333"/>
                <w:sz w:val="18"/>
                <w:szCs w:val="18"/>
              </w:rPr>
              <w:t>Доля цифровых сервисов в ВВП</w:t>
            </w:r>
          </w:p>
        </w:tc>
      </w:tr>
      <w:tr w:rsidR="008C505D" w14:paraId="178B29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7543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Ф.4.30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80F9" w14:textId="3E7DE313" w:rsidR="008C505D" w:rsidRDefault="00201DC1">
            <m:oMathPara>
              <m:oMath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→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max</m:t>
                </m:r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D78E" w14:textId="77777777" w:rsidR="008C505D" w:rsidRDefault="00000000">
            <w:r>
              <w:rPr>
                <w:color w:val="333333"/>
                <w:sz w:val="18"/>
                <w:szCs w:val="18"/>
              </w:rPr>
              <w:t>Интегральная целевая функция</w:t>
            </w:r>
          </w:p>
        </w:tc>
      </w:tr>
      <w:tr w:rsidR="008C505D" w14:paraId="399920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1460" w14:textId="77777777" w:rsidR="008C505D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Ф.4.32</w:t>
            </w:r>
          </w:p>
        </w:tc>
        <w:tc>
          <w:tcPr>
            <w:tcW w:w="3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9373" w14:textId="3C023560" w:rsidR="008C505D" w:rsidRDefault="00201DC1"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∂</m:t>
                </m:r>
                <m: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F</m:t>
                </m:r>
                <m:r>
                  <m:rPr>
                    <m:lit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F2640"/>
                    <w:sz w:val="18"/>
                    <w:szCs w:val="18"/>
                  </w:rPr>
                  <m:t>∂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F264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F2640"/>
                        <w:sz w:val="18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5DD2" w14:textId="77777777" w:rsidR="008C505D" w:rsidRDefault="00000000">
            <w:r>
              <w:rPr>
                <w:color w:val="333333"/>
                <w:sz w:val="18"/>
                <w:szCs w:val="18"/>
              </w:rPr>
              <w:t>Предельный эффект наращивания x₄</w:t>
            </w:r>
          </w:p>
        </w:tc>
      </w:tr>
    </w:tbl>
    <w:p w14:paraId="427609DE" w14:textId="77777777" w:rsidR="008C505D" w:rsidRDefault="00000000">
      <w:pPr>
        <w:spacing w:before="60" w:after="80" w:line="280" w:lineRule="auto"/>
        <w:jc w:val="both"/>
      </w:pPr>
      <w:r>
        <w:rPr>
          <w:i/>
          <w:iCs/>
          <w:color w:val="555555"/>
          <w:sz w:val="20"/>
          <w:szCs w:val="20"/>
        </w:rPr>
        <w:t xml:space="preserve">Таблица Б.4.2. Свод математических формул Кластера IV (Цифровая платформа). Нотация: </w:t>
      </w:r>
      <w:proofErr w:type="spellStart"/>
      <w:r>
        <w:rPr>
          <w:i/>
          <w:iCs/>
          <w:color w:val="555555"/>
          <w:sz w:val="20"/>
          <w:szCs w:val="20"/>
        </w:rPr>
        <w:t>LaTeX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45655759" w14:textId="77777777" w:rsidR="008C505D" w:rsidRDefault="008C505D">
      <w:pPr>
        <w:pBdr>
          <w:bottom w:val="single" w:sz="4" w:space="1" w:color="C8BFAD"/>
        </w:pBdr>
        <w:spacing w:before="200" w:after="200"/>
      </w:pPr>
    </w:p>
    <w:p w14:paraId="5BD4D908" w14:textId="77777777" w:rsidR="008C505D" w:rsidRDefault="00000000">
      <w:pPr>
        <w:pStyle w:val="2"/>
      </w:pPr>
      <w:r>
        <w:t>Заключение: математический профиль Кластера IV</w:t>
      </w:r>
    </w:p>
    <w:p w14:paraId="0F96F0BC" w14:textId="77777777" w:rsidR="008C505D" w:rsidRDefault="00000000">
      <w:pPr>
        <w:spacing w:before="80" w:after="80" w:line="280" w:lineRule="auto"/>
        <w:jc w:val="both"/>
      </w:pPr>
      <w:r>
        <w:t xml:space="preserve">Проведённая формализация подтверждает, что Кластер IV обладает </w:t>
      </w:r>
      <w:r>
        <w:rPr>
          <w:b/>
          <w:bCs/>
        </w:rPr>
        <w:t>тройным математическим преимуществом</w:t>
      </w:r>
      <w:r>
        <w:t xml:space="preserve"> перед другими кластерами платформы:</w:t>
      </w:r>
    </w:p>
    <w:p w14:paraId="2C9E1432" w14:textId="77777777" w:rsidR="008C505D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Во-первых, </w:t>
      </w:r>
      <w:r>
        <w:t>нелинейность роста ценности — закон Меткалфа (Ф.4.3) обусловливает ускоряющийся возврат на инвестиции по мере подключения новых участников: при росте n в 4 раза ценность V растёт в 16 раз.</w:t>
      </w:r>
    </w:p>
    <w:p w14:paraId="477988F9" w14:textId="77777777" w:rsidR="008C505D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Во-вторых, </w:t>
      </w:r>
      <w:r>
        <w:t>универсальность синергии — Кластер IV — единственный кластер с γ₄</w:t>
      </w:r>
      <w:proofErr w:type="gramStart"/>
      <w:r>
        <w:t>ⱼ &gt;</w:t>
      </w:r>
      <w:proofErr w:type="gramEnd"/>
      <w:r>
        <w:t xml:space="preserve"> 0 для всех j ≠ 4 (Ф.4.22). Предельный эффект ∂F/∂x₄ (Ф.4.32) положителен при любых значениях остальных переменных.</w:t>
      </w:r>
    </w:p>
    <w:p w14:paraId="1C8884E3" w14:textId="77777777" w:rsidR="008C505D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В-третьих, </w:t>
      </w:r>
      <w:r>
        <w:t>критическая обязательность — ограничение x₄^</w:t>
      </w:r>
      <w:proofErr w:type="spellStart"/>
      <w:r>
        <w:t>min</w:t>
      </w:r>
      <w:proofErr w:type="spellEnd"/>
      <w:r>
        <w:t xml:space="preserve"> ≤ x₄ (Ф.4.24) и цепочка зависимостей x₁, x₂, x₃ ≤ x₄ (Ф.4.25) означают, что пренебрежение развитием платформы разрушает системность всего портфеля: без цифрового ядра инвестиции в физическую инфраструктуру не реализуют заложенный </w:t>
      </w:r>
      <w:proofErr w:type="spellStart"/>
      <w:r>
        <w:t>мультипликатив</w:t>
      </w:r>
      <w:proofErr w:type="spellEnd"/>
      <w:r>
        <w:t>.</w:t>
      </w:r>
    </w:p>
    <w:p w14:paraId="3C5EB66E" w14:textId="77777777" w:rsidR="008C505D" w:rsidRDefault="008C505D"/>
    <w:p w14:paraId="18897C1F" w14:textId="77777777" w:rsidR="008C505D" w:rsidRDefault="00000000">
      <w:pPr>
        <w:spacing w:before="80" w:after="80" w:line="280" w:lineRule="auto"/>
        <w:jc w:val="both"/>
      </w:pPr>
      <w:r>
        <w:rPr>
          <w:i/>
          <w:iCs/>
          <w:color w:val="555555"/>
          <w:sz w:val="20"/>
          <w:szCs w:val="20"/>
        </w:rPr>
        <w:t xml:space="preserve">Все формулы настоящего документа составлены в нотации </w:t>
      </w:r>
      <w:proofErr w:type="spellStart"/>
      <w:r>
        <w:rPr>
          <w:i/>
          <w:iCs/>
          <w:color w:val="555555"/>
          <w:sz w:val="20"/>
          <w:szCs w:val="20"/>
        </w:rPr>
        <w:t>LaTeX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Cambria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Math</w:t>
      </w:r>
      <w:proofErr w:type="spellEnd"/>
      <w:r>
        <w:rPr>
          <w:i/>
          <w:iCs/>
          <w:color w:val="555555"/>
          <w:sz w:val="20"/>
          <w:szCs w:val="20"/>
        </w:rPr>
        <w:t>) и полностью согласованы с системой уравнений интегральной платформенной модели (Раздел 3.3).</w:t>
      </w:r>
    </w:p>
    <w:sectPr w:rsidR="008C505D">
      <w:headerReference w:type="default" r:id="rId7"/>
      <w:footerReference w:type="default" r:id="rId8"/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9FB42" w14:textId="77777777" w:rsidR="00B13647" w:rsidRDefault="00B13647">
      <w:r>
        <w:separator/>
      </w:r>
    </w:p>
  </w:endnote>
  <w:endnote w:type="continuationSeparator" w:id="0">
    <w:p w14:paraId="14A6DC7F" w14:textId="77777777" w:rsidR="00B13647" w:rsidRDefault="00B13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9792" w14:textId="77777777" w:rsidR="008C505D" w:rsidRDefault="00000000">
    <w:pPr>
      <w:pBdr>
        <w:top w:val="single" w:sz="4" w:space="4" w:color="C8BFAD"/>
      </w:pBdr>
      <w:jc w:val="center"/>
    </w:pPr>
    <w:r>
      <w:rPr>
        <w:color w:val="555555"/>
        <w:sz w:val="18"/>
        <w:szCs w:val="18"/>
      </w:rPr>
      <w:t xml:space="preserve">Стр.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A069A7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E02C6" w14:textId="77777777" w:rsidR="00B13647" w:rsidRDefault="00B13647">
      <w:r>
        <w:separator/>
      </w:r>
    </w:p>
  </w:footnote>
  <w:footnote w:type="continuationSeparator" w:id="0">
    <w:p w14:paraId="108C5312" w14:textId="77777777" w:rsidR="00B13647" w:rsidRDefault="00B13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BCFF8" w14:textId="77777777" w:rsidR="008C505D" w:rsidRDefault="00000000">
    <w:pPr>
      <w:pBdr>
        <w:bottom w:val="single" w:sz="4" w:space="4" w:color="1A3A5C"/>
      </w:pBdr>
      <w:jc w:val="right"/>
    </w:pPr>
    <w:r>
      <w:rPr>
        <w:rFonts w:ascii="Cambria" w:eastAsia="Cambria" w:hAnsi="Cambria" w:cs="Cambria"/>
        <w:i/>
        <w:iCs/>
        <w:color w:val="7A6C55"/>
        <w:sz w:val="18"/>
        <w:szCs w:val="18"/>
      </w:rPr>
      <w:t>Кластер IV · Цифровая платформа «Берег Восхода» · Математические формулы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204E9"/>
    <w:multiLevelType w:val="hybridMultilevel"/>
    <w:tmpl w:val="09AA3C5C"/>
    <w:lvl w:ilvl="0" w:tplc="F6FE3070">
      <w:start w:val="1"/>
      <w:numFmt w:val="bullet"/>
      <w:lvlText w:val="●"/>
      <w:lvlJc w:val="left"/>
      <w:pPr>
        <w:ind w:left="720" w:hanging="360"/>
      </w:pPr>
    </w:lvl>
    <w:lvl w:ilvl="1" w:tplc="C6F07A1E">
      <w:start w:val="1"/>
      <w:numFmt w:val="bullet"/>
      <w:lvlText w:val="○"/>
      <w:lvlJc w:val="left"/>
      <w:pPr>
        <w:ind w:left="1440" w:hanging="360"/>
      </w:pPr>
    </w:lvl>
    <w:lvl w:ilvl="2" w:tplc="46405CA2">
      <w:start w:val="1"/>
      <w:numFmt w:val="bullet"/>
      <w:lvlText w:val="■"/>
      <w:lvlJc w:val="left"/>
      <w:pPr>
        <w:ind w:left="2160" w:hanging="360"/>
      </w:pPr>
    </w:lvl>
    <w:lvl w:ilvl="3" w:tplc="1F1E33C8">
      <w:start w:val="1"/>
      <w:numFmt w:val="bullet"/>
      <w:lvlText w:val="●"/>
      <w:lvlJc w:val="left"/>
      <w:pPr>
        <w:ind w:left="2880" w:hanging="360"/>
      </w:pPr>
    </w:lvl>
    <w:lvl w:ilvl="4" w:tplc="113EB658">
      <w:start w:val="1"/>
      <w:numFmt w:val="bullet"/>
      <w:lvlText w:val="○"/>
      <w:lvlJc w:val="left"/>
      <w:pPr>
        <w:ind w:left="3600" w:hanging="360"/>
      </w:pPr>
    </w:lvl>
    <w:lvl w:ilvl="5" w:tplc="D1AAFF2A">
      <w:start w:val="1"/>
      <w:numFmt w:val="bullet"/>
      <w:lvlText w:val="■"/>
      <w:lvlJc w:val="left"/>
      <w:pPr>
        <w:ind w:left="4320" w:hanging="360"/>
      </w:pPr>
    </w:lvl>
    <w:lvl w:ilvl="6" w:tplc="9C7CCA7E">
      <w:start w:val="1"/>
      <w:numFmt w:val="bullet"/>
      <w:lvlText w:val="●"/>
      <w:lvlJc w:val="left"/>
      <w:pPr>
        <w:ind w:left="5040" w:hanging="360"/>
      </w:pPr>
    </w:lvl>
    <w:lvl w:ilvl="7" w:tplc="E03AB1FA">
      <w:start w:val="1"/>
      <w:numFmt w:val="bullet"/>
      <w:lvlText w:val="●"/>
      <w:lvlJc w:val="left"/>
      <w:pPr>
        <w:ind w:left="5760" w:hanging="360"/>
      </w:pPr>
    </w:lvl>
    <w:lvl w:ilvl="8" w:tplc="726861AC">
      <w:start w:val="1"/>
      <w:numFmt w:val="bullet"/>
      <w:lvlText w:val="●"/>
      <w:lvlJc w:val="left"/>
      <w:pPr>
        <w:ind w:left="6480" w:hanging="360"/>
      </w:pPr>
    </w:lvl>
  </w:abstractNum>
  <w:num w:numId="1" w16cid:durableId="2082484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5D"/>
    <w:rsid w:val="00201DC1"/>
    <w:rsid w:val="008C505D"/>
    <w:rsid w:val="00A069A7"/>
    <w:rsid w:val="00B13647"/>
    <w:rsid w:val="00C8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33098"/>
  <w15:docId w15:val="{E24098D0-ED07-4166-9180-0491D442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40" w:after="160"/>
      <w:outlineLvl w:val="0"/>
    </w:pPr>
    <w:rPr>
      <w:rFonts w:ascii="Cambria" w:eastAsia="Cambria" w:hAnsi="Cambria" w:cs="Cambria"/>
      <w:b/>
      <w:bCs/>
      <w:color w:val="0F2640"/>
      <w:sz w:val="30"/>
      <w:szCs w:val="30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rFonts w:ascii="Cambria" w:eastAsia="Cambria" w:hAnsi="Cambria" w:cs="Cambria"/>
      <w:b/>
      <w:bCs/>
      <w:color w:val="1A3A5C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80"/>
      <w:outlineLvl w:val="2"/>
    </w:pPr>
    <w:rPr>
      <w:rFonts w:ascii="Cambria" w:eastAsia="Cambria" w:hAnsi="Cambria" w:cs="Cambria"/>
      <w:b/>
      <w:bCs/>
      <w:i/>
      <w:iCs/>
      <w:color w:val="1A4D2E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2458</Words>
  <Characters>14015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Mandritsa</cp:lastModifiedBy>
  <cp:revision>2</cp:revision>
  <dcterms:created xsi:type="dcterms:W3CDTF">2026-02-23T08:38:00Z</dcterms:created>
  <dcterms:modified xsi:type="dcterms:W3CDTF">2026-02-23T09:00:00Z</dcterms:modified>
</cp:coreProperties>
</file>