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FAF22" w14:textId="77777777" w:rsidR="005804A7" w:rsidRPr="000E4C65" w:rsidRDefault="00000000">
      <w:pPr>
        <w:ind w:firstLine="0"/>
        <w:jc w:val="both"/>
        <w:rPr>
          <w:lang w:val="ru-RU"/>
        </w:rPr>
      </w:pPr>
      <w:r w:rsidRPr="000E4C65">
        <w:rPr>
          <w:b/>
          <w:lang w:val="ru-RU"/>
        </w:rPr>
        <w:t xml:space="preserve">3.3.4. Кластер </w:t>
      </w:r>
      <w:r>
        <w:rPr>
          <w:b/>
        </w:rPr>
        <w:t>IV</w:t>
      </w:r>
      <w:r w:rsidRPr="000E4C65">
        <w:rPr>
          <w:b/>
          <w:lang w:val="ru-RU"/>
        </w:rPr>
        <w:t xml:space="preserve"> — Цифровая платформа и данные</w:t>
      </w:r>
    </w:p>
    <w:p w14:paraId="412E8FE8" w14:textId="77777777" w:rsidR="005804A7" w:rsidRPr="000E4C65" w:rsidRDefault="00000000">
      <w:pPr>
        <w:jc w:val="both"/>
        <w:rPr>
          <w:lang w:val="ru-RU"/>
        </w:rPr>
      </w:pPr>
      <w:r w:rsidRPr="000E4C65">
        <w:rPr>
          <w:lang w:val="ru-RU"/>
        </w:rPr>
        <w:t xml:space="preserve">Кластер </w:t>
      </w:r>
      <w:r>
        <w:t>IV</w:t>
      </w:r>
      <w:r w:rsidRPr="000E4C65">
        <w:rPr>
          <w:lang w:val="ru-RU"/>
        </w:rPr>
        <w:t xml:space="preserve"> представляет собой цифровую платформу проекта «Берег Восхода», которая обеспечивает сквозную координацию всех остальных кластеров, снижает транзакционные издержки, повышает прозрачность и управляемость экономических процессов. В отличие от традиционных ИКТ-проектов, кластер </w:t>
      </w:r>
      <w:r>
        <w:t>IV</w:t>
      </w:r>
      <w:r w:rsidRPr="000E4C65">
        <w:rPr>
          <w:lang w:val="ru-RU"/>
        </w:rPr>
        <w:t xml:space="preserve"> рассматривается не как вспомогательный сервис, а как самостоятельный фактор роста, формирующий цифровую инфраструктуру доверия и новую отрасль экономики данных.</w:t>
      </w:r>
    </w:p>
    <w:p w14:paraId="325387FB" w14:textId="77777777" w:rsidR="005804A7" w:rsidRPr="000E4C65" w:rsidRDefault="00000000">
      <w:pPr>
        <w:jc w:val="both"/>
        <w:rPr>
          <w:lang w:val="ru-RU"/>
        </w:rPr>
      </w:pPr>
      <w:r w:rsidRPr="000E4C65">
        <w:rPr>
          <w:lang w:val="ru-RU"/>
        </w:rPr>
        <w:t xml:space="preserve">Функционально платформа включает: модуль </w:t>
      </w:r>
      <w:r>
        <w:t>Logistics</w:t>
      </w:r>
      <w:r w:rsidRPr="000E4C65">
        <w:rPr>
          <w:lang w:val="ru-RU"/>
        </w:rPr>
        <w:t xml:space="preserve"> (логистика и портовые операторы), модуль </w:t>
      </w:r>
      <w:proofErr w:type="spellStart"/>
      <w:r>
        <w:t>Agro</w:t>
      </w:r>
      <w:proofErr w:type="spellEnd"/>
      <w:r w:rsidRPr="000E4C65">
        <w:rPr>
          <w:lang w:val="ru-RU"/>
        </w:rPr>
        <w:t xml:space="preserve"> (агропереработка и </w:t>
      </w:r>
      <w:proofErr w:type="spellStart"/>
      <w:r w:rsidRPr="000E4C65">
        <w:rPr>
          <w:lang w:val="ru-RU"/>
        </w:rPr>
        <w:t>трейсабилити</w:t>
      </w:r>
      <w:proofErr w:type="spellEnd"/>
      <w:r w:rsidRPr="000E4C65">
        <w:rPr>
          <w:lang w:val="ru-RU"/>
        </w:rPr>
        <w:t xml:space="preserve"> происхождения сырья), модуль </w:t>
      </w:r>
      <w:r>
        <w:t>Industry</w:t>
      </w:r>
      <w:r w:rsidRPr="000E4C65">
        <w:rPr>
          <w:lang w:val="ru-RU"/>
        </w:rPr>
        <w:t xml:space="preserve"> (СЭЗ и промышленные резиденты), модуль </w:t>
      </w:r>
      <w:r>
        <w:t>Finance</w:t>
      </w:r>
      <w:r w:rsidRPr="000E4C65">
        <w:rPr>
          <w:lang w:val="ru-RU"/>
        </w:rPr>
        <w:t xml:space="preserve"> (финансовые сервисы и СП), модуль </w:t>
      </w:r>
      <w:r>
        <w:t>Skills</w:t>
      </w:r>
      <w:r w:rsidRPr="000E4C65">
        <w:rPr>
          <w:lang w:val="ru-RU"/>
        </w:rPr>
        <w:t xml:space="preserve"> (кадры и образование) и модуль </w:t>
      </w:r>
      <w:r>
        <w:t>Governance</w:t>
      </w:r>
      <w:r w:rsidRPr="000E4C65">
        <w:rPr>
          <w:lang w:val="ru-RU"/>
        </w:rPr>
        <w:t xml:space="preserve"> (госуправление, мониторинг </w:t>
      </w:r>
      <w:r>
        <w:t>KPI</w:t>
      </w:r>
      <w:r w:rsidRPr="000E4C65">
        <w:rPr>
          <w:lang w:val="ru-RU"/>
        </w:rPr>
        <w:t xml:space="preserve"> и стратегический </w:t>
      </w:r>
      <w:proofErr w:type="spellStart"/>
      <w:r w:rsidRPr="000E4C65">
        <w:rPr>
          <w:lang w:val="ru-RU"/>
        </w:rPr>
        <w:t>дашбординг</w:t>
      </w:r>
      <w:proofErr w:type="spellEnd"/>
      <w:r w:rsidRPr="000E4C65">
        <w:rPr>
          <w:lang w:val="ru-RU"/>
        </w:rPr>
        <w:t>). Через эту архитектуру реализуется сквозной обмен данными между государством, бизнесом и международными партнёрами.</w:t>
      </w:r>
    </w:p>
    <w:p w14:paraId="499473B6" w14:textId="77777777" w:rsidR="005804A7" w:rsidRPr="000E4C65" w:rsidRDefault="00000000">
      <w:pPr>
        <w:jc w:val="both"/>
        <w:rPr>
          <w:lang w:val="ru-RU"/>
        </w:rPr>
      </w:pPr>
      <w:r w:rsidRPr="000E4C65">
        <w:rPr>
          <w:b/>
          <w:lang w:val="ru-RU"/>
        </w:rPr>
        <w:t xml:space="preserve">Рисунок 3.3.4 – Логическая архитектура цифровой платформы кластера </w:t>
      </w:r>
      <w:r>
        <w:rPr>
          <w:b/>
        </w:rPr>
        <w:t>IV</w:t>
      </w:r>
      <w:r w:rsidRPr="000E4C65">
        <w:rPr>
          <w:b/>
          <w:lang w:val="ru-RU"/>
        </w:rPr>
        <w:t>.</w:t>
      </w:r>
    </w:p>
    <w:p w14:paraId="5F27EA8D" w14:textId="77777777" w:rsidR="005804A7" w:rsidRPr="000E4C65" w:rsidRDefault="00000000">
      <w:pPr>
        <w:jc w:val="both"/>
        <w:rPr>
          <w:lang w:val="ru-RU"/>
        </w:rPr>
      </w:pPr>
      <w:r w:rsidRPr="000E4C65">
        <w:rPr>
          <w:lang w:val="ru-RU"/>
        </w:rPr>
        <w:t xml:space="preserve">Схема кластера </w:t>
      </w:r>
      <w:r>
        <w:t>IV</w:t>
      </w:r>
      <w:r w:rsidRPr="000E4C65">
        <w:rPr>
          <w:lang w:val="ru-RU"/>
        </w:rPr>
        <w:t xml:space="preserve"> представляет цифровую платформу как ядро, к которому через </w:t>
      </w:r>
      <w:r>
        <w:t>API</w:t>
      </w:r>
      <w:r w:rsidRPr="000E4C65">
        <w:rPr>
          <w:lang w:val="ru-RU"/>
        </w:rPr>
        <w:t xml:space="preserve">-интерфейсы подключены кластеры </w:t>
      </w:r>
      <w:r>
        <w:t>I</w:t>
      </w:r>
      <w:r w:rsidRPr="000E4C65">
        <w:rPr>
          <w:lang w:val="ru-RU"/>
        </w:rPr>
        <w:t>–</w:t>
      </w:r>
      <w:r>
        <w:t>III</w:t>
      </w:r>
      <w:r w:rsidRPr="000E4C65">
        <w:rPr>
          <w:lang w:val="ru-RU"/>
        </w:rPr>
        <w:t xml:space="preserve"> и </w:t>
      </w:r>
      <w:r>
        <w:t>V</w:t>
      </w:r>
      <w:r w:rsidRPr="000E4C65">
        <w:rPr>
          <w:lang w:val="ru-RU"/>
        </w:rPr>
        <w:t>–</w:t>
      </w:r>
      <w:r>
        <w:t>IX</w:t>
      </w:r>
      <w:r w:rsidRPr="000E4C65">
        <w:rPr>
          <w:lang w:val="ru-RU"/>
        </w:rPr>
        <w:t>. На уровне ядра реализуются сервисы идентификации участников, управления доступом к данным, обработки потоков транзакций и аналитики. На периферии – доменные приложения (</w:t>
      </w:r>
      <w:proofErr w:type="spellStart"/>
      <w:r>
        <w:t>Agro</w:t>
      </w:r>
      <w:proofErr w:type="spellEnd"/>
      <w:r w:rsidRPr="000E4C65">
        <w:rPr>
          <w:lang w:val="ru-RU"/>
        </w:rPr>
        <w:t xml:space="preserve">, </w:t>
      </w:r>
      <w:r>
        <w:t>Logistics</w:t>
      </w:r>
      <w:r w:rsidRPr="000E4C65">
        <w:rPr>
          <w:lang w:val="ru-RU"/>
        </w:rPr>
        <w:t xml:space="preserve">, </w:t>
      </w:r>
      <w:r>
        <w:t>Industry</w:t>
      </w:r>
      <w:r w:rsidRPr="000E4C65">
        <w:rPr>
          <w:lang w:val="ru-RU"/>
        </w:rPr>
        <w:t xml:space="preserve">, </w:t>
      </w:r>
      <w:r>
        <w:t>Finance</w:t>
      </w:r>
      <w:r w:rsidRPr="000E4C65">
        <w:rPr>
          <w:lang w:val="ru-RU"/>
        </w:rPr>
        <w:t xml:space="preserve">, </w:t>
      </w:r>
      <w:r>
        <w:t>Skills</w:t>
      </w:r>
      <w:r w:rsidRPr="000E4C65">
        <w:rPr>
          <w:lang w:val="ru-RU"/>
        </w:rPr>
        <w:t xml:space="preserve">, </w:t>
      </w:r>
      <w:r>
        <w:t>Governance</w:t>
      </w:r>
      <w:r w:rsidRPr="000E4C65">
        <w:rPr>
          <w:lang w:val="ru-RU"/>
        </w:rPr>
        <w:t xml:space="preserve">), обеспечивающие отраслевые функции. Платформа работает в гибридной архитектуре (частное и </w:t>
      </w:r>
      <w:r w:rsidRPr="000E4C65">
        <w:rPr>
          <w:lang w:val="ru-RU"/>
        </w:rPr>
        <w:lastRenderedPageBreak/>
        <w:t>публичное облако) с опорой на национальные ЦОД и партнёрские региональные инфраструктуры.</w:t>
      </w:r>
    </w:p>
    <w:p w14:paraId="195E1079" w14:textId="77777777" w:rsidR="005804A7" w:rsidRPr="000E4C65" w:rsidRDefault="00000000">
      <w:pPr>
        <w:jc w:val="both"/>
        <w:rPr>
          <w:lang w:val="ru-RU"/>
        </w:rPr>
      </w:pPr>
      <w:r w:rsidRPr="000E4C65">
        <w:rPr>
          <w:lang w:val="ru-RU"/>
        </w:rPr>
        <w:t>Вывод по рисунку 3.3.4: цифровой кластер выступает «операционной системой» для проекта «Берег Восхода», создавая единое пространство данных, на котором настраиваются отраслевые сервисы и бизнес-модели остальных кластеров. Это переводит проект из логики разрозненных инвестиционных объектов в режим управляемой платформенной экосистемы.</w:t>
      </w:r>
    </w:p>
    <w:p w14:paraId="48AA9EFD" w14:textId="77777777" w:rsidR="005804A7" w:rsidRPr="000E4C65" w:rsidRDefault="00000000">
      <w:pPr>
        <w:ind w:firstLine="0"/>
        <w:jc w:val="both"/>
        <w:rPr>
          <w:lang w:val="ru-RU"/>
        </w:rPr>
      </w:pPr>
      <w:r w:rsidRPr="000E4C65">
        <w:rPr>
          <w:b/>
          <w:lang w:val="ru-RU"/>
        </w:rPr>
        <w:t>Основные аттракторы и участники (кадровая и институциональная структура)</w:t>
      </w:r>
    </w:p>
    <w:p w14:paraId="54A2301E" w14:textId="77777777" w:rsidR="005804A7" w:rsidRPr="000E4C65" w:rsidRDefault="00000000">
      <w:pPr>
        <w:jc w:val="both"/>
        <w:rPr>
          <w:lang w:val="ru-RU"/>
        </w:rPr>
      </w:pPr>
      <w:r w:rsidRPr="000E4C65">
        <w:rPr>
          <w:lang w:val="ru-RU"/>
        </w:rPr>
        <w:t xml:space="preserve">Институциональными аттракторами кластера </w:t>
      </w:r>
      <w:r>
        <w:t>IV</w:t>
      </w:r>
      <w:r w:rsidRPr="000E4C65">
        <w:rPr>
          <w:lang w:val="ru-RU"/>
        </w:rPr>
        <w:t xml:space="preserve"> являются: национальные органы цифрового развития и кибербезопасности, операторы центров обработки данных, ведущие телеком-компании, банковский и финтех-сектор, а также международные партнёры по развитию (разрабатывающие цифровую инфраструктуру и регуляторную базу). Важную роль играют частные </w:t>
      </w:r>
      <w:r>
        <w:t>IT</w:t>
      </w:r>
      <w:r w:rsidRPr="000E4C65">
        <w:rPr>
          <w:lang w:val="ru-RU"/>
        </w:rPr>
        <w:t>-компании и стартапы, которые выступают разработчиками модулей и сервисов на платформе.</w:t>
      </w:r>
    </w:p>
    <w:p w14:paraId="6D1CD16D" w14:textId="77777777" w:rsidR="005804A7" w:rsidRPr="000E4C65" w:rsidRDefault="00000000">
      <w:pPr>
        <w:jc w:val="both"/>
        <w:rPr>
          <w:lang w:val="ru-RU"/>
        </w:rPr>
      </w:pPr>
      <w:r w:rsidRPr="000E4C65">
        <w:rPr>
          <w:lang w:val="ru-RU"/>
        </w:rPr>
        <w:t>Кадровая архитектура включает следующие ключевые группы: разработчики и архитекторы программного обеспечения; специалисты по кибербезопасности критической инфраструктуры; инженеры по работе с данными (</w:t>
      </w:r>
      <w:r>
        <w:t>data</w:t>
      </w:r>
      <w:r w:rsidRPr="000E4C65">
        <w:rPr>
          <w:lang w:val="ru-RU"/>
        </w:rPr>
        <w:t xml:space="preserve"> </w:t>
      </w:r>
      <w:r>
        <w:t>engineers</w:t>
      </w:r>
      <w:r w:rsidRPr="000E4C65">
        <w:rPr>
          <w:lang w:val="ru-RU"/>
        </w:rPr>
        <w:t>) и аналитики (</w:t>
      </w:r>
      <w:r>
        <w:t>data</w:t>
      </w:r>
      <w:r w:rsidRPr="000E4C65">
        <w:rPr>
          <w:lang w:val="ru-RU"/>
        </w:rPr>
        <w:t xml:space="preserve"> </w:t>
      </w:r>
      <w:r>
        <w:t>scientists</w:t>
      </w:r>
      <w:r w:rsidRPr="000E4C65">
        <w:rPr>
          <w:lang w:val="ru-RU"/>
        </w:rPr>
        <w:t>); специалисты по управлению цифровыми продуктами (</w:t>
      </w:r>
      <w:r>
        <w:t>product</w:t>
      </w:r>
      <w:r w:rsidRPr="000E4C65">
        <w:rPr>
          <w:lang w:val="ru-RU"/>
        </w:rPr>
        <w:t xml:space="preserve"> </w:t>
      </w:r>
      <w:r>
        <w:t>owners</w:t>
      </w:r>
      <w:r w:rsidRPr="000E4C65">
        <w:rPr>
          <w:lang w:val="ru-RU"/>
        </w:rPr>
        <w:t xml:space="preserve">, </w:t>
      </w:r>
      <w:r>
        <w:t>business</w:t>
      </w:r>
      <w:r w:rsidRPr="000E4C65">
        <w:rPr>
          <w:lang w:val="ru-RU"/>
        </w:rPr>
        <w:t xml:space="preserve"> </w:t>
      </w:r>
      <w:r>
        <w:t>analysts</w:t>
      </w:r>
      <w:r w:rsidRPr="000E4C65">
        <w:rPr>
          <w:lang w:val="ru-RU"/>
        </w:rPr>
        <w:t xml:space="preserve">); администраторы систем и сетей; специалисты по сопровождению пользователей и обучению. Оценочно, при полном развёртывании платформы формируется не менее 15–20 тыс. </w:t>
      </w:r>
      <w:r w:rsidRPr="000E4C65">
        <w:rPr>
          <w:lang w:val="ru-RU"/>
        </w:rPr>
        <w:lastRenderedPageBreak/>
        <w:t>высококвалифицированных рабочих мест в ИКТ-секторе и связанных с ним сервисах.</w:t>
      </w:r>
    </w:p>
    <w:p w14:paraId="059B3D56" w14:textId="77777777" w:rsidR="005804A7" w:rsidRPr="000E4C65" w:rsidRDefault="00000000">
      <w:pPr>
        <w:ind w:firstLine="0"/>
        <w:jc w:val="both"/>
        <w:rPr>
          <w:lang w:val="ru-RU"/>
        </w:rPr>
      </w:pPr>
      <w:r w:rsidRPr="000E4C65">
        <w:rPr>
          <w:b/>
          <w:lang w:val="ru-RU"/>
        </w:rPr>
        <w:t>Стратегическая цель и целевые показатели цифрового кластера</w:t>
      </w:r>
    </w:p>
    <w:p w14:paraId="2F8CADBD" w14:textId="77777777" w:rsidR="005804A7" w:rsidRPr="000E4C65" w:rsidRDefault="00000000">
      <w:pPr>
        <w:jc w:val="both"/>
        <w:rPr>
          <w:lang w:val="ru-RU"/>
        </w:rPr>
      </w:pPr>
      <w:r w:rsidRPr="000E4C65">
        <w:rPr>
          <w:lang w:val="ru-RU"/>
        </w:rPr>
        <w:t xml:space="preserve">Стратегическая цель кластера </w:t>
      </w:r>
      <w:r>
        <w:t>IV</w:t>
      </w:r>
      <w:r w:rsidRPr="000E4C65">
        <w:rPr>
          <w:lang w:val="ru-RU"/>
        </w:rPr>
        <w:t xml:space="preserve"> – обеспечить снижение транзакционных издержек в экономике на 2–3 процентных пункта ВВП, повышение собираемости доходов государства, рост доверия между участниками рынка и создание новых цифровых сервисов для бизнеса и населения. Реализация платформы позволяет также монетизировать данные как новый актив экономики, через аналитику, прогнозирование и цифровые финансовые продукты.</w:t>
      </w:r>
    </w:p>
    <w:p w14:paraId="42F1E68E" w14:textId="77777777" w:rsidR="005804A7" w:rsidRPr="000E4C65" w:rsidRDefault="00000000">
      <w:pPr>
        <w:ind w:firstLine="0"/>
        <w:jc w:val="both"/>
        <w:rPr>
          <w:lang w:val="ru-RU"/>
        </w:rPr>
      </w:pPr>
      <w:r w:rsidRPr="000E4C65">
        <w:rPr>
          <w:b/>
          <w:lang w:val="ru-RU"/>
        </w:rPr>
        <w:t xml:space="preserve">Таблица 3.3.4.1 – Целевые показатели кластера </w:t>
      </w:r>
      <w:r>
        <w:rPr>
          <w:b/>
        </w:rPr>
        <w:t>IV</w:t>
      </w:r>
      <w:r w:rsidRPr="000E4C65">
        <w:rPr>
          <w:b/>
          <w:lang w:val="ru-RU"/>
        </w:rPr>
        <w:t xml:space="preserve"> (ориентировочные)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456"/>
        <w:gridCol w:w="4400"/>
      </w:tblGrid>
      <w:tr w:rsidR="005804A7" w14:paraId="6F95F35B" w14:textId="77777777">
        <w:tc>
          <w:tcPr>
            <w:tcW w:w="5102" w:type="dxa"/>
          </w:tcPr>
          <w:p w14:paraId="5526A695" w14:textId="77777777" w:rsidR="005804A7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Показатель</w:t>
            </w:r>
            <w:proofErr w:type="spellEnd"/>
          </w:p>
        </w:tc>
        <w:tc>
          <w:tcPr>
            <w:tcW w:w="5102" w:type="dxa"/>
          </w:tcPr>
          <w:p w14:paraId="46D18988" w14:textId="77777777" w:rsidR="005804A7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Ориентир к 2035 г.</w:t>
            </w:r>
          </w:p>
        </w:tc>
      </w:tr>
      <w:tr w:rsidR="005804A7" w14:paraId="24F951B3" w14:textId="77777777">
        <w:tc>
          <w:tcPr>
            <w:tcW w:w="5102" w:type="dxa"/>
          </w:tcPr>
          <w:p w14:paraId="66A5D8CD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Снижение транзакционных издержек</w:t>
            </w:r>
          </w:p>
        </w:tc>
        <w:tc>
          <w:tcPr>
            <w:tcW w:w="5102" w:type="dxa"/>
          </w:tcPr>
          <w:p w14:paraId="037B1C4C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2–3 п.п. ВВП</w:t>
            </w:r>
          </w:p>
        </w:tc>
      </w:tr>
      <w:tr w:rsidR="005804A7" w14:paraId="21B7D292" w14:textId="77777777">
        <w:tc>
          <w:tcPr>
            <w:tcW w:w="5102" w:type="dxa"/>
          </w:tcPr>
          <w:p w14:paraId="0BBFFB73" w14:textId="77777777" w:rsidR="005804A7" w:rsidRPr="000E4C65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0E4C65">
              <w:rPr>
                <w:lang w:val="ru-RU"/>
              </w:rPr>
              <w:t>Доля цифровых сервисов в ВВП</w:t>
            </w:r>
          </w:p>
        </w:tc>
        <w:tc>
          <w:tcPr>
            <w:tcW w:w="5102" w:type="dxa"/>
          </w:tcPr>
          <w:p w14:paraId="5F1E1FD3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1,0–1,5 %</w:t>
            </w:r>
          </w:p>
        </w:tc>
      </w:tr>
      <w:tr w:rsidR="005804A7" w14:paraId="71E8D383" w14:textId="77777777">
        <w:tc>
          <w:tcPr>
            <w:tcW w:w="5102" w:type="dxa"/>
          </w:tcPr>
          <w:p w14:paraId="2415FA9D" w14:textId="77777777" w:rsidR="005804A7" w:rsidRPr="000E4C65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0E4C65">
              <w:rPr>
                <w:lang w:val="ru-RU"/>
              </w:rPr>
              <w:t>Рост собираемости налогов и сборов</w:t>
            </w:r>
          </w:p>
        </w:tc>
        <w:tc>
          <w:tcPr>
            <w:tcW w:w="5102" w:type="dxa"/>
          </w:tcPr>
          <w:p w14:paraId="7A3C2F20" w14:textId="77777777" w:rsidR="005804A7" w:rsidRDefault="00000000">
            <w:pPr>
              <w:spacing w:line="240" w:lineRule="auto"/>
              <w:ind w:firstLine="0"/>
              <w:jc w:val="both"/>
            </w:pPr>
            <w:r>
              <w:t xml:space="preserve">+10–15 % к </w:t>
            </w:r>
            <w:proofErr w:type="spellStart"/>
            <w:r>
              <w:t>базе</w:t>
            </w:r>
            <w:proofErr w:type="spellEnd"/>
          </w:p>
        </w:tc>
      </w:tr>
      <w:tr w:rsidR="005804A7" w14:paraId="248AC6FF" w14:textId="77777777">
        <w:tc>
          <w:tcPr>
            <w:tcW w:w="5102" w:type="dxa"/>
          </w:tcPr>
          <w:p w14:paraId="0C073038" w14:textId="77777777" w:rsidR="005804A7" w:rsidRPr="000E4C65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0E4C65">
              <w:rPr>
                <w:lang w:val="ru-RU"/>
              </w:rPr>
              <w:t>Доля операций, проходящих через платформу</w:t>
            </w:r>
          </w:p>
        </w:tc>
        <w:tc>
          <w:tcPr>
            <w:tcW w:w="5102" w:type="dxa"/>
          </w:tcPr>
          <w:p w14:paraId="0AD18FEA" w14:textId="77777777" w:rsidR="005804A7" w:rsidRDefault="00000000">
            <w:pPr>
              <w:spacing w:line="240" w:lineRule="auto"/>
              <w:ind w:firstLine="0"/>
              <w:jc w:val="both"/>
            </w:pPr>
            <w:r>
              <w:t xml:space="preserve">≥ 70 % </w:t>
            </w:r>
            <w:proofErr w:type="spellStart"/>
            <w:r>
              <w:t>экспортно-импортных</w:t>
            </w:r>
            <w:proofErr w:type="spellEnd"/>
            <w:r>
              <w:t xml:space="preserve"> </w:t>
            </w:r>
            <w:proofErr w:type="spellStart"/>
            <w:r>
              <w:t>операций</w:t>
            </w:r>
            <w:proofErr w:type="spellEnd"/>
          </w:p>
        </w:tc>
      </w:tr>
      <w:tr w:rsidR="005804A7" w14:paraId="22248AFF" w14:textId="77777777">
        <w:tc>
          <w:tcPr>
            <w:tcW w:w="5102" w:type="dxa"/>
          </w:tcPr>
          <w:p w14:paraId="7B00E6F2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Количество активных пользователей (Бизнес)</w:t>
            </w:r>
          </w:p>
        </w:tc>
        <w:tc>
          <w:tcPr>
            <w:tcW w:w="5102" w:type="dxa"/>
          </w:tcPr>
          <w:p w14:paraId="6CA8C899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≥ 50 тыс. компаний</w:t>
            </w:r>
          </w:p>
        </w:tc>
      </w:tr>
      <w:tr w:rsidR="005804A7" w14:paraId="09ED7D5F" w14:textId="77777777">
        <w:tc>
          <w:tcPr>
            <w:tcW w:w="5102" w:type="dxa"/>
          </w:tcPr>
          <w:p w14:paraId="6EF52463" w14:textId="77777777" w:rsidR="005804A7" w:rsidRPr="000E4C65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0E4C65">
              <w:rPr>
                <w:lang w:val="ru-RU"/>
              </w:rPr>
              <w:t>Количество активных пользователей (Физические лица)</w:t>
            </w:r>
          </w:p>
        </w:tc>
        <w:tc>
          <w:tcPr>
            <w:tcW w:w="5102" w:type="dxa"/>
          </w:tcPr>
          <w:p w14:paraId="4D81DC4E" w14:textId="77777777" w:rsidR="005804A7" w:rsidRDefault="00000000">
            <w:pPr>
              <w:spacing w:line="240" w:lineRule="auto"/>
              <w:ind w:firstLine="0"/>
              <w:jc w:val="both"/>
            </w:pPr>
            <w:r>
              <w:t xml:space="preserve">≥ 2 </w:t>
            </w:r>
            <w:proofErr w:type="spellStart"/>
            <w:r>
              <w:t>млн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</w:tr>
    </w:tbl>
    <w:p w14:paraId="76EF619A" w14:textId="77777777" w:rsidR="005804A7" w:rsidRPr="000E4C65" w:rsidRDefault="00000000">
      <w:pPr>
        <w:jc w:val="both"/>
        <w:rPr>
          <w:lang w:val="ru-RU"/>
        </w:rPr>
      </w:pPr>
      <w:r w:rsidRPr="000E4C65">
        <w:rPr>
          <w:lang w:val="ru-RU"/>
        </w:rPr>
        <w:t>Как видно из таблицы 3.3.4.1, эффекты цифрового кластера измеряются не только в прямом вкладе в ВВП, но и в снижении издержек, повышении собираемости доходов и росте прозрачности. Эти эффекты проявляются опосредованно, через работу остальных кластеров, и должны учитываться в интегральной модели роста как поправка к эффективности институтов и рынков.</w:t>
      </w:r>
    </w:p>
    <w:p w14:paraId="588044B5" w14:textId="77777777" w:rsidR="005804A7" w:rsidRPr="000E4C65" w:rsidRDefault="00000000">
      <w:pPr>
        <w:ind w:firstLine="0"/>
        <w:jc w:val="both"/>
        <w:rPr>
          <w:lang w:val="ru-RU"/>
        </w:rPr>
      </w:pPr>
      <w:r w:rsidRPr="000E4C65">
        <w:rPr>
          <w:b/>
          <w:lang w:val="ru-RU"/>
        </w:rPr>
        <w:t>Инвестиционная модель и основной капитал цифрового кластера</w:t>
      </w:r>
    </w:p>
    <w:p w14:paraId="4BD8C605" w14:textId="77777777" w:rsidR="005804A7" w:rsidRPr="000E4C65" w:rsidRDefault="00000000">
      <w:pPr>
        <w:jc w:val="both"/>
        <w:rPr>
          <w:lang w:val="ru-RU"/>
        </w:rPr>
      </w:pPr>
      <w:r w:rsidRPr="000E4C65">
        <w:rPr>
          <w:lang w:val="ru-RU"/>
        </w:rPr>
        <w:lastRenderedPageBreak/>
        <w:t xml:space="preserve">Инвестиционная модель кластера </w:t>
      </w:r>
      <w:r>
        <w:t>IV</w:t>
      </w:r>
      <w:r w:rsidRPr="000E4C65">
        <w:rPr>
          <w:lang w:val="ru-RU"/>
        </w:rPr>
        <w:t xml:space="preserve"> отличается относительно невысокой долей материального </w:t>
      </w:r>
      <w:r>
        <w:t>CAPEX</w:t>
      </w:r>
      <w:r w:rsidRPr="000E4C65">
        <w:rPr>
          <w:lang w:val="ru-RU"/>
        </w:rPr>
        <w:t xml:space="preserve"> по сравнению с промышленными и инфраструктурными кластерами, однако требует значительных вложений в создание программной архитектуры, центров обработки данных, сетевой инфраструктуры и систем киберзащиты. Оценочно, совокупный </w:t>
      </w:r>
      <w:r>
        <w:t>CAPEX</w:t>
      </w:r>
      <w:r w:rsidRPr="000E4C65">
        <w:rPr>
          <w:lang w:val="ru-RU"/>
        </w:rPr>
        <w:t xml:space="preserve"> цифрового кластера в рамках проекта «Берег Восхода» можно принять на уровне 0,35–0,45 млрд </w:t>
      </w:r>
      <w:r>
        <w:t>USD</w:t>
      </w:r>
      <w:r w:rsidRPr="000E4C65">
        <w:rPr>
          <w:lang w:val="ru-RU"/>
        </w:rPr>
        <w:t>, включая:</w:t>
      </w:r>
    </w:p>
    <w:p w14:paraId="563187BB" w14:textId="77777777" w:rsidR="005804A7" w:rsidRPr="000E4C65" w:rsidRDefault="00000000">
      <w:pPr>
        <w:ind w:firstLine="0"/>
        <w:jc w:val="both"/>
        <w:rPr>
          <w:lang w:val="ru-RU"/>
        </w:rPr>
      </w:pPr>
      <w:r w:rsidRPr="000E4C65">
        <w:rPr>
          <w:b/>
          <w:lang w:val="ru-RU"/>
        </w:rPr>
        <w:t xml:space="preserve">Таблица 3.3.4.2 – Ориентировочная структура </w:t>
      </w:r>
      <w:r>
        <w:rPr>
          <w:b/>
        </w:rPr>
        <w:t>CAPEX</w:t>
      </w:r>
      <w:r w:rsidRPr="000E4C65">
        <w:rPr>
          <w:b/>
          <w:lang w:val="ru-RU"/>
        </w:rPr>
        <w:t xml:space="preserve"> кластера </w:t>
      </w:r>
      <w:r>
        <w:rPr>
          <w:b/>
        </w:rPr>
        <w:t>IV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807"/>
        <w:gridCol w:w="2622"/>
        <w:gridCol w:w="2427"/>
      </w:tblGrid>
      <w:tr w:rsidR="005804A7" w14:paraId="7BF97E39" w14:textId="77777777">
        <w:tc>
          <w:tcPr>
            <w:tcW w:w="5102" w:type="dxa"/>
          </w:tcPr>
          <w:p w14:paraId="4530E993" w14:textId="77777777" w:rsidR="005804A7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Направление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инвестиций</w:t>
            </w:r>
            <w:proofErr w:type="spellEnd"/>
          </w:p>
        </w:tc>
        <w:tc>
          <w:tcPr>
            <w:tcW w:w="2268" w:type="dxa"/>
          </w:tcPr>
          <w:p w14:paraId="007D81AD" w14:textId="77777777" w:rsidR="005804A7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Ориентировочный CAPEX, млн USD</w:t>
            </w:r>
          </w:p>
        </w:tc>
        <w:tc>
          <w:tcPr>
            <w:tcW w:w="2835" w:type="dxa"/>
          </w:tcPr>
          <w:p w14:paraId="69E47215" w14:textId="77777777" w:rsidR="005804A7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Комментарий</w:t>
            </w:r>
          </w:p>
        </w:tc>
      </w:tr>
      <w:tr w:rsidR="005804A7" w14:paraId="0007A9E8" w14:textId="77777777">
        <w:tc>
          <w:tcPr>
            <w:tcW w:w="5102" w:type="dxa"/>
          </w:tcPr>
          <w:p w14:paraId="2D6C39E8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Центры обработки данных (ЦОД)</w:t>
            </w:r>
          </w:p>
        </w:tc>
        <w:tc>
          <w:tcPr>
            <w:tcW w:w="2268" w:type="dxa"/>
          </w:tcPr>
          <w:p w14:paraId="2BF65405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120–150</w:t>
            </w:r>
          </w:p>
        </w:tc>
        <w:tc>
          <w:tcPr>
            <w:tcW w:w="2835" w:type="dxa"/>
          </w:tcPr>
          <w:p w14:paraId="24021C62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Национальный ЦОД + резервные площадки</w:t>
            </w:r>
          </w:p>
        </w:tc>
      </w:tr>
      <w:tr w:rsidR="005804A7" w:rsidRPr="000E4C65" w14:paraId="44898097" w14:textId="77777777">
        <w:tc>
          <w:tcPr>
            <w:tcW w:w="5102" w:type="dxa"/>
          </w:tcPr>
          <w:p w14:paraId="410DD5A4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Платформенное ядро (software)</w:t>
            </w:r>
          </w:p>
        </w:tc>
        <w:tc>
          <w:tcPr>
            <w:tcW w:w="2268" w:type="dxa"/>
          </w:tcPr>
          <w:p w14:paraId="4AC9BC6F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80–100</w:t>
            </w:r>
          </w:p>
        </w:tc>
        <w:tc>
          <w:tcPr>
            <w:tcW w:w="2835" w:type="dxa"/>
          </w:tcPr>
          <w:p w14:paraId="384EDD38" w14:textId="77777777" w:rsidR="005804A7" w:rsidRPr="000E4C65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0E4C65">
              <w:rPr>
                <w:lang w:val="ru-RU"/>
              </w:rPr>
              <w:t xml:space="preserve">Разработка ядра, </w:t>
            </w:r>
            <w:r>
              <w:t>API</w:t>
            </w:r>
            <w:r w:rsidRPr="000E4C65">
              <w:rPr>
                <w:lang w:val="ru-RU"/>
              </w:rPr>
              <w:t>, модулей, интеграция</w:t>
            </w:r>
          </w:p>
        </w:tc>
      </w:tr>
      <w:tr w:rsidR="005804A7" w14:paraId="08158C9A" w14:textId="77777777">
        <w:tc>
          <w:tcPr>
            <w:tcW w:w="5102" w:type="dxa"/>
          </w:tcPr>
          <w:p w14:paraId="6A16F320" w14:textId="77777777" w:rsidR="005804A7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Сетевая</w:t>
            </w:r>
            <w:proofErr w:type="spellEnd"/>
            <w:r>
              <w:t xml:space="preserve"> </w:t>
            </w:r>
            <w:proofErr w:type="spellStart"/>
            <w:r>
              <w:t>инфраструктура</w:t>
            </w:r>
            <w:proofErr w:type="spellEnd"/>
            <w:r>
              <w:t xml:space="preserve"> и </w:t>
            </w:r>
            <w:proofErr w:type="spellStart"/>
            <w:r>
              <w:t>кибербезопасность</w:t>
            </w:r>
            <w:proofErr w:type="spellEnd"/>
          </w:p>
        </w:tc>
        <w:tc>
          <w:tcPr>
            <w:tcW w:w="2268" w:type="dxa"/>
          </w:tcPr>
          <w:p w14:paraId="0D79FD67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70–90</w:t>
            </w:r>
          </w:p>
        </w:tc>
        <w:tc>
          <w:tcPr>
            <w:tcW w:w="2835" w:type="dxa"/>
          </w:tcPr>
          <w:p w14:paraId="1BFB05AD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Каналы связи, оборудование, SOC</w:t>
            </w:r>
          </w:p>
        </w:tc>
      </w:tr>
      <w:tr w:rsidR="005804A7" w:rsidRPr="000E4C65" w14:paraId="630072C6" w14:textId="77777777">
        <w:tc>
          <w:tcPr>
            <w:tcW w:w="5102" w:type="dxa"/>
          </w:tcPr>
          <w:p w14:paraId="3DBF9FC0" w14:textId="77777777" w:rsidR="005804A7" w:rsidRPr="000E4C65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0E4C65">
              <w:rPr>
                <w:lang w:val="ru-RU"/>
              </w:rPr>
              <w:t>Прикладные отраслевые модули (</w:t>
            </w:r>
            <w:proofErr w:type="spellStart"/>
            <w:r>
              <w:t>Agro</w:t>
            </w:r>
            <w:proofErr w:type="spellEnd"/>
            <w:r w:rsidRPr="000E4C65">
              <w:rPr>
                <w:lang w:val="ru-RU"/>
              </w:rPr>
              <w:t xml:space="preserve">, </w:t>
            </w:r>
            <w:r>
              <w:t>Logistics</w:t>
            </w:r>
            <w:r w:rsidRPr="000E4C65">
              <w:rPr>
                <w:lang w:val="ru-RU"/>
              </w:rPr>
              <w:t xml:space="preserve">, </w:t>
            </w:r>
            <w:r>
              <w:t>Industry</w:t>
            </w:r>
            <w:r w:rsidRPr="000E4C65">
              <w:rPr>
                <w:lang w:val="ru-RU"/>
              </w:rPr>
              <w:t xml:space="preserve"> и др.)</w:t>
            </w:r>
          </w:p>
        </w:tc>
        <w:tc>
          <w:tcPr>
            <w:tcW w:w="2268" w:type="dxa"/>
          </w:tcPr>
          <w:p w14:paraId="7B605E3D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60–80</w:t>
            </w:r>
          </w:p>
        </w:tc>
        <w:tc>
          <w:tcPr>
            <w:tcW w:w="2835" w:type="dxa"/>
          </w:tcPr>
          <w:p w14:paraId="3B0C5407" w14:textId="77777777" w:rsidR="005804A7" w:rsidRPr="000E4C65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0E4C65">
              <w:rPr>
                <w:lang w:val="ru-RU"/>
              </w:rPr>
              <w:t xml:space="preserve">Доменные решения для кластеров </w:t>
            </w:r>
            <w:r>
              <w:t>I</w:t>
            </w:r>
            <w:r w:rsidRPr="000E4C65">
              <w:rPr>
                <w:lang w:val="ru-RU"/>
              </w:rPr>
              <w:t>–</w:t>
            </w:r>
            <w:r>
              <w:t>III</w:t>
            </w:r>
            <w:r w:rsidRPr="000E4C65">
              <w:rPr>
                <w:lang w:val="ru-RU"/>
              </w:rPr>
              <w:t xml:space="preserve"> и </w:t>
            </w:r>
            <w:r>
              <w:t>V</w:t>
            </w:r>
            <w:r w:rsidRPr="000E4C65">
              <w:rPr>
                <w:lang w:val="ru-RU"/>
              </w:rPr>
              <w:t>–</w:t>
            </w:r>
            <w:r>
              <w:t>IX</w:t>
            </w:r>
          </w:p>
        </w:tc>
      </w:tr>
      <w:tr w:rsidR="005804A7" w14:paraId="3216D009" w14:textId="77777777">
        <w:tc>
          <w:tcPr>
            <w:tcW w:w="5102" w:type="dxa"/>
          </w:tcPr>
          <w:p w14:paraId="233FF4CA" w14:textId="77777777" w:rsidR="005804A7" w:rsidRPr="000E4C65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0E4C65">
              <w:rPr>
                <w:lang w:val="ru-RU"/>
              </w:rPr>
              <w:t>Программы обучения и трансфер компетенций</w:t>
            </w:r>
          </w:p>
        </w:tc>
        <w:tc>
          <w:tcPr>
            <w:tcW w:w="2268" w:type="dxa"/>
          </w:tcPr>
          <w:p w14:paraId="679EC192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20–30</w:t>
            </w:r>
          </w:p>
        </w:tc>
        <w:tc>
          <w:tcPr>
            <w:tcW w:w="2835" w:type="dxa"/>
          </w:tcPr>
          <w:p w14:paraId="5074F639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Учебные центры, онлайн-платформы</w:t>
            </w:r>
          </w:p>
        </w:tc>
      </w:tr>
    </w:tbl>
    <w:p w14:paraId="3037AF41" w14:textId="77777777" w:rsidR="005804A7" w:rsidRPr="000E4C65" w:rsidRDefault="00000000">
      <w:pPr>
        <w:jc w:val="both"/>
        <w:rPr>
          <w:lang w:val="ru-RU"/>
        </w:rPr>
      </w:pPr>
      <w:r w:rsidRPr="000E4C65">
        <w:rPr>
          <w:lang w:val="ru-RU"/>
        </w:rPr>
        <w:t xml:space="preserve">Суммарный объём инвестиций в цифровой кластер может быть покрыт через комбинацию государственно-частного партнёрства (в части ЦОД и базовой инфраструктуры), международных грантов и кредитных линий на развитие цифровой экономики, а также частных вложений ИКТ-компаний и финтех-сектора. При этом, в отличие от тяжёлой промышленности, значительная часть затрат может быть </w:t>
      </w:r>
      <w:r w:rsidRPr="000E4C65">
        <w:rPr>
          <w:lang w:val="ru-RU"/>
        </w:rPr>
        <w:lastRenderedPageBreak/>
        <w:t>растянута во времени и адаптивно наращиваться по мере подключения новых модулей и пользователей.</w:t>
      </w:r>
    </w:p>
    <w:p w14:paraId="634B1D1D" w14:textId="77777777" w:rsidR="005804A7" w:rsidRPr="000E4C65" w:rsidRDefault="00000000">
      <w:pPr>
        <w:ind w:firstLine="0"/>
        <w:jc w:val="both"/>
        <w:rPr>
          <w:lang w:val="ru-RU"/>
        </w:rPr>
      </w:pPr>
      <w:r w:rsidRPr="000E4C65">
        <w:rPr>
          <w:b/>
          <w:lang w:val="ru-RU"/>
        </w:rPr>
        <w:t>Материалы, эксплуатационные и оборотные расходы</w:t>
      </w:r>
    </w:p>
    <w:p w14:paraId="53A8CCD5" w14:textId="77777777" w:rsidR="005804A7" w:rsidRPr="000E4C65" w:rsidRDefault="00000000">
      <w:pPr>
        <w:jc w:val="both"/>
        <w:rPr>
          <w:lang w:val="ru-RU"/>
        </w:rPr>
      </w:pPr>
      <w:r w:rsidRPr="000E4C65">
        <w:rPr>
          <w:lang w:val="ru-RU"/>
        </w:rPr>
        <w:t xml:space="preserve">Материальная составляющая эксплуатационных затрат кластера </w:t>
      </w:r>
      <w:r>
        <w:t>IV</w:t>
      </w:r>
      <w:r w:rsidRPr="000E4C65">
        <w:rPr>
          <w:lang w:val="ru-RU"/>
        </w:rPr>
        <w:t xml:space="preserve"> включает: серверное и сетевое оборудование, системы охлаждения и бесперебойного питания, инфраструктуру хранения данных, лицензии на программное обеспечение и услуги дата-центров (если часть мощностей арендуется). Оценочно, годовой </w:t>
      </w:r>
      <w:r>
        <w:t>OPEX</w:t>
      </w:r>
      <w:r w:rsidRPr="000E4C65">
        <w:rPr>
          <w:lang w:val="ru-RU"/>
        </w:rPr>
        <w:t xml:space="preserve"> цифрового кластера (без учёта затрат на персонал) может составлять 15–20 % от совокупного </w:t>
      </w:r>
      <w:r>
        <w:t>CAPEX</w:t>
      </w:r>
      <w:r w:rsidRPr="000E4C65">
        <w:rPr>
          <w:lang w:val="ru-RU"/>
        </w:rPr>
        <w:t xml:space="preserve">, то есть порядка 50–80 млн </w:t>
      </w:r>
      <w:r>
        <w:t>USD</w:t>
      </w:r>
      <w:r w:rsidRPr="000E4C65">
        <w:rPr>
          <w:lang w:val="ru-RU"/>
        </w:rPr>
        <w:t xml:space="preserve"> при полном развертывании.</w:t>
      </w:r>
    </w:p>
    <w:p w14:paraId="0DC6E56B" w14:textId="77777777" w:rsidR="005804A7" w:rsidRPr="000E4C65" w:rsidRDefault="00000000">
      <w:pPr>
        <w:jc w:val="both"/>
        <w:rPr>
          <w:lang w:val="ru-RU"/>
        </w:rPr>
      </w:pPr>
      <w:r w:rsidRPr="000E4C65">
        <w:rPr>
          <w:lang w:val="ru-RU"/>
        </w:rPr>
        <w:t xml:space="preserve">Потребность в оборотных средствах определяется необходимостью поддерживать запасы оборудования и лицензий, обеспечивать бесперебойную работу ЦОД и каналов связи, а также финансировать текущие разработки и сопровождение программных продуктов. На уровне первого приближения потребность в оборотном капитале можно оценить как 10–12 % от годового </w:t>
      </w:r>
      <w:r>
        <w:t>OPEX</w:t>
      </w:r>
      <w:r w:rsidRPr="000E4C65">
        <w:rPr>
          <w:lang w:val="ru-RU"/>
        </w:rPr>
        <w:t xml:space="preserve">, то есть 5–10 млн </w:t>
      </w:r>
      <w:r>
        <w:t>USD</w:t>
      </w:r>
      <w:r w:rsidRPr="000E4C65">
        <w:rPr>
          <w:lang w:val="ru-RU"/>
        </w:rPr>
        <w:t>. С учётом масштаба экономики страны эта величина является относительно небольшой, в то время как создаваемый платформой эффект снижения издержек и роста прозрачности многократно превосходит прямые расходы на её поддержание.</w:t>
      </w:r>
    </w:p>
    <w:p w14:paraId="225BEBC7" w14:textId="77777777" w:rsidR="005804A7" w:rsidRPr="000E4C65" w:rsidRDefault="00000000">
      <w:pPr>
        <w:ind w:firstLine="0"/>
        <w:jc w:val="both"/>
        <w:rPr>
          <w:lang w:val="ru-RU"/>
        </w:rPr>
      </w:pPr>
      <w:r w:rsidRPr="000E4C65">
        <w:rPr>
          <w:lang w:val="ru-RU"/>
        </w:rPr>
        <w:t xml:space="preserve">Потребности кластера </w:t>
      </w:r>
      <w:r>
        <w:t>IV</w:t>
      </w:r>
      <w:r w:rsidRPr="000E4C65">
        <w:rPr>
          <w:lang w:val="ru-RU"/>
        </w:rPr>
        <w:t xml:space="preserve"> в ресурсах представлены в таблице 3.3.4.3.</w:t>
      </w:r>
    </w:p>
    <w:p w14:paraId="3B70E3B8" w14:textId="77777777" w:rsidR="005804A7" w:rsidRPr="000E4C65" w:rsidRDefault="00000000">
      <w:pPr>
        <w:ind w:firstLine="0"/>
        <w:jc w:val="both"/>
        <w:rPr>
          <w:lang w:val="ru-RU"/>
        </w:rPr>
      </w:pPr>
      <w:r w:rsidRPr="000E4C65">
        <w:rPr>
          <w:b/>
          <w:lang w:val="ru-RU"/>
        </w:rPr>
        <w:t>Таблица 3.3.4.3 – Оценка ресурсных потребностей цифрового кластера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753"/>
        <w:gridCol w:w="2651"/>
        <w:gridCol w:w="2452"/>
      </w:tblGrid>
      <w:tr w:rsidR="005804A7" w14:paraId="29E16F3C" w14:textId="77777777">
        <w:tc>
          <w:tcPr>
            <w:tcW w:w="4535" w:type="dxa"/>
          </w:tcPr>
          <w:p w14:paraId="74DCED0C" w14:textId="77777777" w:rsidR="005804A7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Ресурс</w:t>
            </w:r>
            <w:proofErr w:type="spellEnd"/>
          </w:p>
        </w:tc>
        <w:tc>
          <w:tcPr>
            <w:tcW w:w="2835" w:type="dxa"/>
          </w:tcPr>
          <w:p w14:paraId="5A7ED214" w14:textId="77777777" w:rsidR="005804A7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Ориентировочный масштаб</w:t>
            </w:r>
          </w:p>
        </w:tc>
        <w:tc>
          <w:tcPr>
            <w:tcW w:w="3969" w:type="dxa"/>
          </w:tcPr>
          <w:p w14:paraId="4E4E38AF" w14:textId="77777777" w:rsidR="005804A7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Комментарий</w:t>
            </w:r>
          </w:p>
        </w:tc>
      </w:tr>
      <w:tr w:rsidR="005804A7" w:rsidRPr="000E4C65" w14:paraId="67DF8E0E" w14:textId="77777777">
        <w:tc>
          <w:tcPr>
            <w:tcW w:w="4535" w:type="dxa"/>
          </w:tcPr>
          <w:p w14:paraId="48752C95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Основной капитал (CAPEX)</w:t>
            </w:r>
          </w:p>
        </w:tc>
        <w:tc>
          <w:tcPr>
            <w:tcW w:w="2835" w:type="dxa"/>
          </w:tcPr>
          <w:p w14:paraId="523C3D86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0,35–0,45 млрд USD</w:t>
            </w:r>
          </w:p>
        </w:tc>
        <w:tc>
          <w:tcPr>
            <w:tcW w:w="3969" w:type="dxa"/>
          </w:tcPr>
          <w:p w14:paraId="6C111F02" w14:textId="77777777" w:rsidR="005804A7" w:rsidRPr="000E4C65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0E4C65">
              <w:rPr>
                <w:lang w:val="ru-RU"/>
              </w:rPr>
              <w:t xml:space="preserve">ЦОД, платформенное </w:t>
            </w:r>
            <w:r w:rsidRPr="000E4C65">
              <w:rPr>
                <w:lang w:val="ru-RU"/>
              </w:rPr>
              <w:lastRenderedPageBreak/>
              <w:t>ядро, сети, безопасность</w:t>
            </w:r>
          </w:p>
        </w:tc>
      </w:tr>
      <w:tr w:rsidR="005804A7" w14:paraId="06652A30" w14:textId="77777777">
        <w:tc>
          <w:tcPr>
            <w:tcW w:w="4535" w:type="dxa"/>
          </w:tcPr>
          <w:p w14:paraId="06599285" w14:textId="77777777" w:rsidR="005804A7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lastRenderedPageBreak/>
              <w:t>Эксплуатационные</w:t>
            </w:r>
            <w:proofErr w:type="spellEnd"/>
            <w:r>
              <w:t xml:space="preserve"> </w:t>
            </w:r>
            <w:proofErr w:type="spellStart"/>
            <w:r>
              <w:t>расходы</w:t>
            </w:r>
            <w:proofErr w:type="spellEnd"/>
            <w:r>
              <w:t xml:space="preserve"> (OPEX)</w:t>
            </w:r>
          </w:p>
        </w:tc>
        <w:tc>
          <w:tcPr>
            <w:tcW w:w="2835" w:type="dxa"/>
          </w:tcPr>
          <w:p w14:paraId="3556AD37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50–80 млн USD/год</w:t>
            </w:r>
          </w:p>
        </w:tc>
        <w:tc>
          <w:tcPr>
            <w:tcW w:w="3969" w:type="dxa"/>
          </w:tcPr>
          <w:p w14:paraId="593FF9F6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Поддержка инфраструктуры и ПО</w:t>
            </w:r>
          </w:p>
        </w:tc>
      </w:tr>
      <w:tr w:rsidR="005804A7" w14:paraId="73E5C1D1" w14:textId="77777777">
        <w:tc>
          <w:tcPr>
            <w:tcW w:w="4535" w:type="dxa"/>
          </w:tcPr>
          <w:p w14:paraId="7210226A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Оборотные средства</w:t>
            </w:r>
          </w:p>
        </w:tc>
        <w:tc>
          <w:tcPr>
            <w:tcW w:w="2835" w:type="dxa"/>
          </w:tcPr>
          <w:p w14:paraId="70053870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5–10 млн USD</w:t>
            </w:r>
          </w:p>
        </w:tc>
        <w:tc>
          <w:tcPr>
            <w:tcW w:w="3969" w:type="dxa"/>
          </w:tcPr>
          <w:p w14:paraId="13530B50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Запасы, сервис, непрерывность работы</w:t>
            </w:r>
          </w:p>
        </w:tc>
      </w:tr>
      <w:tr w:rsidR="005804A7" w14:paraId="7C933E2D" w14:textId="77777777">
        <w:tc>
          <w:tcPr>
            <w:tcW w:w="4535" w:type="dxa"/>
          </w:tcPr>
          <w:p w14:paraId="50497340" w14:textId="77777777" w:rsidR="005804A7" w:rsidRPr="000E4C65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0E4C65">
              <w:rPr>
                <w:lang w:val="ru-RU"/>
              </w:rPr>
              <w:t>Человеческий капитал (высококвалифицированные ИКТ-специалисты)</w:t>
            </w:r>
          </w:p>
        </w:tc>
        <w:tc>
          <w:tcPr>
            <w:tcW w:w="2835" w:type="dxa"/>
          </w:tcPr>
          <w:p w14:paraId="2CD72FB3" w14:textId="77777777" w:rsidR="005804A7" w:rsidRDefault="00000000">
            <w:pPr>
              <w:spacing w:line="240" w:lineRule="auto"/>
              <w:ind w:firstLine="0"/>
              <w:jc w:val="both"/>
            </w:pPr>
            <w:r>
              <w:t xml:space="preserve">15–20 </w:t>
            </w:r>
            <w:proofErr w:type="spellStart"/>
            <w:r>
              <w:t>тыс</w:t>
            </w:r>
            <w:proofErr w:type="spellEnd"/>
            <w:r>
              <w:t xml:space="preserve">. </w:t>
            </w:r>
            <w:proofErr w:type="spellStart"/>
            <w:r>
              <w:t>рабочих</w:t>
            </w:r>
            <w:proofErr w:type="spellEnd"/>
            <w:r>
              <w:t xml:space="preserve"> </w:t>
            </w:r>
            <w:proofErr w:type="spellStart"/>
            <w:r>
              <w:t>мест</w:t>
            </w:r>
            <w:proofErr w:type="spellEnd"/>
          </w:p>
        </w:tc>
        <w:tc>
          <w:tcPr>
            <w:tcW w:w="3969" w:type="dxa"/>
          </w:tcPr>
          <w:p w14:paraId="564DAA83" w14:textId="77777777" w:rsidR="005804A7" w:rsidRDefault="00000000">
            <w:pPr>
              <w:spacing w:line="240" w:lineRule="auto"/>
              <w:ind w:firstLine="0"/>
              <w:jc w:val="both"/>
            </w:pPr>
            <w:r>
              <w:t>Разработка, сопровождение, аналитика</w:t>
            </w:r>
          </w:p>
        </w:tc>
      </w:tr>
    </w:tbl>
    <w:p w14:paraId="37C53557" w14:textId="77777777" w:rsidR="005804A7" w:rsidRPr="000E4C65" w:rsidRDefault="00000000">
      <w:pPr>
        <w:jc w:val="both"/>
        <w:rPr>
          <w:lang w:val="ru-RU"/>
        </w:rPr>
      </w:pPr>
      <w:r w:rsidRPr="000E4C65">
        <w:rPr>
          <w:lang w:val="ru-RU"/>
        </w:rPr>
        <w:t>Вывод по таблице 3.3.4.3: несмотря на сравнительно умеренный объём капитальных и эксплуатационных затрат, цифровой кластер требует высокого уровня концентрации квалифицированных человеческих ресурсов и непрерывной поддержки инфраструктуры. Именно человеческий капитал, а не оборудование, становится здесь главным ограничителем и источником риска реализации кластера.</w:t>
      </w:r>
    </w:p>
    <w:p w14:paraId="239C2126" w14:textId="77777777" w:rsidR="005804A7" w:rsidRPr="000E4C65" w:rsidRDefault="00000000">
      <w:pPr>
        <w:ind w:firstLine="0"/>
        <w:jc w:val="both"/>
        <w:rPr>
          <w:lang w:val="ru-RU"/>
        </w:rPr>
      </w:pPr>
      <w:r w:rsidRPr="000E4C65">
        <w:rPr>
          <w:b/>
          <w:lang w:val="ru-RU"/>
        </w:rPr>
        <w:t>Квалификация и необходимые знания/компетенции</w:t>
      </w:r>
    </w:p>
    <w:p w14:paraId="37B080C7" w14:textId="77777777" w:rsidR="005804A7" w:rsidRPr="000E4C65" w:rsidRDefault="00000000">
      <w:pPr>
        <w:jc w:val="both"/>
        <w:rPr>
          <w:lang w:val="ru-RU"/>
        </w:rPr>
      </w:pPr>
      <w:r w:rsidRPr="000E4C65">
        <w:rPr>
          <w:lang w:val="ru-RU"/>
        </w:rPr>
        <w:t xml:space="preserve">Для устойчивой работы кластера </w:t>
      </w:r>
      <w:r>
        <w:t>IV</w:t>
      </w:r>
      <w:r w:rsidRPr="000E4C65">
        <w:rPr>
          <w:lang w:val="ru-RU"/>
        </w:rPr>
        <w:t xml:space="preserve"> необходима развитая экосистема ИКТ-компетенций. Ключевые направления включают: разработка платформенных решений (</w:t>
      </w:r>
      <w:r>
        <w:t>backend</w:t>
      </w:r>
      <w:r w:rsidRPr="000E4C65">
        <w:rPr>
          <w:lang w:val="ru-RU"/>
        </w:rPr>
        <w:t xml:space="preserve">, </w:t>
      </w:r>
      <w:r>
        <w:t>frontend</w:t>
      </w:r>
      <w:r w:rsidRPr="000E4C65">
        <w:rPr>
          <w:lang w:val="ru-RU"/>
        </w:rPr>
        <w:t>, мобильные приложения); управление данными (</w:t>
      </w:r>
      <w:r>
        <w:t>data</w:t>
      </w:r>
      <w:r w:rsidRPr="000E4C65">
        <w:rPr>
          <w:lang w:val="ru-RU"/>
        </w:rPr>
        <w:t xml:space="preserve"> </w:t>
      </w:r>
      <w:r>
        <w:t>engineering</w:t>
      </w:r>
      <w:r w:rsidRPr="000E4C65">
        <w:rPr>
          <w:lang w:val="ru-RU"/>
        </w:rPr>
        <w:t xml:space="preserve">, </w:t>
      </w:r>
      <w:r>
        <w:t>data</w:t>
      </w:r>
      <w:r w:rsidRPr="000E4C65">
        <w:rPr>
          <w:lang w:val="ru-RU"/>
        </w:rPr>
        <w:t xml:space="preserve"> </w:t>
      </w:r>
      <w:r>
        <w:t>science</w:t>
      </w:r>
      <w:r w:rsidRPr="000E4C65">
        <w:rPr>
          <w:lang w:val="ru-RU"/>
        </w:rPr>
        <w:t xml:space="preserve">, машинное обучение для аналитики и прогнозирования); кибербезопасность (мониторинг, реагирование на инциденты, защита критической инфраструктуры); проектный и продуктовый менеджмент (управление жизненным циклом цифровых продуктов); </w:t>
      </w:r>
      <w:r>
        <w:t>UX</w:t>
      </w:r>
      <w:r w:rsidRPr="000E4C65">
        <w:rPr>
          <w:lang w:val="ru-RU"/>
        </w:rPr>
        <w:t>/</w:t>
      </w:r>
      <w:r>
        <w:t>UI</w:t>
      </w:r>
      <w:r w:rsidRPr="000E4C65">
        <w:rPr>
          <w:lang w:val="ru-RU"/>
        </w:rPr>
        <w:t>-дизайн и сопровождение пользователей.</w:t>
      </w:r>
    </w:p>
    <w:p w14:paraId="09492132" w14:textId="77777777" w:rsidR="005804A7" w:rsidRPr="000E4C65" w:rsidRDefault="00000000">
      <w:pPr>
        <w:jc w:val="both"/>
        <w:rPr>
          <w:lang w:val="ru-RU"/>
        </w:rPr>
      </w:pPr>
      <w:r w:rsidRPr="000E4C65">
        <w:rPr>
          <w:lang w:val="ru-RU"/>
        </w:rPr>
        <w:t xml:space="preserve">Система подготовки кадров для кластера </w:t>
      </w:r>
      <w:r>
        <w:t>IV</w:t>
      </w:r>
      <w:r w:rsidRPr="000E4C65">
        <w:rPr>
          <w:lang w:val="ru-RU"/>
        </w:rPr>
        <w:t xml:space="preserve"> опирается на кластер </w:t>
      </w:r>
      <w:r>
        <w:t>V</w:t>
      </w:r>
      <w:r w:rsidRPr="000E4C65">
        <w:rPr>
          <w:lang w:val="ru-RU"/>
        </w:rPr>
        <w:t xml:space="preserve"> (образование и </w:t>
      </w:r>
      <w:r>
        <w:t>R</w:t>
      </w:r>
      <w:r w:rsidRPr="000E4C65">
        <w:rPr>
          <w:lang w:val="ru-RU"/>
        </w:rPr>
        <w:t>&amp;</w:t>
      </w:r>
      <w:r>
        <w:t>D</w:t>
      </w:r>
      <w:r w:rsidRPr="000E4C65">
        <w:rPr>
          <w:lang w:val="ru-RU"/>
        </w:rPr>
        <w:t xml:space="preserve">), в рамках которого должны быть развёрнуты специализированные программы по программной инженерии, </w:t>
      </w:r>
      <w:r w:rsidRPr="000E4C65">
        <w:rPr>
          <w:lang w:val="ru-RU"/>
        </w:rPr>
        <w:lastRenderedPageBreak/>
        <w:t>кибербезопасности, анализу данных и цифровому предпринимательству. Важным элементом является также программа репатриации и удержания талантов, направленная на возвращение иностранных выпускников и специалистов диаспоры, имеющих опыт работы в глобальных ИКТ-компаниях.</w:t>
      </w:r>
    </w:p>
    <w:p w14:paraId="558B38E7" w14:textId="77777777" w:rsidR="005804A7" w:rsidRPr="000E4C65" w:rsidRDefault="00000000">
      <w:pPr>
        <w:ind w:firstLine="0"/>
        <w:jc w:val="both"/>
        <w:rPr>
          <w:lang w:val="ru-RU"/>
        </w:rPr>
      </w:pPr>
      <w:r w:rsidRPr="000E4C65">
        <w:rPr>
          <w:b/>
          <w:lang w:val="ru-RU"/>
        </w:rPr>
        <w:t>Синергия цифрового кластера в рамках проекта «Берег Восхода»</w:t>
      </w:r>
    </w:p>
    <w:p w14:paraId="5912E988" w14:textId="77777777" w:rsidR="005804A7" w:rsidRPr="000E4C65" w:rsidRDefault="00000000">
      <w:pPr>
        <w:jc w:val="both"/>
        <w:rPr>
          <w:lang w:val="ru-RU"/>
        </w:rPr>
      </w:pPr>
      <w:r w:rsidRPr="000E4C65">
        <w:rPr>
          <w:lang w:val="ru-RU"/>
        </w:rPr>
        <w:t xml:space="preserve">Синергетический эффект кластера </w:t>
      </w:r>
      <w:r>
        <w:t>IV</w:t>
      </w:r>
      <w:r w:rsidRPr="000E4C65">
        <w:rPr>
          <w:lang w:val="ru-RU"/>
        </w:rPr>
        <w:t xml:space="preserve"> проявляется во всех остальных кластерах. Для агропереработки (Кластер </w:t>
      </w:r>
      <w:r>
        <w:t>I</w:t>
      </w:r>
      <w:r w:rsidRPr="000E4C65">
        <w:rPr>
          <w:lang w:val="ru-RU"/>
        </w:rPr>
        <w:t xml:space="preserve">) платформа обеспечивает </w:t>
      </w:r>
      <w:proofErr w:type="spellStart"/>
      <w:r w:rsidRPr="000E4C65">
        <w:rPr>
          <w:lang w:val="ru-RU"/>
        </w:rPr>
        <w:t>трейсабилити</w:t>
      </w:r>
      <w:proofErr w:type="spellEnd"/>
      <w:r w:rsidRPr="000E4C65">
        <w:rPr>
          <w:lang w:val="ru-RU"/>
        </w:rPr>
        <w:t xml:space="preserve"> происхождения сырья, автоматизацию контрактов и доступ к финансовым продуктам. Для портово-логистического кластера (Кластер </w:t>
      </w:r>
      <w:r>
        <w:t>II</w:t>
      </w:r>
      <w:r w:rsidRPr="000E4C65">
        <w:rPr>
          <w:lang w:val="ru-RU"/>
        </w:rPr>
        <w:t xml:space="preserve">) цифровые сервисы сокращают время обработки грузов, снижают коррупционные риски и повышают предсказуемость логистических цепочек. Для индустриального кластера (Кластер </w:t>
      </w:r>
      <w:r>
        <w:t>III</w:t>
      </w:r>
      <w:r w:rsidRPr="000E4C65">
        <w:rPr>
          <w:lang w:val="ru-RU"/>
        </w:rPr>
        <w:t xml:space="preserve">) цифровая платформа обеспечивает управление производственными данными, мониторинг </w:t>
      </w:r>
      <w:r>
        <w:t>ESG</w:t>
      </w:r>
      <w:r w:rsidRPr="000E4C65">
        <w:rPr>
          <w:lang w:val="ru-RU"/>
        </w:rPr>
        <w:t>-показателей и интеграцию с международными цепочками поставок.</w:t>
      </w:r>
    </w:p>
    <w:p w14:paraId="4595EAA9" w14:textId="77777777" w:rsidR="005804A7" w:rsidRPr="000E4C65" w:rsidRDefault="00000000">
      <w:pPr>
        <w:jc w:val="both"/>
        <w:rPr>
          <w:lang w:val="ru-RU"/>
        </w:rPr>
      </w:pPr>
      <w:r w:rsidRPr="000E4C65">
        <w:rPr>
          <w:lang w:val="ru-RU"/>
        </w:rPr>
        <w:t xml:space="preserve">Через модуль </w:t>
      </w:r>
      <w:r>
        <w:t>Finance</w:t>
      </w:r>
      <w:r w:rsidRPr="000E4C65">
        <w:rPr>
          <w:lang w:val="ru-RU"/>
        </w:rPr>
        <w:t xml:space="preserve"> платформа связывает промышленный, аграрный и логистический секторы с банковской системой и международными инвесторами, предоставляя прозрачную картину хозяйственной деятельности и снижая информационную асимметрию. Через модуль </w:t>
      </w:r>
      <w:r>
        <w:t>Skills</w:t>
      </w:r>
      <w:r w:rsidRPr="000E4C65">
        <w:rPr>
          <w:lang w:val="ru-RU"/>
        </w:rPr>
        <w:t xml:space="preserve"> реализуется связка с кластером </w:t>
      </w:r>
      <w:r>
        <w:t>V</w:t>
      </w:r>
      <w:r w:rsidRPr="000E4C65">
        <w:rPr>
          <w:lang w:val="ru-RU"/>
        </w:rPr>
        <w:t xml:space="preserve">: цифровые профили компетенций, онлайн-обучение, отслеживание карьерных траекторий. Модуль </w:t>
      </w:r>
      <w:r>
        <w:t>Governance</w:t>
      </w:r>
      <w:r w:rsidRPr="000E4C65">
        <w:rPr>
          <w:lang w:val="ru-RU"/>
        </w:rPr>
        <w:t>, в свою очередь, обеспечивает государству инструменты мониторинга реализации стратегии «Берег Восхода» и достижения целевых показателей ВВП, занятости, экспорта и устойчивого развития.</w:t>
      </w:r>
    </w:p>
    <w:p w14:paraId="23583096" w14:textId="77777777" w:rsidR="005804A7" w:rsidRPr="000E4C65" w:rsidRDefault="00000000">
      <w:pPr>
        <w:jc w:val="both"/>
        <w:rPr>
          <w:lang w:val="ru-RU"/>
        </w:rPr>
      </w:pPr>
      <w:r w:rsidRPr="000E4C65">
        <w:rPr>
          <w:lang w:val="ru-RU"/>
        </w:rPr>
        <w:lastRenderedPageBreak/>
        <w:t>В результате цифровой кластер можно рассматривать как ключевой механизм институциональной модернизации экономики Кот-д’Ивуара: он не только обслуживает текущие процессы, но и задаёт новую логику взаимодействия между государством, бизнесом и обществом, опираясь на прозрачность, данные и доверие.</w:t>
      </w:r>
    </w:p>
    <w:p w14:paraId="3C5F5107" w14:textId="77777777" w:rsidR="000E4C65" w:rsidRDefault="000E4C65">
      <w:pPr>
        <w:ind w:firstLine="0"/>
        <w:jc w:val="both"/>
        <w:rPr>
          <w:lang w:val="ru-RU"/>
        </w:rPr>
      </w:pPr>
    </w:p>
    <w:p w14:paraId="32743958" w14:textId="77777777" w:rsidR="000E4C65" w:rsidRDefault="000E4C65">
      <w:pPr>
        <w:ind w:firstLine="0"/>
        <w:jc w:val="both"/>
        <w:rPr>
          <w:lang w:val="ru-RU"/>
        </w:rPr>
      </w:pPr>
    </w:p>
    <w:p w14:paraId="094CA025" w14:textId="2FB4497E" w:rsidR="005804A7" w:rsidRPr="000E4C65" w:rsidRDefault="00000000">
      <w:pPr>
        <w:ind w:firstLine="0"/>
        <w:jc w:val="both"/>
        <w:rPr>
          <w:lang w:val="ru-RU"/>
        </w:rPr>
      </w:pPr>
      <w:r w:rsidRPr="000E4C65">
        <w:rPr>
          <w:lang w:val="ru-RU"/>
        </w:rPr>
        <w:t>Список источников к подразделу 3.3.4</w:t>
      </w:r>
    </w:p>
    <w:p w14:paraId="5BA86104" w14:textId="77777777" w:rsidR="005804A7" w:rsidRPr="000E4C65" w:rsidRDefault="00000000">
      <w:pPr>
        <w:ind w:firstLine="0"/>
        <w:jc w:val="both"/>
        <w:rPr>
          <w:lang w:val="ru-RU"/>
        </w:rPr>
      </w:pPr>
      <w:r w:rsidRPr="000E4C65">
        <w:rPr>
          <w:lang w:val="ru-RU"/>
        </w:rPr>
        <w:t>[1] Проект «Берег Восхода». Кластерная архитектура: описание цифрового кластера и модулей платформы.</w:t>
      </w:r>
    </w:p>
    <w:p w14:paraId="659EAB6B" w14:textId="77777777" w:rsidR="005804A7" w:rsidRPr="000E4C65" w:rsidRDefault="00000000">
      <w:pPr>
        <w:ind w:firstLine="0"/>
        <w:jc w:val="both"/>
        <w:rPr>
          <w:lang w:val="ru-RU"/>
        </w:rPr>
      </w:pPr>
      <w:r w:rsidRPr="000E4C65">
        <w:rPr>
          <w:lang w:val="ru-RU"/>
        </w:rPr>
        <w:t>[2] Экономика 2035. ВАК-отчёт: раздел о цифровой трансформации и платформенных решениях.</w:t>
      </w:r>
    </w:p>
    <w:p w14:paraId="13232754" w14:textId="77777777" w:rsidR="005804A7" w:rsidRDefault="00000000">
      <w:pPr>
        <w:ind w:firstLine="0"/>
        <w:jc w:val="both"/>
      </w:pPr>
      <w:r w:rsidRPr="000E4C65">
        <w:rPr>
          <w:lang w:val="ru-RU"/>
        </w:rPr>
        <w:t xml:space="preserve">[3] Материалы по национальной цифровой стратегии Кот-д’Ивуара и развитию </w:t>
      </w:r>
      <w:r>
        <w:t>ИКТ-</w:t>
      </w:r>
      <w:proofErr w:type="spellStart"/>
      <w:r>
        <w:t>сектора</w:t>
      </w:r>
      <w:proofErr w:type="spellEnd"/>
      <w:r>
        <w:t>.</w:t>
      </w:r>
    </w:p>
    <w:sectPr w:rsidR="005804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22252">
    <w:abstractNumId w:val="8"/>
  </w:num>
  <w:num w:numId="2" w16cid:durableId="203835527">
    <w:abstractNumId w:val="6"/>
  </w:num>
  <w:num w:numId="3" w16cid:durableId="1920168008">
    <w:abstractNumId w:val="5"/>
  </w:num>
  <w:num w:numId="4" w16cid:durableId="161510091">
    <w:abstractNumId w:val="4"/>
  </w:num>
  <w:num w:numId="5" w16cid:durableId="582568998">
    <w:abstractNumId w:val="7"/>
  </w:num>
  <w:num w:numId="6" w16cid:durableId="2140873366">
    <w:abstractNumId w:val="3"/>
  </w:num>
  <w:num w:numId="7" w16cid:durableId="1476264478">
    <w:abstractNumId w:val="2"/>
  </w:num>
  <w:num w:numId="8" w16cid:durableId="590554122">
    <w:abstractNumId w:val="1"/>
  </w:num>
  <w:num w:numId="9" w16cid:durableId="34624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C65"/>
    <w:rsid w:val="0015074B"/>
    <w:rsid w:val="0029639D"/>
    <w:rsid w:val="00326F90"/>
    <w:rsid w:val="005804A7"/>
    <w:rsid w:val="008B7228"/>
    <w:rsid w:val="009E0A63"/>
    <w:rsid w:val="00AA1D8D"/>
    <w:rsid w:val="00B47730"/>
    <w:rsid w:val="00CB0664"/>
    <w:rsid w:val="00CE63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BF4184"/>
  <w14:defaultImageDpi w14:val="300"/>
  <w15:docId w15:val="{E74CEDC3-6A16-4138-88A3-3C591543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1587</Words>
  <Characters>9048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Mandritsa</cp:lastModifiedBy>
  <cp:revision>4</cp:revision>
  <dcterms:created xsi:type="dcterms:W3CDTF">2026-02-21T22:54:00Z</dcterms:created>
  <dcterms:modified xsi:type="dcterms:W3CDTF">2026-02-23T21:56:00Z</dcterms:modified>
  <cp:category/>
</cp:coreProperties>
</file>