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DC3E7" w14:textId="77777777" w:rsidR="00721CC4" w:rsidRPr="00277C38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277C38">
        <w:rPr>
          <w:rFonts w:ascii="Times New Roman" w:hAnsi="Times New Roman" w:cs="Times New Roman"/>
          <w:color w:val="auto"/>
          <w:lang w:val="ru-RU"/>
        </w:rPr>
        <w:t xml:space="preserve">Кластер </w:t>
      </w:r>
      <w:r w:rsidRPr="00277C38">
        <w:rPr>
          <w:rFonts w:ascii="Times New Roman" w:hAnsi="Times New Roman" w:cs="Times New Roman"/>
          <w:color w:val="auto"/>
        </w:rPr>
        <w:t>I</w:t>
      </w:r>
      <w:r w:rsidRPr="00277C38">
        <w:rPr>
          <w:rFonts w:ascii="Times New Roman" w:hAnsi="Times New Roman" w:cs="Times New Roman"/>
          <w:color w:val="auto"/>
          <w:lang w:val="ru-RU"/>
        </w:rPr>
        <w:t xml:space="preserve"> — Агропереработка и какао-индустрия</w:t>
      </w:r>
    </w:p>
    <w:p w14:paraId="50C12CBD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Кластер агропереработки и какао-индустрии рассматривается как якорный полюс роста прибрежной зоны, обеспечивающий перенос ренты из сырьевого звена в звенья высоких переделов (пищевая индустрия, косметика и фармацевтика). Центральный элемент кластера — лестница добавленной стоимости какао: от сырого боба к какао-маслу/порошку, полуфабрикатам и готовой продукции. </w:t>
      </w:r>
    </w:p>
    <w:p w14:paraId="1DDE34DD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В проектной архитектуре задан входной поток сырья на уровне 2,2 млн т/год при ориентирной цене сырья 1 500 </w:t>
      </w:r>
      <w:r>
        <w:t>USD</w:t>
      </w:r>
      <w:r w:rsidRPr="00277C38">
        <w:rPr>
          <w:lang w:val="ru-RU"/>
        </w:rPr>
        <w:t xml:space="preserve">/т, а целевой выход — рост экспорта готовой продукции до 6,0 млрд </w:t>
      </w:r>
      <w:r>
        <w:t>USD</w:t>
      </w:r>
      <w:r w:rsidRPr="00277C38">
        <w:rPr>
          <w:lang w:val="ru-RU"/>
        </w:rPr>
        <w:t xml:space="preserve"> к 2035 г.; параметры инвестиционной модели кластера: </w:t>
      </w:r>
      <w:r>
        <w:t>CAPEX</w:t>
      </w:r>
      <w:r w:rsidRPr="00277C38">
        <w:rPr>
          <w:lang w:val="ru-RU"/>
        </w:rPr>
        <w:t xml:space="preserve"> 2,75 млрд </w:t>
      </w:r>
      <w:r>
        <w:t>USD</w:t>
      </w:r>
      <w:r w:rsidRPr="00277C38">
        <w:rPr>
          <w:lang w:val="ru-RU"/>
        </w:rPr>
        <w:t xml:space="preserve">, </w:t>
      </w:r>
      <w:r>
        <w:t>ΔVA</w:t>
      </w:r>
      <w:r w:rsidRPr="00277C38">
        <w:rPr>
          <w:lang w:val="ru-RU"/>
        </w:rPr>
        <w:t xml:space="preserve"> 3,5 млрд </w:t>
      </w:r>
      <w:r>
        <w:t>USD</w:t>
      </w:r>
      <w:r w:rsidRPr="00277C38">
        <w:rPr>
          <w:lang w:val="ru-RU"/>
        </w:rPr>
        <w:t xml:space="preserve">, мультипликатор </w:t>
      </w:r>
      <w:r>
        <w:t>k</w:t>
      </w:r>
      <w:r w:rsidRPr="00277C38">
        <w:rPr>
          <w:lang w:val="ru-RU"/>
        </w:rPr>
        <w:t>₁ = 1,80 и вклад в ВВП +3,0% при горизонте 2025–2032 гг.</w:t>
      </w:r>
    </w:p>
    <w:p w14:paraId="709ED2D5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Таблица 3.3.1 — Ключевые параметры кластера агропереработки (по проектным материалам)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7"/>
        <w:gridCol w:w="2880"/>
      </w:tblGrid>
      <w:tr w:rsidR="00721CC4" w14:paraId="373B6700" w14:textId="77777777" w:rsidTr="00AF042F">
        <w:trPr>
          <w:trHeight w:val="547"/>
          <w:jc w:val="center"/>
        </w:trPr>
        <w:tc>
          <w:tcPr>
            <w:tcW w:w="2880" w:type="dxa"/>
          </w:tcPr>
          <w:p w14:paraId="180B1956" w14:textId="77777777" w:rsidR="00721CC4" w:rsidRDefault="00000000" w:rsidP="00AF042F">
            <w:pPr>
              <w:spacing w:line="240" w:lineRule="auto"/>
              <w:ind w:firstLine="0"/>
              <w:jc w:val="center"/>
            </w:pPr>
            <w:proofErr w:type="spellStart"/>
            <w:r>
              <w:t>Показатель</w:t>
            </w:r>
            <w:proofErr w:type="spellEnd"/>
          </w:p>
        </w:tc>
        <w:tc>
          <w:tcPr>
            <w:tcW w:w="3607" w:type="dxa"/>
          </w:tcPr>
          <w:p w14:paraId="7CD7B7B4" w14:textId="77777777" w:rsidR="00721CC4" w:rsidRDefault="00000000" w:rsidP="00AF042F">
            <w:pPr>
              <w:spacing w:line="240" w:lineRule="auto"/>
              <w:ind w:firstLine="0"/>
              <w:jc w:val="center"/>
            </w:pPr>
            <w:proofErr w:type="spellStart"/>
            <w:r>
              <w:t>Пояснение</w:t>
            </w:r>
            <w:proofErr w:type="spellEnd"/>
          </w:p>
        </w:tc>
        <w:tc>
          <w:tcPr>
            <w:tcW w:w="2880" w:type="dxa"/>
          </w:tcPr>
          <w:p w14:paraId="7AAF6ED2" w14:textId="77777777" w:rsidR="00721CC4" w:rsidRDefault="00000000" w:rsidP="00AF042F">
            <w:pPr>
              <w:spacing w:line="240" w:lineRule="auto"/>
              <w:ind w:firstLine="0"/>
              <w:jc w:val="center"/>
            </w:pPr>
            <w:proofErr w:type="spellStart"/>
            <w:r>
              <w:t>Значение</w:t>
            </w:r>
            <w:proofErr w:type="spellEnd"/>
          </w:p>
        </w:tc>
      </w:tr>
      <w:tr w:rsidR="00721CC4" w14:paraId="6C8C249B" w14:textId="77777777" w:rsidTr="00AF042F">
        <w:trPr>
          <w:jc w:val="center"/>
        </w:trPr>
        <w:tc>
          <w:tcPr>
            <w:tcW w:w="2880" w:type="dxa"/>
          </w:tcPr>
          <w:p w14:paraId="7CEB3673" w14:textId="77777777" w:rsidR="00721CC4" w:rsidRDefault="00000000" w:rsidP="00277C38">
            <w:pPr>
              <w:spacing w:line="240" w:lineRule="auto"/>
              <w:ind w:firstLine="0"/>
              <w:jc w:val="both"/>
            </w:pPr>
            <w:proofErr w:type="spellStart"/>
            <w:r>
              <w:t>Сырьё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входе</w:t>
            </w:r>
            <w:proofErr w:type="spellEnd"/>
          </w:p>
        </w:tc>
        <w:tc>
          <w:tcPr>
            <w:tcW w:w="3607" w:type="dxa"/>
          </w:tcPr>
          <w:p w14:paraId="6694D69B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 xml:space="preserve">2.20 </w:t>
            </w:r>
            <w:proofErr w:type="spellStart"/>
            <w:r>
              <w:t>млн</w:t>
            </w:r>
            <w:proofErr w:type="spellEnd"/>
            <w:r>
              <w:t xml:space="preserve"> т/</w:t>
            </w:r>
            <w:proofErr w:type="spellStart"/>
            <w:r>
              <w:t>год</w:t>
            </w:r>
            <w:proofErr w:type="spellEnd"/>
          </w:p>
        </w:tc>
        <w:tc>
          <w:tcPr>
            <w:tcW w:w="2880" w:type="dxa"/>
          </w:tcPr>
          <w:p w14:paraId="76F9E9D2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$1,500/т</w:t>
            </w:r>
          </w:p>
        </w:tc>
      </w:tr>
      <w:tr w:rsidR="00721CC4" w14:paraId="47E50AEA" w14:textId="77777777" w:rsidTr="00AF042F">
        <w:trPr>
          <w:jc w:val="center"/>
        </w:trPr>
        <w:tc>
          <w:tcPr>
            <w:tcW w:w="2880" w:type="dxa"/>
          </w:tcPr>
          <w:p w14:paraId="5765504F" w14:textId="77777777" w:rsidR="00721CC4" w:rsidRDefault="00000000" w:rsidP="00277C38">
            <w:pPr>
              <w:spacing w:line="240" w:lineRule="auto"/>
              <w:ind w:firstLine="0"/>
              <w:jc w:val="both"/>
            </w:pPr>
            <w:proofErr w:type="spellStart"/>
            <w:r>
              <w:t>Цель</w:t>
            </w:r>
            <w:proofErr w:type="spellEnd"/>
            <w:r>
              <w:t xml:space="preserve"> </w:t>
            </w:r>
            <w:proofErr w:type="spellStart"/>
            <w:r>
              <w:t>переработки</w:t>
            </w:r>
            <w:proofErr w:type="spellEnd"/>
          </w:p>
        </w:tc>
        <w:tc>
          <w:tcPr>
            <w:tcW w:w="3607" w:type="dxa"/>
          </w:tcPr>
          <w:p w14:paraId="64C6C63B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75% к 2035 г.</w:t>
            </w:r>
          </w:p>
        </w:tc>
        <w:tc>
          <w:tcPr>
            <w:tcW w:w="2880" w:type="dxa"/>
          </w:tcPr>
          <w:p w14:paraId="38AFB5FA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 xml:space="preserve">1.65 </w:t>
            </w:r>
            <w:proofErr w:type="spellStart"/>
            <w:r>
              <w:t>млн</w:t>
            </w:r>
            <w:proofErr w:type="spellEnd"/>
            <w:r>
              <w:t xml:space="preserve"> т/</w:t>
            </w:r>
            <w:proofErr w:type="spellStart"/>
            <w:r>
              <w:t>год</w:t>
            </w:r>
            <w:proofErr w:type="spellEnd"/>
          </w:p>
        </w:tc>
      </w:tr>
      <w:tr w:rsidR="00721CC4" w14:paraId="09870177" w14:textId="77777777" w:rsidTr="00AF042F">
        <w:trPr>
          <w:jc w:val="center"/>
        </w:trPr>
        <w:tc>
          <w:tcPr>
            <w:tcW w:w="2880" w:type="dxa"/>
          </w:tcPr>
          <w:p w14:paraId="38E09DB5" w14:textId="77777777" w:rsidR="00721CC4" w:rsidRDefault="00000000" w:rsidP="00277C38">
            <w:pPr>
              <w:spacing w:line="240" w:lineRule="auto"/>
              <w:ind w:firstLine="0"/>
              <w:jc w:val="both"/>
            </w:pPr>
            <w:proofErr w:type="spellStart"/>
            <w:r>
              <w:t>Текущая</w:t>
            </w:r>
            <w:proofErr w:type="spellEnd"/>
            <w:r>
              <w:t xml:space="preserve"> </w:t>
            </w:r>
            <w:proofErr w:type="spellStart"/>
            <w:r>
              <w:t>конфигурация</w:t>
            </w:r>
            <w:proofErr w:type="spellEnd"/>
          </w:p>
        </w:tc>
        <w:tc>
          <w:tcPr>
            <w:tcW w:w="3607" w:type="dxa"/>
          </w:tcPr>
          <w:p w14:paraId="1C0EF568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 xml:space="preserve">8–10 </w:t>
            </w:r>
            <w:proofErr w:type="spellStart"/>
            <w:r>
              <w:t>комплексов</w:t>
            </w:r>
            <w:proofErr w:type="spellEnd"/>
            <w:r>
              <w:t xml:space="preserve"> × 22,000 т/</w:t>
            </w:r>
            <w:proofErr w:type="spellStart"/>
            <w:r>
              <w:t>год</w:t>
            </w:r>
            <w:proofErr w:type="spellEnd"/>
          </w:p>
        </w:tc>
        <w:tc>
          <w:tcPr>
            <w:tcW w:w="2880" w:type="dxa"/>
          </w:tcPr>
          <w:p w14:paraId="04E969A8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 xml:space="preserve">176–220 </w:t>
            </w:r>
            <w:proofErr w:type="spellStart"/>
            <w:r>
              <w:t>тыс</w:t>
            </w:r>
            <w:proofErr w:type="spellEnd"/>
            <w:r>
              <w:t>. т/</w:t>
            </w:r>
            <w:proofErr w:type="spellStart"/>
            <w:r>
              <w:t>год</w:t>
            </w:r>
            <w:proofErr w:type="spellEnd"/>
          </w:p>
        </w:tc>
      </w:tr>
      <w:tr w:rsidR="00721CC4" w14:paraId="7619ADE7" w14:textId="77777777" w:rsidTr="00AF042F">
        <w:trPr>
          <w:jc w:val="center"/>
        </w:trPr>
        <w:tc>
          <w:tcPr>
            <w:tcW w:w="2880" w:type="dxa"/>
          </w:tcPr>
          <w:p w14:paraId="1B4FE4E2" w14:textId="77777777" w:rsidR="00721CC4" w:rsidRDefault="00000000" w:rsidP="00277C38">
            <w:pPr>
              <w:spacing w:line="240" w:lineRule="auto"/>
              <w:ind w:firstLine="0"/>
              <w:jc w:val="both"/>
            </w:pPr>
            <w:proofErr w:type="spellStart"/>
            <w:r>
              <w:t>Экспорт</w:t>
            </w:r>
            <w:proofErr w:type="spellEnd"/>
            <w:r>
              <w:t xml:space="preserve"> </w:t>
            </w:r>
            <w:proofErr w:type="spellStart"/>
            <w:r>
              <w:t>готовой</w:t>
            </w:r>
            <w:proofErr w:type="spellEnd"/>
            <w:r>
              <w:t xml:space="preserve"> </w:t>
            </w:r>
            <w:proofErr w:type="spellStart"/>
            <w:r>
              <w:t>продукции</w:t>
            </w:r>
            <w:proofErr w:type="spellEnd"/>
          </w:p>
        </w:tc>
        <w:tc>
          <w:tcPr>
            <w:tcW w:w="3607" w:type="dxa"/>
          </w:tcPr>
          <w:p w14:paraId="630C83D9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к 2035 г.</w:t>
            </w:r>
          </w:p>
        </w:tc>
        <w:tc>
          <w:tcPr>
            <w:tcW w:w="2880" w:type="dxa"/>
          </w:tcPr>
          <w:p w14:paraId="722AFC30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 xml:space="preserve">$6.0 </w:t>
            </w:r>
            <w:proofErr w:type="spellStart"/>
            <w:r>
              <w:t>млрд</w:t>
            </w:r>
            <w:proofErr w:type="spellEnd"/>
          </w:p>
        </w:tc>
      </w:tr>
      <w:tr w:rsidR="00721CC4" w14:paraId="4EC72C31" w14:textId="77777777" w:rsidTr="00AF042F">
        <w:trPr>
          <w:jc w:val="center"/>
        </w:trPr>
        <w:tc>
          <w:tcPr>
            <w:tcW w:w="2880" w:type="dxa"/>
          </w:tcPr>
          <w:p w14:paraId="5231697C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CAPEX</w:t>
            </w:r>
          </w:p>
        </w:tc>
        <w:tc>
          <w:tcPr>
            <w:tcW w:w="3607" w:type="dxa"/>
          </w:tcPr>
          <w:p w14:paraId="4CA8898C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итого</w:t>
            </w:r>
          </w:p>
        </w:tc>
        <w:tc>
          <w:tcPr>
            <w:tcW w:w="2880" w:type="dxa"/>
          </w:tcPr>
          <w:p w14:paraId="78B18EFB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$2.75 млрд</w:t>
            </w:r>
          </w:p>
        </w:tc>
      </w:tr>
      <w:tr w:rsidR="00721CC4" w14:paraId="037DA44E" w14:textId="77777777" w:rsidTr="00AF042F">
        <w:trPr>
          <w:jc w:val="center"/>
        </w:trPr>
        <w:tc>
          <w:tcPr>
            <w:tcW w:w="2880" w:type="dxa"/>
          </w:tcPr>
          <w:p w14:paraId="49F73B20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ΔVA</w:t>
            </w:r>
          </w:p>
        </w:tc>
        <w:tc>
          <w:tcPr>
            <w:tcW w:w="3607" w:type="dxa"/>
          </w:tcPr>
          <w:p w14:paraId="2CA426F9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прирост добавленной стоимости</w:t>
            </w:r>
          </w:p>
        </w:tc>
        <w:tc>
          <w:tcPr>
            <w:tcW w:w="2880" w:type="dxa"/>
          </w:tcPr>
          <w:p w14:paraId="3077EAF6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$3.5 млрд</w:t>
            </w:r>
          </w:p>
        </w:tc>
      </w:tr>
      <w:tr w:rsidR="00721CC4" w14:paraId="0F521E19" w14:textId="77777777" w:rsidTr="00AF042F">
        <w:trPr>
          <w:jc w:val="center"/>
        </w:trPr>
        <w:tc>
          <w:tcPr>
            <w:tcW w:w="2880" w:type="dxa"/>
          </w:tcPr>
          <w:p w14:paraId="0614FC03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Мультипликатор k₁</w:t>
            </w:r>
          </w:p>
        </w:tc>
        <w:tc>
          <w:tcPr>
            <w:tcW w:w="3607" w:type="dxa"/>
          </w:tcPr>
          <w:p w14:paraId="6E14B0FD" w14:textId="77777777" w:rsidR="00721CC4" w:rsidRDefault="00721CC4" w:rsidP="00277C38">
            <w:pPr>
              <w:spacing w:line="240" w:lineRule="auto"/>
              <w:ind w:firstLine="0"/>
            </w:pPr>
          </w:p>
        </w:tc>
        <w:tc>
          <w:tcPr>
            <w:tcW w:w="2880" w:type="dxa"/>
          </w:tcPr>
          <w:p w14:paraId="2AD6D911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1.80</w:t>
            </w:r>
          </w:p>
        </w:tc>
      </w:tr>
      <w:tr w:rsidR="00721CC4" w14:paraId="7C305C87" w14:textId="77777777" w:rsidTr="00AF042F">
        <w:trPr>
          <w:jc w:val="center"/>
        </w:trPr>
        <w:tc>
          <w:tcPr>
            <w:tcW w:w="2880" w:type="dxa"/>
          </w:tcPr>
          <w:p w14:paraId="5C594C0B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Вклад в ВВП</w:t>
            </w:r>
          </w:p>
        </w:tc>
        <w:tc>
          <w:tcPr>
            <w:tcW w:w="3607" w:type="dxa"/>
          </w:tcPr>
          <w:p w14:paraId="68C72D37" w14:textId="77777777" w:rsidR="00721CC4" w:rsidRDefault="00721CC4" w:rsidP="00277C38">
            <w:pPr>
              <w:spacing w:line="240" w:lineRule="auto"/>
              <w:ind w:firstLine="0"/>
            </w:pPr>
          </w:p>
        </w:tc>
        <w:tc>
          <w:tcPr>
            <w:tcW w:w="2880" w:type="dxa"/>
          </w:tcPr>
          <w:p w14:paraId="3C1E9469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+3.0%</w:t>
            </w:r>
          </w:p>
        </w:tc>
      </w:tr>
      <w:tr w:rsidR="00721CC4" w14:paraId="36DEC3FB" w14:textId="77777777" w:rsidTr="00AF042F">
        <w:trPr>
          <w:jc w:val="center"/>
        </w:trPr>
        <w:tc>
          <w:tcPr>
            <w:tcW w:w="2880" w:type="dxa"/>
          </w:tcPr>
          <w:p w14:paraId="665AA5D2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Горизонт реализации</w:t>
            </w:r>
          </w:p>
        </w:tc>
        <w:tc>
          <w:tcPr>
            <w:tcW w:w="3607" w:type="dxa"/>
          </w:tcPr>
          <w:p w14:paraId="3E985004" w14:textId="77777777" w:rsidR="00721CC4" w:rsidRDefault="00721CC4" w:rsidP="00277C38">
            <w:pPr>
              <w:spacing w:line="240" w:lineRule="auto"/>
              <w:ind w:firstLine="0"/>
            </w:pPr>
          </w:p>
        </w:tc>
        <w:tc>
          <w:tcPr>
            <w:tcW w:w="2880" w:type="dxa"/>
          </w:tcPr>
          <w:p w14:paraId="7442846A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2025–2032</w:t>
            </w:r>
          </w:p>
        </w:tc>
      </w:tr>
      <w:tr w:rsidR="00721CC4" w14:paraId="609ED150" w14:textId="77777777" w:rsidTr="00AF042F">
        <w:trPr>
          <w:jc w:val="center"/>
        </w:trPr>
        <w:tc>
          <w:tcPr>
            <w:tcW w:w="2880" w:type="dxa"/>
          </w:tcPr>
          <w:p w14:paraId="1B113633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Занятость</w:t>
            </w:r>
          </w:p>
        </w:tc>
        <w:tc>
          <w:tcPr>
            <w:tcW w:w="3607" w:type="dxa"/>
          </w:tcPr>
          <w:p w14:paraId="7E58F6F9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прямые/косвенные</w:t>
            </w:r>
          </w:p>
        </w:tc>
        <w:tc>
          <w:tcPr>
            <w:tcW w:w="2880" w:type="dxa"/>
          </w:tcPr>
          <w:p w14:paraId="3607B45B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160,000 / 300,000</w:t>
            </w:r>
          </w:p>
        </w:tc>
      </w:tr>
    </w:tbl>
    <w:p w14:paraId="47D0C420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Вывод к таблице 3.3.1: параметры кластера подтверждают его системообразующую роль: при капитальных вложениях 2,75 млрд </w:t>
      </w:r>
      <w:r>
        <w:t>USD</w:t>
      </w:r>
      <w:r w:rsidRPr="00277C38">
        <w:rPr>
          <w:lang w:val="ru-RU"/>
        </w:rPr>
        <w:t xml:space="preserve"> </w:t>
      </w:r>
      <w:r w:rsidRPr="00277C38">
        <w:rPr>
          <w:lang w:val="ru-RU"/>
        </w:rPr>
        <w:lastRenderedPageBreak/>
        <w:t xml:space="preserve">формируется прирост добавленной стоимости 3,5 млрд </w:t>
      </w:r>
      <w:r>
        <w:t>USD</w:t>
      </w:r>
      <w:r w:rsidRPr="00277C38">
        <w:rPr>
          <w:lang w:val="ru-RU"/>
        </w:rPr>
        <w:t xml:space="preserve"> и вклад в ВВП на уровне +3,0%, что делает кластер одним из главных источников структурного сдвига экспорта.</w:t>
      </w:r>
    </w:p>
    <w:p w14:paraId="2F00E634" w14:textId="4210C5B9" w:rsidR="00721CC4" w:rsidRPr="00277C38" w:rsidRDefault="00544119" w:rsidP="00544119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87E11B1" wp14:editId="3274816D">
            <wp:extent cx="5825067" cy="3977640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3_1_value_lad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8796" cy="39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C38">
        <w:rPr>
          <w:lang w:val="ru-RU"/>
        </w:rPr>
        <w:t xml:space="preserve">Рисунок 3.3.1 — Цепочка добавленной стоимости какао (ориентиры </w:t>
      </w:r>
      <w:r>
        <w:t>USD</w:t>
      </w:r>
      <w:r w:rsidRPr="00277C38">
        <w:rPr>
          <w:lang w:val="ru-RU"/>
        </w:rPr>
        <w:t>/т)</w:t>
      </w:r>
    </w:p>
    <w:p w14:paraId="508C25EB" w14:textId="78B1AFDD" w:rsidR="00721CC4" w:rsidRPr="00544119" w:rsidRDefault="00721CC4" w:rsidP="00277C38">
      <w:pPr>
        <w:jc w:val="both"/>
        <w:rPr>
          <w:lang w:val="ru-RU"/>
        </w:rPr>
      </w:pPr>
    </w:p>
    <w:p w14:paraId="2B9777B9" w14:textId="54353BA9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Вывод к рисунку 3.3.1: восьмикратный разрыв между ценой сырого боба и готовой продукцией показывает, что экономический эффект определяется не ростом валового выпуска какао как сырья, а переносом технологических и маркетинговых функций в страну</w:t>
      </w:r>
      <w:r w:rsidR="00AF042F">
        <w:rPr>
          <w:lang w:val="ru-RU"/>
        </w:rPr>
        <w:t xml:space="preserve"> (республику)</w:t>
      </w:r>
      <w:r w:rsidRPr="00277C38">
        <w:rPr>
          <w:lang w:val="ru-RU"/>
        </w:rPr>
        <w:t xml:space="preserve"> (3-й передел).</w:t>
      </w:r>
    </w:p>
    <w:p w14:paraId="6CD8B564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Таблица 3.3.2 — Ступени переработки и экономический смысл (проектные ориентиры)</w:t>
      </w:r>
    </w:p>
    <w:tbl>
      <w:tblPr>
        <w:tblStyle w:val="aff0"/>
        <w:tblW w:w="9612" w:type="dxa"/>
        <w:tblLook w:val="04A0" w:firstRow="1" w:lastRow="0" w:firstColumn="1" w:lastColumn="0" w:noHBand="0" w:noVBand="1"/>
      </w:tblPr>
      <w:tblGrid>
        <w:gridCol w:w="3510"/>
        <w:gridCol w:w="2643"/>
        <w:gridCol w:w="3459"/>
      </w:tblGrid>
      <w:tr w:rsidR="00721CC4" w14:paraId="094CFBFD" w14:textId="77777777" w:rsidTr="00277C38">
        <w:tc>
          <w:tcPr>
            <w:tcW w:w="3510" w:type="dxa"/>
          </w:tcPr>
          <w:p w14:paraId="50B3BE94" w14:textId="77777777" w:rsidR="00721CC4" w:rsidRDefault="00000000" w:rsidP="00AF042F">
            <w:pPr>
              <w:spacing w:line="240" w:lineRule="auto"/>
              <w:ind w:firstLine="0"/>
              <w:jc w:val="center"/>
            </w:pPr>
            <w:proofErr w:type="spellStart"/>
            <w:r>
              <w:t>Ступень</w:t>
            </w:r>
            <w:proofErr w:type="spellEnd"/>
            <w:r>
              <w:t xml:space="preserve"> </w:t>
            </w:r>
            <w:proofErr w:type="spellStart"/>
            <w:r>
              <w:t>цепочки</w:t>
            </w:r>
            <w:proofErr w:type="spellEnd"/>
          </w:p>
        </w:tc>
        <w:tc>
          <w:tcPr>
            <w:tcW w:w="2643" w:type="dxa"/>
          </w:tcPr>
          <w:p w14:paraId="1AA31A58" w14:textId="77777777" w:rsidR="00721CC4" w:rsidRDefault="00000000" w:rsidP="00AF042F">
            <w:pPr>
              <w:spacing w:line="240" w:lineRule="auto"/>
              <w:ind w:firstLine="0"/>
              <w:jc w:val="center"/>
            </w:pPr>
            <w:r>
              <w:t>Ориентир цены, USD/т</w:t>
            </w:r>
          </w:p>
        </w:tc>
        <w:tc>
          <w:tcPr>
            <w:tcW w:w="3459" w:type="dxa"/>
          </w:tcPr>
          <w:p w14:paraId="7E366EFE" w14:textId="77777777" w:rsidR="00721CC4" w:rsidRDefault="00000000" w:rsidP="00AF042F">
            <w:pPr>
              <w:spacing w:line="240" w:lineRule="auto"/>
              <w:ind w:firstLine="0"/>
              <w:jc w:val="center"/>
            </w:pPr>
            <w:r>
              <w:t>Экономический смысл</w:t>
            </w:r>
          </w:p>
        </w:tc>
      </w:tr>
      <w:tr w:rsidR="00721CC4" w14:paraId="156836D8" w14:textId="77777777" w:rsidTr="00277C38">
        <w:tc>
          <w:tcPr>
            <w:tcW w:w="3510" w:type="dxa"/>
          </w:tcPr>
          <w:p w14:paraId="696BDA2C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Сырой боб</w:t>
            </w:r>
          </w:p>
        </w:tc>
        <w:tc>
          <w:tcPr>
            <w:tcW w:w="2643" w:type="dxa"/>
          </w:tcPr>
          <w:p w14:paraId="699DABD7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1 500</w:t>
            </w:r>
          </w:p>
        </w:tc>
        <w:tc>
          <w:tcPr>
            <w:tcW w:w="3459" w:type="dxa"/>
          </w:tcPr>
          <w:p w14:paraId="60D6397C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Экспорт сырья</w:t>
            </w:r>
          </w:p>
        </w:tc>
      </w:tr>
      <w:tr w:rsidR="00721CC4" w14:paraId="439EC861" w14:textId="77777777" w:rsidTr="00277C38">
        <w:tc>
          <w:tcPr>
            <w:tcW w:w="3510" w:type="dxa"/>
          </w:tcPr>
          <w:p w14:paraId="5A0CCC6A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 xml:space="preserve">1-й передел: масло + </w:t>
            </w:r>
            <w:r>
              <w:lastRenderedPageBreak/>
              <w:t>порошок</w:t>
            </w:r>
          </w:p>
        </w:tc>
        <w:tc>
          <w:tcPr>
            <w:tcW w:w="2643" w:type="dxa"/>
          </w:tcPr>
          <w:p w14:paraId="380AF771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lastRenderedPageBreak/>
              <w:t>2 800</w:t>
            </w:r>
          </w:p>
        </w:tc>
        <w:tc>
          <w:tcPr>
            <w:tcW w:w="3459" w:type="dxa"/>
          </w:tcPr>
          <w:p w14:paraId="17C38A56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Пищевые ингредиенты</w:t>
            </w:r>
          </w:p>
        </w:tc>
      </w:tr>
      <w:tr w:rsidR="00721CC4" w14:paraId="4D8AF909" w14:textId="77777777" w:rsidTr="00277C38">
        <w:tc>
          <w:tcPr>
            <w:tcW w:w="3510" w:type="dxa"/>
          </w:tcPr>
          <w:p w14:paraId="3D7A017D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2-й передел: полуфабрикаты</w:t>
            </w:r>
          </w:p>
        </w:tc>
        <w:tc>
          <w:tcPr>
            <w:tcW w:w="2643" w:type="dxa"/>
          </w:tcPr>
          <w:p w14:paraId="0C97E07F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5 200</w:t>
            </w:r>
          </w:p>
        </w:tc>
        <w:tc>
          <w:tcPr>
            <w:tcW w:w="3459" w:type="dxa"/>
          </w:tcPr>
          <w:p w14:paraId="398C1193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Кондитерские основы</w:t>
            </w:r>
          </w:p>
        </w:tc>
      </w:tr>
      <w:tr w:rsidR="00721CC4" w14:paraId="4487CBE4" w14:textId="77777777" w:rsidTr="00277C38">
        <w:tc>
          <w:tcPr>
            <w:tcW w:w="3510" w:type="dxa"/>
          </w:tcPr>
          <w:p w14:paraId="6780B6CB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3-й передел: готовая продукция</w:t>
            </w:r>
          </w:p>
        </w:tc>
        <w:tc>
          <w:tcPr>
            <w:tcW w:w="2643" w:type="dxa"/>
          </w:tcPr>
          <w:p w14:paraId="4FF1727F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12 000</w:t>
            </w:r>
          </w:p>
        </w:tc>
        <w:tc>
          <w:tcPr>
            <w:tcW w:w="3459" w:type="dxa"/>
          </w:tcPr>
          <w:p w14:paraId="7CC2496D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Шоколад/косметика/фарма</w:t>
            </w:r>
          </w:p>
        </w:tc>
      </w:tr>
    </w:tbl>
    <w:p w14:paraId="28A5B5E2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Вывод к таблице 3.3.2: приоритет кластера — развитие переделов 2–3, поскольку именно они обеспечивают резкий рост экспортной выручки и удержание ренты внутри экономики (включая смежные рынки — косметику и фарму).</w:t>
      </w:r>
    </w:p>
    <w:p w14:paraId="783F6096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Таблица 3.3.3 — Инвестиционный профиль кластера (</w:t>
      </w:r>
      <w:r>
        <w:t>CAPEX</w:t>
      </w:r>
      <w:r w:rsidRPr="00277C38">
        <w:rPr>
          <w:lang w:val="ru-RU"/>
        </w:rPr>
        <w:t>, источники, инновации)</w:t>
      </w:r>
    </w:p>
    <w:tbl>
      <w:tblPr>
        <w:tblStyle w:val="aff0"/>
        <w:tblW w:w="9747" w:type="dxa"/>
        <w:tblLook w:val="04A0" w:firstRow="1" w:lastRow="0" w:firstColumn="1" w:lastColumn="0" w:noHBand="0" w:noVBand="1"/>
      </w:tblPr>
      <w:tblGrid>
        <w:gridCol w:w="3369"/>
        <w:gridCol w:w="1615"/>
        <w:gridCol w:w="2057"/>
        <w:gridCol w:w="2706"/>
      </w:tblGrid>
      <w:tr w:rsidR="00721CC4" w14:paraId="4B3747BA" w14:textId="77777777" w:rsidTr="00544119">
        <w:tc>
          <w:tcPr>
            <w:tcW w:w="3369" w:type="dxa"/>
          </w:tcPr>
          <w:p w14:paraId="32695141" w14:textId="77777777" w:rsidR="00721CC4" w:rsidRDefault="00000000" w:rsidP="00277C38">
            <w:pPr>
              <w:spacing w:line="240" w:lineRule="auto"/>
              <w:ind w:firstLine="0"/>
              <w:jc w:val="both"/>
            </w:pPr>
            <w:proofErr w:type="spellStart"/>
            <w:r>
              <w:t>Направление</w:t>
            </w:r>
            <w:proofErr w:type="spellEnd"/>
            <w:r>
              <w:t xml:space="preserve"> CAPEX</w:t>
            </w:r>
          </w:p>
        </w:tc>
        <w:tc>
          <w:tcPr>
            <w:tcW w:w="1615" w:type="dxa"/>
          </w:tcPr>
          <w:p w14:paraId="0D5F00B6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CAPEX, млрд USD</w:t>
            </w:r>
          </w:p>
        </w:tc>
        <w:tc>
          <w:tcPr>
            <w:tcW w:w="2057" w:type="dxa"/>
          </w:tcPr>
          <w:p w14:paraId="10AAEE48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Источник (модель)</w:t>
            </w:r>
          </w:p>
        </w:tc>
        <w:tc>
          <w:tcPr>
            <w:tcW w:w="2706" w:type="dxa"/>
          </w:tcPr>
          <w:p w14:paraId="0884016C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Инновационная составляющая</w:t>
            </w:r>
          </w:p>
        </w:tc>
      </w:tr>
      <w:tr w:rsidR="00721CC4" w14:paraId="58BD8F7C" w14:textId="77777777" w:rsidTr="00544119">
        <w:tc>
          <w:tcPr>
            <w:tcW w:w="3369" w:type="dxa"/>
          </w:tcPr>
          <w:p w14:paraId="22C78CF4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Перерабатывающие комплексы (3-й передел)</w:t>
            </w:r>
          </w:p>
        </w:tc>
        <w:tc>
          <w:tcPr>
            <w:tcW w:w="1615" w:type="dxa"/>
          </w:tcPr>
          <w:p w14:paraId="5C773312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2.20</w:t>
            </w:r>
          </w:p>
        </w:tc>
        <w:tc>
          <w:tcPr>
            <w:tcW w:w="2057" w:type="dxa"/>
          </w:tcPr>
          <w:p w14:paraId="63EF2FD9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СП 50/50 (Азия, ОАЭ)</w:t>
            </w:r>
          </w:p>
        </w:tc>
        <w:tc>
          <w:tcPr>
            <w:tcW w:w="2706" w:type="dxa"/>
          </w:tcPr>
          <w:p w14:paraId="6A0B90C4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Глубокая переработка (3-й передел)</w:t>
            </w:r>
          </w:p>
        </w:tc>
      </w:tr>
      <w:tr w:rsidR="00721CC4" w14:paraId="6695ABE7" w14:textId="77777777" w:rsidTr="00544119">
        <w:tc>
          <w:tcPr>
            <w:tcW w:w="3369" w:type="dxa"/>
          </w:tcPr>
          <w:p w14:paraId="7B36718B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Портовый терминал готовой продукции</w:t>
            </w:r>
          </w:p>
        </w:tc>
        <w:tc>
          <w:tcPr>
            <w:tcW w:w="1615" w:type="dxa"/>
          </w:tcPr>
          <w:p w14:paraId="72AED81B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0.20</w:t>
            </w:r>
          </w:p>
        </w:tc>
        <w:tc>
          <w:tcPr>
            <w:tcW w:w="2057" w:type="dxa"/>
          </w:tcPr>
          <w:p w14:paraId="38A57254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АфБР/ВБ</w:t>
            </w:r>
          </w:p>
        </w:tc>
        <w:tc>
          <w:tcPr>
            <w:tcW w:w="2706" w:type="dxa"/>
          </w:tcPr>
          <w:p w14:paraId="3E1FD75C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Инфраструктура экспорта</w:t>
            </w:r>
          </w:p>
        </w:tc>
      </w:tr>
      <w:tr w:rsidR="00721CC4" w14:paraId="586244F4" w14:textId="77777777" w:rsidTr="00544119">
        <w:tc>
          <w:tcPr>
            <w:tcW w:w="3369" w:type="dxa"/>
          </w:tcPr>
          <w:p w14:paraId="16F0A1B3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Цифровая трейсабилити (EUDR, blockchain)</w:t>
            </w:r>
          </w:p>
        </w:tc>
        <w:tc>
          <w:tcPr>
            <w:tcW w:w="1615" w:type="dxa"/>
          </w:tcPr>
          <w:p w14:paraId="28780F45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0.10</w:t>
            </w:r>
          </w:p>
        </w:tc>
        <w:tc>
          <w:tcPr>
            <w:tcW w:w="2057" w:type="dxa"/>
          </w:tcPr>
          <w:p w14:paraId="20EE893C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ESG-фонды</w:t>
            </w:r>
          </w:p>
        </w:tc>
        <w:tc>
          <w:tcPr>
            <w:tcW w:w="2706" w:type="dxa"/>
          </w:tcPr>
          <w:p w14:paraId="7A137AFD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Blockchain-верификация EUDR</w:t>
            </w:r>
          </w:p>
        </w:tc>
      </w:tr>
      <w:tr w:rsidR="00721CC4" w14:paraId="72ECA1AE" w14:textId="77777777" w:rsidTr="00544119">
        <w:tc>
          <w:tcPr>
            <w:tcW w:w="3369" w:type="dxa"/>
          </w:tcPr>
          <w:p w14:paraId="4CFC2705" w14:textId="77777777" w:rsidR="00721CC4" w:rsidRPr="00277C38" w:rsidRDefault="00000000" w:rsidP="00277C38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277C38">
              <w:rPr>
                <w:lang w:val="ru-RU"/>
              </w:rPr>
              <w:t>Агротех-лаборатории (</w:t>
            </w:r>
            <w:r>
              <w:t>R</w:t>
            </w:r>
            <w:r w:rsidRPr="00277C38">
              <w:rPr>
                <w:lang w:val="ru-RU"/>
              </w:rPr>
              <w:t>&amp;</w:t>
            </w:r>
            <w:r>
              <w:t>D</w:t>
            </w:r>
            <w:r w:rsidRPr="00277C38">
              <w:rPr>
                <w:lang w:val="ru-RU"/>
              </w:rPr>
              <w:t xml:space="preserve"> селекция/биотех)</w:t>
            </w:r>
          </w:p>
        </w:tc>
        <w:tc>
          <w:tcPr>
            <w:tcW w:w="1615" w:type="dxa"/>
          </w:tcPr>
          <w:p w14:paraId="0071D79E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0.05</w:t>
            </w:r>
          </w:p>
        </w:tc>
        <w:tc>
          <w:tcPr>
            <w:tcW w:w="2057" w:type="dxa"/>
          </w:tcPr>
          <w:p w14:paraId="2A6971FC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Госбюджет</w:t>
            </w:r>
          </w:p>
        </w:tc>
        <w:tc>
          <w:tcPr>
            <w:tcW w:w="2706" w:type="dxa"/>
          </w:tcPr>
          <w:p w14:paraId="2A46A31F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R&amp;D селекция/биотех</w:t>
            </w:r>
          </w:p>
        </w:tc>
      </w:tr>
    </w:tbl>
    <w:p w14:paraId="374A1A7E" w14:textId="77777777" w:rsidR="00544119" w:rsidRDefault="00544119" w:rsidP="00277C38">
      <w:pPr>
        <w:jc w:val="both"/>
        <w:rPr>
          <w:lang w:val="ru-RU"/>
        </w:rPr>
      </w:pPr>
    </w:p>
    <w:p w14:paraId="7B03885B" w14:textId="39561AAC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Вывод к таблице 3.3.3: структура </w:t>
      </w:r>
      <w:r>
        <w:t>CAPEX</w:t>
      </w:r>
      <w:r w:rsidRPr="00277C38">
        <w:rPr>
          <w:lang w:val="ru-RU"/>
        </w:rPr>
        <w:t xml:space="preserve"> концентрируется в перерабатывающих комплексах (3-й передел), а инфраструктурные и цифровые компоненты (терминал + </w:t>
      </w:r>
      <w:proofErr w:type="spellStart"/>
      <w:r w:rsidRPr="00277C38">
        <w:rPr>
          <w:lang w:val="ru-RU"/>
        </w:rPr>
        <w:t>трейсабилити</w:t>
      </w:r>
      <w:proofErr w:type="spellEnd"/>
      <w:r w:rsidRPr="00277C38">
        <w:rPr>
          <w:lang w:val="ru-RU"/>
        </w:rPr>
        <w:t>) формируют экспортную «проходимость» и соответствие регламенту ЕС (</w:t>
      </w:r>
      <w:r>
        <w:t>EUDR</w:t>
      </w:r>
      <w:r w:rsidRPr="00277C38">
        <w:rPr>
          <w:lang w:val="ru-RU"/>
        </w:rPr>
        <w:t>), снижая риск блокировки поставок.</w:t>
      </w:r>
    </w:p>
    <w:p w14:paraId="0FC52ADE" w14:textId="77777777" w:rsidR="00721CC4" w:rsidRDefault="00000000" w:rsidP="00AF042F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A02A61D" wp14:editId="4928DBB9">
            <wp:extent cx="5884333" cy="39776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3_2_cape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942" cy="397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9AB3" w14:textId="77777777" w:rsidR="00AF042F" w:rsidRPr="00277C38" w:rsidRDefault="00AF042F" w:rsidP="00AF042F">
      <w:pPr>
        <w:jc w:val="both"/>
        <w:rPr>
          <w:lang w:val="ru-RU"/>
        </w:rPr>
      </w:pPr>
      <w:r w:rsidRPr="00277C38">
        <w:rPr>
          <w:lang w:val="ru-RU"/>
        </w:rPr>
        <w:t xml:space="preserve">Рисунок 3.3.2 — Структура </w:t>
      </w:r>
      <w:r>
        <w:t>CAPEX</w:t>
      </w:r>
      <w:r w:rsidRPr="00277C38">
        <w:rPr>
          <w:lang w:val="ru-RU"/>
        </w:rPr>
        <w:t xml:space="preserve"> кластера (млрд </w:t>
      </w:r>
      <w:r>
        <w:t>USD</w:t>
      </w:r>
      <w:r w:rsidRPr="00277C38">
        <w:rPr>
          <w:lang w:val="ru-RU"/>
        </w:rPr>
        <w:t>)</w:t>
      </w:r>
    </w:p>
    <w:p w14:paraId="7F9A49EE" w14:textId="77777777" w:rsidR="00AF042F" w:rsidRPr="00AF042F" w:rsidRDefault="00AF042F" w:rsidP="00AF042F">
      <w:pPr>
        <w:ind w:firstLine="0"/>
        <w:jc w:val="center"/>
        <w:rPr>
          <w:lang w:val="ru-RU"/>
        </w:rPr>
      </w:pPr>
    </w:p>
    <w:p w14:paraId="1A0A44B1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Вывод к рисунку 3.3.2: доминирование </w:t>
      </w:r>
      <w:r>
        <w:t>CAPEX</w:t>
      </w:r>
      <w:r w:rsidRPr="00277C38">
        <w:rPr>
          <w:lang w:val="ru-RU"/>
        </w:rPr>
        <w:t xml:space="preserve"> переработки указывает на капиталоёмкость перехода к высоким переделам; при этом относительно небольшие вложения в цифровую прослеживаемость создают непропорционально высокий эффект с точки зрения доступа на премиальные рынки и </w:t>
      </w:r>
      <w:r>
        <w:t>ESG</w:t>
      </w:r>
      <w:r w:rsidRPr="00277C38">
        <w:rPr>
          <w:lang w:val="ru-RU"/>
        </w:rPr>
        <w:t>-финансирования.</w:t>
      </w:r>
    </w:p>
    <w:p w14:paraId="5B9BA06C" w14:textId="77777777" w:rsidR="00AF042F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С точки зрения производственных мощностей проект фиксирует развертывание 8–10 перерабатывающих комплексов мощностью около 22 тыс. т/год каждый. Это соответствует агрегированной мощности 176–220 тыс. т/год. При целевой доле переработки 75% от 2,2 млн т/год целевой объём переработки составляет 1,65 млн т/год. </w:t>
      </w:r>
    </w:p>
    <w:p w14:paraId="16F9FD11" w14:textId="03A7E8D3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lastRenderedPageBreak/>
        <w:t>Следовательно, одна лишь конфигурация 8–10 комплексов представляет «первую волну» и требует масштабирования через (а) расширение мощности существующих заводов, (б) сеть меньших фабрик 1–2 передела в регионах выращивания, и (в) контрактную переработку с локализацией финальных переделов в прибрежной зоне.</w:t>
      </w:r>
    </w:p>
    <w:p w14:paraId="0F6E2296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Рисунок 3.3.3 — Сопоставление мощностей переработки и целевого объёма (млн т/год)</w:t>
      </w:r>
    </w:p>
    <w:p w14:paraId="0F318AD2" w14:textId="77777777" w:rsidR="00721CC4" w:rsidRDefault="00000000" w:rsidP="00277C38">
      <w:pPr>
        <w:jc w:val="both"/>
      </w:pPr>
      <w:r>
        <w:rPr>
          <w:noProof/>
        </w:rPr>
        <w:drawing>
          <wp:inline distT="0" distB="0" distL="0" distR="0" wp14:anchorId="4823B7A7" wp14:editId="1D494AE0">
            <wp:extent cx="5303520" cy="3977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3_3_capacity_g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41D9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Вывод к рисунку 3.3.3: разрыв между заявленной «первой волной» мощностей и целевым объёмом переработки указывает на необходимость поэтапной индустриализации кластера и согласования траектории роста мощностей с инфраструктурой логистики, энергией и подготовкой кадров.</w:t>
      </w:r>
    </w:p>
    <w:p w14:paraId="11D21807" w14:textId="77777777" w:rsidR="00AF042F" w:rsidRDefault="00AF042F" w:rsidP="00277C38">
      <w:pPr>
        <w:jc w:val="both"/>
        <w:rPr>
          <w:lang w:val="ru-RU"/>
        </w:rPr>
      </w:pPr>
    </w:p>
    <w:p w14:paraId="7D961E6F" w14:textId="77625133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lastRenderedPageBreak/>
        <w:t>Таблица 3.3.4 — Потребность в ресурсах: земля, труд, основной капитал, оборотные средства</w:t>
      </w:r>
    </w:p>
    <w:tbl>
      <w:tblPr>
        <w:tblStyle w:val="aff0"/>
        <w:tblW w:w="9747" w:type="dxa"/>
        <w:tblLook w:val="04A0" w:firstRow="1" w:lastRow="0" w:firstColumn="1" w:lastColumn="0" w:noHBand="0" w:noVBand="1"/>
      </w:tblPr>
      <w:tblGrid>
        <w:gridCol w:w="2518"/>
        <w:gridCol w:w="1708"/>
        <w:gridCol w:w="1769"/>
        <w:gridCol w:w="3752"/>
      </w:tblGrid>
      <w:tr w:rsidR="00721CC4" w14:paraId="47A927B2" w14:textId="77777777" w:rsidTr="00AF042F">
        <w:tc>
          <w:tcPr>
            <w:tcW w:w="2518" w:type="dxa"/>
          </w:tcPr>
          <w:p w14:paraId="031A8B3A" w14:textId="77777777" w:rsidR="00721CC4" w:rsidRDefault="00000000" w:rsidP="00AF042F">
            <w:pPr>
              <w:spacing w:line="240" w:lineRule="auto"/>
              <w:ind w:firstLine="0"/>
              <w:jc w:val="center"/>
            </w:pPr>
            <w:proofErr w:type="spellStart"/>
            <w:r>
              <w:t>Ресурс</w:t>
            </w:r>
            <w:proofErr w:type="spellEnd"/>
          </w:p>
        </w:tc>
        <w:tc>
          <w:tcPr>
            <w:tcW w:w="1708" w:type="dxa"/>
          </w:tcPr>
          <w:p w14:paraId="2C5BF023" w14:textId="77777777" w:rsidR="00721CC4" w:rsidRDefault="00000000" w:rsidP="00AF042F">
            <w:pPr>
              <w:spacing w:line="240" w:lineRule="auto"/>
              <w:ind w:firstLine="0"/>
              <w:jc w:val="center"/>
            </w:pPr>
            <w:r>
              <w:t>Ед./масштаб</w:t>
            </w:r>
          </w:p>
        </w:tc>
        <w:tc>
          <w:tcPr>
            <w:tcW w:w="1769" w:type="dxa"/>
          </w:tcPr>
          <w:p w14:paraId="5E182DCE" w14:textId="77777777" w:rsidR="00721CC4" w:rsidRDefault="00000000" w:rsidP="00AF042F">
            <w:pPr>
              <w:spacing w:line="240" w:lineRule="auto"/>
              <w:ind w:firstLine="0"/>
              <w:jc w:val="center"/>
            </w:pPr>
            <w:r>
              <w:t>Оценка</w:t>
            </w:r>
          </w:p>
        </w:tc>
        <w:tc>
          <w:tcPr>
            <w:tcW w:w="3752" w:type="dxa"/>
          </w:tcPr>
          <w:p w14:paraId="60A2266E" w14:textId="77777777" w:rsidR="00721CC4" w:rsidRDefault="00000000" w:rsidP="00AF042F">
            <w:pPr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721CC4" w:rsidRPr="00826D3F" w14:paraId="02583CEE" w14:textId="77777777" w:rsidTr="00AF042F">
        <w:tc>
          <w:tcPr>
            <w:tcW w:w="2518" w:type="dxa"/>
          </w:tcPr>
          <w:p w14:paraId="3F64BA6B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Земля (площадки комплексов + резерв)</w:t>
            </w:r>
          </w:p>
        </w:tc>
        <w:tc>
          <w:tcPr>
            <w:tcW w:w="1708" w:type="dxa"/>
          </w:tcPr>
          <w:p w14:paraId="16508426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455 га</w:t>
            </w:r>
          </w:p>
        </w:tc>
        <w:tc>
          <w:tcPr>
            <w:tcW w:w="1769" w:type="dxa"/>
          </w:tcPr>
          <w:p w14:paraId="29EA6126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4.55 млн м²</w:t>
            </w:r>
          </w:p>
        </w:tc>
        <w:tc>
          <w:tcPr>
            <w:tcW w:w="3752" w:type="dxa"/>
          </w:tcPr>
          <w:p w14:paraId="1F9DC340" w14:textId="77777777" w:rsidR="00721CC4" w:rsidRPr="00277C38" w:rsidRDefault="00000000" w:rsidP="00277C38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277C38">
              <w:rPr>
                <w:lang w:val="ru-RU"/>
              </w:rPr>
              <w:t>Оценка по отраслевым нормам: 35 га/комплекс + 30% резерв</w:t>
            </w:r>
          </w:p>
        </w:tc>
      </w:tr>
      <w:tr w:rsidR="00721CC4" w14:paraId="4F95A1BF" w14:textId="77777777" w:rsidTr="00AF042F">
        <w:tc>
          <w:tcPr>
            <w:tcW w:w="2518" w:type="dxa"/>
          </w:tcPr>
          <w:p w14:paraId="0E261F4D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 xml:space="preserve">Основной </w:t>
            </w:r>
            <w:proofErr w:type="spellStart"/>
            <w:r>
              <w:t>капитал</w:t>
            </w:r>
            <w:proofErr w:type="spellEnd"/>
            <w:r>
              <w:t xml:space="preserve"> (CAPEX)</w:t>
            </w:r>
          </w:p>
        </w:tc>
        <w:tc>
          <w:tcPr>
            <w:tcW w:w="1708" w:type="dxa"/>
          </w:tcPr>
          <w:p w14:paraId="678B8039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—</w:t>
            </w:r>
          </w:p>
        </w:tc>
        <w:tc>
          <w:tcPr>
            <w:tcW w:w="1769" w:type="dxa"/>
          </w:tcPr>
          <w:p w14:paraId="6DC304D6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$2.75 млрд</w:t>
            </w:r>
          </w:p>
        </w:tc>
        <w:tc>
          <w:tcPr>
            <w:tcW w:w="3752" w:type="dxa"/>
          </w:tcPr>
          <w:p w14:paraId="6D9D88CA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Из проектной модели кластера</w:t>
            </w:r>
          </w:p>
        </w:tc>
      </w:tr>
      <w:tr w:rsidR="00721CC4" w:rsidRPr="00826D3F" w14:paraId="5FDF5D06" w14:textId="77777777" w:rsidTr="00AF042F">
        <w:tc>
          <w:tcPr>
            <w:tcW w:w="2518" w:type="dxa"/>
          </w:tcPr>
          <w:p w14:paraId="3A6AF9AC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Трудовые ресурсы (прямые)</w:t>
            </w:r>
          </w:p>
        </w:tc>
        <w:tc>
          <w:tcPr>
            <w:tcW w:w="1708" w:type="dxa"/>
          </w:tcPr>
          <w:p w14:paraId="34F91ACB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—</w:t>
            </w:r>
          </w:p>
        </w:tc>
        <w:tc>
          <w:tcPr>
            <w:tcW w:w="1769" w:type="dxa"/>
          </w:tcPr>
          <w:p w14:paraId="5385B962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160,000 чел.</w:t>
            </w:r>
          </w:p>
        </w:tc>
        <w:tc>
          <w:tcPr>
            <w:tcW w:w="3752" w:type="dxa"/>
          </w:tcPr>
          <w:p w14:paraId="4C25C40F" w14:textId="77777777" w:rsidR="00721CC4" w:rsidRPr="00277C38" w:rsidRDefault="00000000" w:rsidP="00277C38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277C38">
              <w:rPr>
                <w:lang w:val="ru-RU"/>
              </w:rPr>
              <w:t xml:space="preserve">К 2035 г. (операторы линий, </w:t>
            </w:r>
            <w:r>
              <w:t>QC</w:t>
            </w:r>
            <w:r w:rsidRPr="00277C38">
              <w:rPr>
                <w:lang w:val="ru-RU"/>
              </w:rPr>
              <w:t>, технологи, агрономы)</w:t>
            </w:r>
          </w:p>
        </w:tc>
      </w:tr>
      <w:tr w:rsidR="00721CC4" w:rsidRPr="00826D3F" w14:paraId="5207BCDD" w14:textId="77777777" w:rsidTr="00AF042F">
        <w:tc>
          <w:tcPr>
            <w:tcW w:w="2518" w:type="dxa"/>
          </w:tcPr>
          <w:p w14:paraId="17008666" w14:textId="77777777" w:rsidR="00721CC4" w:rsidRDefault="00000000" w:rsidP="00277C38">
            <w:pPr>
              <w:spacing w:line="240" w:lineRule="auto"/>
              <w:ind w:firstLine="0"/>
              <w:jc w:val="both"/>
            </w:pPr>
            <w:proofErr w:type="spellStart"/>
            <w:r>
              <w:t>Трудовые</w:t>
            </w:r>
            <w:proofErr w:type="spellEnd"/>
            <w:r>
              <w:t xml:space="preserve"> </w:t>
            </w:r>
            <w:proofErr w:type="spellStart"/>
            <w:r>
              <w:t>ресурсы</w:t>
            </w:r>
            <w:proofErr w:type="spellEnd"/>
            <w:r>
              <w:t xml:space="preserve"> (</w:t>
            </w:r>
            <w:proofErr w:type="spellStart"/>
            <w:r>
              <w:t>косвенные</w:t>
            </w:r>
            <w:proofErr w:type="spellEnd"/>
            <w:r>
              <w:t>)</w:t>
            </w:r>
          </w:p>
        </w:tc>
        <w:tc>
          <w:tcPr>
            <w:tcW w:w="1708" w:type="dxa"/>
          </w:tcPr>
          <w:p w14:paraId="0A30BB05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—</w:t>
            </w:r>
          </w:p>
        </w:tc>
        <w:tc>
          <w:tcPr>
            <w:tcW w:w="1769" w:type="dxa"/>
          </w:tcPr>
          <w:p w14:paraId="0A8358A1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300,000 чел.</w:t>
            </w:r>
          </w:p>
        </w:tc>
        <w:tc>
          <w:tcPr>
            <w:tcW w:w="3752" w:type="dxa"/>
          </w:tcPr>
          <w:p w14:paraId="6BEBD999" w14:textId="77777777" w:rsidR="00721CC4" w:rsidRPr="00277C38" w:rsidRDefault="00000000" w:rsidP="00277C38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277C38">
              <w:rPr>
                <w:lang w:val="ru-RU"/>
              </w:rPr>
              <w:t>Логистика, сервис, фермерские кооперативы, МСП</w:t>
            </w:r>
          </w:p>
        </w:tc>
      </w:tr>
      <w:tr w:rsidR="00721CC4" w14:paraId="17A63F7B" w14:textId="77777777" w:rsidTr="00AF042F">
        <w:tc>
          <w:tcPr>
            <w:tcW w:w="2518" w:type="dxa"/>
          </w:tcPr>
          <w:p w14:paraId="0DE554E9" w14:textId="77777777" w:rsidR="00721CC4" w:rsidRDefault="00000000" w:rsidP="00277C38">
            <w:pPr>
              <w:spacing w:line="240" w:lineRule="auto"/>
              <w:ind w:firstLine="0"/>
              <w:jc w:val="both"/>
            </w:pPr>
            <w:proofErr w:type="spellStart"/>
            <w:r>
              <w:t>Операционные</w:t>
            </w:r>
            <w:proofErr w:type="spellEnd"/>
            <w:r>
              <w:t xml:space="preserve"> </w:t>
            </w:r>
            <w:proofErr w:type="spellStart"/>
            <w:r>
              <w:t>расходы</w:t>
            </w:r>
            <w:proofErr w:type="spellEnd"/>
            <w:r>
              <w:t xml:space="preserve"> (OPEX, </w:t>
            </w:r>
            <w:proofErr w:type="spellStart"/>
            <w:r>
              <w:t>оценка</w:t>
            </w:r>
            <w:proofErr w:type="spellEnd"/>
            <w:r>
              <w:t>)</w:t>
            </w:r>
          </w:p>
        </w:tc>
        <w:tc>
          <w:tcPr>
            <w:tcW w:w="1708" w:type="dxa"/>
          </w:tcPr>
          <w:p w14:paraId="31F73454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—</w:t>
            </w:r>
          </w:p>
        </w:tc>
        <w:tc>
          <w:tcPr>
            <w:tcW w:w="1769" w:type="dxa"/>
          </w:tcPr>
          <w:p w14:paraId="739F5181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$3.90 млрд/год</w:t>
            </w:r>
          </w:p>
        </w:tc>
        <w:tc>
          <w:tcPr>
            <w:tcW w:w="3752" w:type="dxa"/>
          </w:tcPr>
          <w:p w14:paraId="4206BDA5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Оценочно: 65% выручки (экспорт 6 млрд)</w:t>
            </w:r>
          </w:p>
        </w:tc>
      </w:tr>
      <w:tr w:rsidR="00721CC4" w14:paraId="1D3682CC" w14:textId="77777777" w:rsidTr="00AF042F">
        <w:tc>
          <w:tcPr>
            <w:tcW w:w="2518" w:type="dxa"/>
          </w:tcPr>
          <w:p w14:paraId="5FDE11AC" w14:textId="77777777" w:rsidR="00721CC4" w:rsidRPr="00277C38" w:rsidRDefault="00000000" w:rsidP="00277C38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277C38">
              <w:rPr>
                <w:lang w:val="ru-RU"/>
              </w:rPr>
              <w:t>Оборотный капитал (</w:t>
            </w:r>
            <w:r>
              <w:t>working</w:t>
            </w:r>
            <w:r w:rsidRPr="00277C38">
              <w:rPr>
                <w:lang w:val="ru-RU"/>
              </w:rPr>
              <w:t xml:space="preserve"> </w:t>
            </w:r>
            <w:r>
              <w:t>capital</w:t>
            </w:r>
            <w:r w:rsidRPr="00277C38">
              <w:rPr>
                <w:lang w:val="ru-RU"/>
              </w:rPr>
              <w:t>, оценка)</w:t>
            </w:r>
          </w:p>
        </w:tc>
        <w:tc>
          <w:tcPr>
            <w:tcW w:w="1708" w:type="dxa"/>
          </w:tcPr>
          <w:p w14:paraId="6558D1F8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—</w:t>
            </w:r>
          </w:p>
        </w:tc>
        <w:tc>
          <w:tcPr>
            <w:tcW w:w="1769" w:type="dxa"/>
          </w:tcPr>
          <w:p w14:paraId="1B7BF2CF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$0.47 млрд</w:t>
            </w:r>
          </w:p>
        </w:tc>
        <w:tc>
          <w:tcPr>
            <w:tcW w:w="3752" w:type="dxa"/>
          </w:tcPr>
          <w:p w14:paraId="7D1EAF42" w14:textId="77777777" w:rsidR="00721CC4" w:rsidRDefault="00000000" w:rsidP="00277C38">
            <w:pPr>
              <w:spacing w:line="240" w:lineRule="auto"/>
              <w:ind w:firstLine="0"/>
              <w:jc w:val="both"/>
            </w:pPr>
            <w:r>
              <w:t>Оценочно: 12% годового OPEX</w:t>
            </w:r>
          </w:p>
        </w:tc>
      </w:tr>
    </w:tbl>
    <w:p w14:paraId="7B7E2662" w14:textId="77777777" w:rsidR="00AF042F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Вывод к таблице 3.3.4: кластер требует (1) значимого земельного фонда под промышленную переработку и логистику, (2) масштабного привлечения трудовых ресурсов, что делает образовательный кластер критическим ограничением, и (3) капиталоёмкого ядра (</w:t>
      </w:r>
      <w:r>
        <w:t>CAPEX</w:t>
      </w:r>
      <w:r w:rsidRPr="00277C38">
        <w:rPr>
          <w:lang w:val="ru-RU"/>
        </w:rPr>
        <w:t xml:space="preserve">), дополняемого существенными оборотными средствами для закупки сырья, энергии, логистики и соблюдения стандартов качества. </w:t>
      </w:r>
    </w:p>
    <w:p w14:paraId="293D15FE" w14:textId="77777777" w:rsidR="006C292D" w:rsidRPr="004723AE" w:rsidRDefault="006C292D" w:rsidP="006C292D">
      <w:pPr>
        <w:ind w:firstLine="709"/>
        <w:jc w:val="both"/>
        <w:rPr>
          <w:lang w:val="ru-RU"/>
        </w:rPr>
      </w:pPr>
      <w:r w:rsidRPr="004723AE">
        <w:rPr>
          <w:rFonts w:eastAsia="Times New Roman"/>
          <w:b/>
          <w:lang w:val="ru-RU"/>
        </w:rPr>
        <w:t xml:space="preserve">Формулы для кластера </w:t>
      </w:r>
      <w:r>
        <w:rPr>
          <w:rFonts w:eastAsia="Times New Roman"/>
          <w:b/>
        </w:rPr>
        <w:t>I</w:t>
      </w:r>
      <w:r w:rsidRPr="004723AE">
        <w:rPr>
          <w:rFonts w:eastAsia="Times New Roman"/>
          <w:b/>
          <w:lang w:val="ru-RU"/>
        </w:rPr>
        <w:t>: агропереработка и какао-индустрия (подраздел 3.3.1)</w:t>
      </w:r>
    </w:p>
    <w:p w14:paraId="2781729D" w14:textId="77777777" w:rsidR="006C292D" w:rsidRPr="004723AE" w:rsidRDefault="006C292D" w:rsidP="006C292D">
      <w:pPr>
        <w:ind w:firstLine="709"/>
        <w:jc w:val="both"/>
        <w:rPr>
          <w:lang w:val="ru-RU"/>
        </w:rPr>
      </w:pPr>
      <w:r w:rsidRPr="004723AE">
        <w:rPr>
          <w:rFonts w:eastAsia="Times New Roman"/>
          <w:lang w:val="ru-RU"/>
        </w:rPr>
        <w:t xml:space="preserve">Формула (3.3.1). Целевой вклад кластера </w:t>
      </w:r>
      <w:r>
        <w:rPr>
          <w:rFonts w:eastAsia="Times New Roman"/>
        </w:rPr>
        <w:t>I</w:t>
      </w:r>
      <w:r w:rsidRPr="004723AE">
        <w:rPr>
          <w:rFonts w:eastAsia="Times New Roman"/>
          <w:lang w:val="ru-RU"/>
        </w:rPr>
        <w:t xml:space="preserve"> в прирост валовой добавленной стоимости:</w:t>
      </w:r>
    </w:p>
    <w:p w14:paraId="2C16B380" w14:textId="77777777" w:rsidR="006C292D" w:rsidRPr="004723AE" w:rsidRDefault="006C292D" w:rsidP="006C292D">
      <w:pPr>
        <w:ind w:firstLine="709"/>
        <w:jc w:val="center"/>
        <w:rPr>
          <w:rFonts w:eastAsia="Times New Roman"/>
          <w:szCs w:val="24"/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Cs w:val="24"/>
            <w:lang w:val="fr-FR"/>
          </w:rPr>
          <m:t>Δ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  <w:lang w:val="fr-FR"/>
              </w:rPr>
              <m:t>Y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1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fr-FR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eastAsia="Cambria Math" w:hAnsi="Cambria Math"/>
            <w:szCs w:val="24"/>
            <w:lang w:val="ru-RU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  <w:lang w:val="fr-FR"/>
              </w:rPr>
              <m:t>x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⋅</m:t>
        </m:r>
        <m:r>
          <m:rPr>
            <m:sty m:val="p"/>
          </m:rPr>
          <w:rPr>
            <w:rFonts w:ascii="Cambria Math" w:eastAsia="Cambria Math" w:hAnsi="Cambria Math"/>
            <w:szCs w:val="24"/>
            <w:lang w:val="fr-FR"/>
          </w:rPr>
          <m:t>Δ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  <w:lang w:val="fr-FR"/>
              </w:rPr>
              <m:t>Y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1</m:t>
            </m:r>
          </m:sub>
          <m:sup>
            <m:r>
              <w:rPr>
                <w:rFonts w:ascii="Cambria Math" w:eastAsia="Cambria Math" w:hAnsi="Cambria Math"/>
                <w:szCs w:val="24"/>
                <w:lang w:val="fr-FR"/>
              </w:rPr>
              <m:t>max</m:t>
            </m:r>
          </m:sup>
        </m:sSubSup>
      </m:oMath>
      <w:r>
        <w:rPr>
          <w:rFonts w:eastAsia="Times New Roman"/>
          <w:szCs w:val="24"/>
          <w:lang w:val="ru-RU"/>
        </w:rPr>
        <w:tab/>
      </w:r>
      <w:r>
        <w:rPr>
          <w:rFonts w:eastAsia="Times New Roman"/>
          <w:szCs w:val="24"/>
          <w:lang w:val="ru-RU"/>
        </w:rPr>
        <w:tab/>
      </w:r>
      <w:r>
        <w:rPr>
          <w:rFonts w:eastAsia="Times New Roman"/>
          <w:szCs w:val="24"/>
          <w:lang w:val="ru-RU"/>
        </w:rPr>
        <w:tab/>
      </w:r>
      <w:r w:rsidRPr="004723AE">
        <w:rPr>
          <w:rFonts w:eastAsia="Times New Roman"/>
          <w:lang w:val="ru-RU"/>
        </w:rPr>
        <w:t>(3.3.1).</w:t>
      </w:r>
    </w:p>
    <w:p w14:paraId="7DF0ED65" w14:textId="77777777" w:rsidR="006C292D" w:rsidRDefault="006C292D" w:rsidP="006C292D">
      <w:pPr>
        <w:ind w:firstLine="709"/>
        <w:jc w:val="both"/>
        <w:rPr>
          <w:rFonts w:eastAsia="Times New Roman"/>
          <w:lang w:val="ru-RU"/>
        </w:rPr>
      </w:pPr>
      <w:r>
        <w:rPr>
          <w:rFonts w:eastAsia="Times New Roman"/>
          <w:szCs w:val="24"/>
          <w:lang w:val="ru-RU"/>
        </w:rPr>
        <w:t>г</w:t>
      </w:r>
      <w:r w:rsidRPr="004723AE">
        <w:rPr>
          <w:rFonts w:eastAsia="Times New Roman"/>
          <w:lang w:val="ru-RU"/>
        </w:rPr>
        <w:t>де:</w:t>
      </w:r>
    </w:p>
    <w:p w14:paraId="1ED028DD" w14:textId="77777777" w:rsidR="006C292D" w:rsidRPr="004723AE" w:rsidRDefault="006C292D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/>
            <w:lang w:val="ru-RU"/>
          </w:rPr>
          <w:lastRenderedPageBreak/>
          <m:t>Δ</m:t>
        </m:r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Y</m:t>
            </m:r>
            <m:ctrlPr>
              <w:rPr>
                <w:rFonts w:ascii="Cambria Math" w:eastAsia="Times New Roman" w:hAnsi="Cambria Math"/>
                <w:i/>
              </w:rPr>
            </m:ctrlPr>
          </m:e>
          <m:sub>
            <m:r>
              <w:rPr>
                <w:rFonts w:ascii="Cambria Math" w:eastAsia="Times New Roman" w:hAnsi="Cambria Math"/>
                <w:lang w:val="ru-RU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/>
                    <w:lang w:val="ru-RU"/>
                  </w:rPr>
                  <m:t>1</m:t>
                </m:r>
              </m:sub>
            </m:sSub>
          </m:e>
        </m:d>
      </m:oMath>
      <w:r w:rsidRPr="004723AE">
        <w:rPr>
          <w:rFonts w:eastAsia="Times New Roman"/>
          <w:lang w:val="ru-RU"/>
        </w:rPr>
        <w:t xml:space="preserve"> – фактический вклад кластера </w:t>
      </w:r>
      <w:r w:rsidRPr="004723AE">
        <w:rPr>
          <w:rFonts w:eastAsia="Times New Roman"/>
        </w:rPr>
        <w:t>I</w:t>
      </w:r>
      <w:r w:rsidRPr="004723AE">
        <w:rPr>
          <w:rFonts w:eastAsia="Times New Roman"/>
          <w:lang w:val="ru-RU"/>
        </w:rPr>
        <w:t xml:space="preserve"> (агропереработка и какао-индустрия) в прирост валовой добавленной стоимости прибрежной зоны при степени реализации </w:t>
      </w: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x</m:t>
            </m:r>
            <m:ctrlPr>
              <w:rPr>
                <w:rFonts w:ascii="Cambria Math" w:eastAsia="Times New Roman" w:hAnsi="Cambria Math"/>
                <w:i/>
              </w:rPr>
            </m:ctrlPr>
          </m:e>
          <m:sub>
            <m:r>
              <w:rPr>
                <w:rFonts w:ascii="Cambria Math" w:eastAsia="Times New Roman" w:hAnsi="Cambria Math"/>
                <w:lang w:val="ru-RU"/>
              </w:rPr>
              <m:t>1</m:t>
            </m:r>
          </m:sub>
        </m:sSub>
      </m:oMath>
      <w:r w:rsidRPr="004723AE">
        <w:rPr>
          <w:rFonts w:eastAsia="Times New Roman"/>
          <w:lang w:val="ru-RU"/>
        </w:rPr>
        <w:t>;</w:t>
      </w:r>
    </w:p>
    <w:p w14:paraId="32BC72CA" w14:textId="77777777" w:rsidR="006C292D" w:rsidRPr="004723AE" w:rsidRDefault="006C292D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/>
            <w:lang w:val="ru-RU"/>
          </w:rPr>
          <m:t>Δ</m:t>
        </m:r>
        <m:sSubSup>
          <m:sSubSup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</w:rPr>
              <m:t>Y</m:t>
            </m:r>
            <m:ctrlPr>
              <w:rPr>
                <w:rFonts w:ascii="Cambria Math" w:eastAsia="Times New Roman" w:hAnsi="Cambria Math"/>
                <w:i/>
              </w:rPr>
            </m:ctrlPr>
          </m:e>
          <m:sub>
            <m:r>
              <w:rPr>
                <w:rFonts w:ascii="Cambria Math" w:eastAsia="Times New Roman" w:hAnsi="Cambria Math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/>
              </w:rPr>
              <m:t>max</m:t>
            </m:r>
          </m:sup>
        </m:sSubSup>
      </m:oMath>
      <w:r w:rsidRPr="004723AE">
        <w:rPr>
          <w:rFonts w:eastAsia="Times New Roman"/>
          <w:lang w:val="ru-RU"/>
        </w:rPr>
        <w:t xml:space="preserve">потенциальный максимум прироста ВДС при полной реализации кластера </w:t>
      </w:r>
      <w:r w:rsidRPr="004723AE">
        <w:rPr>
          <w:rFonts w:eastAsia="Times New Roman"/>
        </w:rPr>
        <w:t>I</w:t>
      </w:r>
      <w:r w:rsidRPr="004723AE">
        <w:rPr>
          <w:rFonts w:eastAsia="Times New Roman"/>
          <w:lang w:val="ru-RU"/>
        </w:rPr>
        <w:t xml:space="preserve"> (масштаб переработки 1,65 млн т сырья в год и целевой экспорт готовой продукции порядка 6,0 млрд </w:t>
      </w:r>
      <w:r w:rsidRPr="004723AE">
        <w:rPr>
          <w:rFonts w:eastAsia="Times New Roman"/>
        </w:rPr>
        <w:t>USD</w:t>
      </w:r>
      <w:r w:rsidRPr="004723AE">
        <w:rPr>
          <w:rFonts w:eastAsia="Times New Roman"/>
          <w:lang w:val="ru-RU"/>
        </w:rPr>
        <w:t xml:space="preserve"> к 2035 г.);</w:t>
      </w:r>
    </w:p>
    <w:p w14:paraId="028C7452" w14:textId="77777777" w:rsidR="006C292D" w:rsidRDefault="00000000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/>
          <w:lang w:val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</w:rPr>
              <m:t>x</m:t>
            </m:r>
            <m:ctrlPr>
              <w:rPr>
                <w:rFonts w:ascii="Cambria Math" w:eastAsia="Times New Roman" w:hAnsi="Cambria Math"/>
                <w:i/>
              </w:rPr>
            </m:ctrlPr>
          </m:e>
          <m:sub>
            <m:r>
              <w:rPr>
                <w:rFonts w:ascii="Cambria Math" w:eastAsia="Times New Roman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  <w:lang w:val="ru-RU"/>
              </w:rPr>
              <m:t>0;1</m:t>
            </m:r>
          </m:e>
        </m:d>
      </m:oMath>
      <w:r w:rsidR="006C292D" w:rsidRPr="004723AE">
        <w:rPr>
          <w:rFonts w:eastAsia="Times New Roman"/>
          <w:lang w:val="ru-RU"/>
        </w:rPr>
        <w:t xml:space="preserve"> – степень реализации кластера </w:t>
      </w:r>
      <w:r w:rsidR="006C292D" w:rsidRPr="004723AE">
        <w:rPr>
          <w:rFonts w:eastAsia="Times New Roman"/>
        </w:rPr>
        <w:t>I</w:t>
      </w:r>
      <w:r w:rsidR="006C292D" w:rsidRPr="004723AE">
        <w:rPr>
          <w:rFonts w:eastAsia="Times New Roman"/>
          <w:lang w:val="ru-RU"/>
        </w:rPr>
        <w:t xml:space="preserve">, отражающая долю достигнутого потенциала по отношению к </w:t>
      </w:r>
      <m:oMath>
        <m:r>
          <m:rPr>
            <m:sty m:val="p"/>
          </m:rPr>
          <w:rPr>
            <w:rFonts w:ascii="Cambria Math" w:eastAsia="Times New Roman" w:hAnsi="Cambria Math"/>
            <w:lang w:val="ru-RU"/>
          </w:rPr>
          <m:t>Δ</m:t>
        </m:r>
        <m:sSubSup>
          <m:sSubSupPr>
            <m:ctrlPr>
              <w:rPr>
                <w:rFonts w:ascii="Cambria Math" w:eastAsia="Times New Roman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</w:rPr>
              <m:t>Y</m:t>
            </m:r>
            <m:ctrlPr>
              <w:rPr>
                <w:rFonts w:ascii="Cambria Math" w:eastAsia="Times New Roman" w:hAnsi="Cambria Math"/>
                <w:i/>
              </w:rPr>
            </m:ctrlPr>
          </m:e>
          <m:sub>
            <m:r>
              <w:rPr>
                <w:rFonts w:ascii="Cambria Math" w:eastAsia="Times New Roman" w:hAnsi="Cambria Math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/>
              </w:rPr>
              <m:t>max</m:t>
            </m:r>
          </m:sup>
        </m:sSubSup>
      </m:oMath>
      <w:r w:rsidR="006C292D" w:rsidRPr="004723AE">
        <w:rPr>
          <w:rFonts w:eastAsia="Times New Roman"/>
          <w:lang w:val="ru-RU"/>
        </w:rPr>
        <w:t xml:space="preserve">ормула (3.3.2). </w:t>
      </w:r>
    </w:p>
    <w:p w14:paraId="61572576" w14:textId="77777777" w:rsidR="006C292D" w:rsidRPr="00021CDA" w:rsidRDefault="006C292D" w:rsidP="006C292D">
      <w:pPr>
        <w:ind w:firstLine="709"/>
        <w:jc w:val="both"/>
        <w:rPr>
          <w:rFonts w:eastAsia="Times New Roman"/>
          <w:szCs w:val="24"/>
          <w:lang w:val="ru-RU"/>
        </w:rPr>
      </w:pPr>
      <w:r w:rsidRPr="00021CDA">
        <w:rPr>
          <w:rFonts w:eastAsia="Times New Roman"/>
          <w:szCs w:val="24"/>
          <w:lang w:val="ru-RU"/>
        </w:rPr>
        <w:t>Ограничения по инвестициям, земельным, энергетическим и кадровым ресурсам кластера I:</w:t>
      </w:r>
    </w:p>
    <w:p w14:paraId="6744F822" w14:textId="77777777" w:rsidR="006C292D" w:rsidRPr="004723AE" w:rsidRDefault="006C292D" w:rsidP="006C292D">
      <w:pPr>
        <w:ind w:firstLine="709"/>
        <w:jc w:val="both"/>
        <w:rPr>
          <w:lang w:val="ru-RU"/>
        </w:rPr>
      </w:pPr>
    </w:p>
    <w:p w14:paraId="5BF02025" w14:textId="77777777" w:rsidR="006C292D" w:rsidRPr="004723AE" w:rsidRDefault="006C292D" w:rsidP="006C292D">
      <w:pPr>
        <w:ind w:firstLine="709"/>
        <w:jc w:val="both"/>
        <w:rPr>
          <w:rFonts w:asciiTheme="minorHAnsi" w:hAnsiTheme="minorHAnsi"/>
          <w:szCs w:val="24"/>
          <w:lang w:val="ru-RU"/>
        </w:rPr>
      </w:pPr>
      <m:oMathPara>
        <m:oMath>
          <m:r>
            <w:rPr>
              <w:rFonts w:ascii="Cambria Math" w:eastAsia="Cambria Math" w:hAnsi="Cambria Math"/>
              <w:szCs w:val="24"/>
              <w:lang w:val="ru-RU"/>
            </w:rPr>
            <m:t>0</m:t>
          </m:r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  <w:lang w:val="ru-RU"/>
            </w:rPr>
            <m:t>1,</m:t>
          </m:r>
        </m:oMath>
      </m:oMathPara>
    </w:p>
    <w:p w14:paraId="260E0595" w14:textId="77777777" w:rsidR="006C292D" w:rsidRPr="004723AE" w:rsidRDefault="00000000" w:rsidP="006C292D">
      <w:pPr>
        <w:ind w:firstLine="709"/>
        <w:jc w:val="both"/>
        <w:rPr>
          <w:rFonts w:asciiTheme="minorHAnsi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I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I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1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02F8EC51" w14:textId="77777777" w:rsidR="006C292D" w:rsidRPr="004723AE" w:rsidRDefault="00000000" w:rsidP="006C292D">
      <w:pPr>
        <w:ind w:firstLine="709"/>
        <w:jc w:val="both"/>
        <w:rPr>
          <w:rFonts w:asciiTheme="minorHAnsi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eastAsia="Cambria Math" w:hAnsi="Cambria Math"/>
              <w:szCs w:val="24"/>
            </w:rPr>
            <m:t>Lan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d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</w:rPr>
            <m:t>Lan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d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1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228E81F8" w14:textId="77777777" w:rsidR="006C292D" w:rsidRPr="004723AE" w:rsidRDefault="00000000" w:rsidP="006C292D">
      <w:pPr>
        <w:ind w:firstLine="709"/>
        <w:jc w:val="both"/>
        <w:rPr>
          <w:rFonts w:asciiTheme="minorHAnsi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eastAsia="Cambria Math" w:hAnsi="Cambria Math"/>
              <w:szCs w:val="24"/>
            </w:rPr>
            <m:t>E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n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</w:rPr>
            <m:t>E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n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1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501CD6D2" w14:textId="77777777" w:rsidR="006C292D" w:rsidRDefault="00000000" w:rsidP="006C292D">
      <w:pPr>
        <w:ind w:firstLine="709"/>
        <w:jc w:val="both"/>
        <w:rPr>
          <w:rFonts w:eastAsia="Times New Roman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eastAsia="Cambria Math" w:hAnsi="Cambria Math"/>
              <w:szCs w:val="24"/>
            </w:rPr>
            <m:t>H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R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</w:rPr>
            <m:t>H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R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1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.</m:t>
          </m:r>
        </m:oMath>
      </m:oMathPara>
    </w:p>
    <w:p w14:paraId="7D6A0AF4" w14:textId="77777777" w:rsidR="006C292D" w:rsidRDefault="006C292D" w:rsidP="006C292D">
      <w:pPr>
        <w:ind w:firstLine="709"/>
        <w:jc w:val="both"/>
        <w:rPr>
          <w:rFonts w:eastAsia="Times New Roman"/>
          <w:szCs w:val="24"/>
          <w:lang w:val="ru-RU"/>
        </w:rPr>
      </w:pPr>
      <w:r>
        <w:rPr>
          <w:rFonts w:eastAsia="Times New Roman"/>
          <w:szCs w:val="24"/>
          <w:lang w:val="ru-RU"/>
        </w:rPr>
        <w:t>Где:</w:t>
      </w:r>
    </w:p>
    <w:p w14:paraId="68333C95" w14:textId="77777777" w:rsidR="006C292D" w:rsidRPr="004723AE" w:rsidRDefault="00000000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/>
          <w:lang w:val="ru-RU"/>
        </w:rPr>
      </w:pPr>
      <m:oMath>
        <m:sSub>
          <m:sSubPr>
            <m:ctrlPr>
              <w:rPr>
                <w:rFonts w:ascii="Cambria Math" w:eastAsia="Times New Roman" w:hAnsi="Cambria Math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lang w:val="ru-RU"/>
              </w:rPr>
              <m:t>1</m:t>
            </m:r>
          </m:sub>
        </m:sSub>
      </m:oMath>
      <w:r w:rsidR="006C292D" w:rsidRPr="004723AE">
        <w:rPr>
          <w:rFonts w:eastAsia="Times New Roman"/>
          <w:lang w:val="ru-RU"/>
        </w:rPr>
        <w:t>– совокупный объём капитальных вложений в кластер агропереработки;</w:t>
      </w:r>
    </w:p>
    <w:p w14:paraId="10A80968" w14:textId="77777777" w:rsidR="006C292D" w:rsidRPr="004723AE" w:rsidRDefault="006C292D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/>
          <w:lang w:val="ru-RU"/>
        </w:rPr>
      </w:pPr>
      <w:r w:rsidRPr="004723AE">
        <w:rPr>
          <w:rFonts w:eastAsia="Times New Roman"/>
          <w:lang w:val="ru-RU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/>
                <w:lang w:val="ru-RU"/>
              </w:rPr>
              <m:t>max</m:t>
            </m:r>
          </m:sup>
        </m:sSubSup>
      </m:oMath>
      <w:r w:rsidRPr="004723AE">
        <w:rPr>
          <w:rFonts w:eastAsia="Times New Roman"/>
          <w:lang w:val="ru-RU"/>
        </w:rPr>
        <w:t>максимально допустимый объём инвестиций по проектной модели (ориентировочно 2,75 млрд USD);</w:t>
      </w:r>
    </w:p>
    <w:p w14:paraId="197D9621" w14:textId="77777777" w:rsidR="006C292D" w:rsidRPr="004723AE" w:rsidRDefault="006C292D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/>
          <w:lang w:val="ru-RU"/>
        </w:rPr>
      </w:pPr>
      <w:r w:rsidRPr="004723AE">
        <w:rPr>
          <w:rFonts w:eastAsia="Times New Roman"/>
          <w:lang w:val="ru-RU"/>
        </w:rPr>
        <w:t xml:space="preserve"> </w:t>
      </w:r>
      <m:oMath>
        <m:r>
          <w:rPr>
            <w:rFonts w:ascii="Cambria Math" w:eastAsia="Times New Roman" w:hAnsi="Cambria Math"/>
            <w:lang w:val="ru-RU"/>
          </w:rPr>
          <m:t>Lan</m:t>
        </m:r>
        <m:sSub>
          <m:sSubPr>
            <m:ctrlPr>
              <w:rPr>
                <w:rFonts w:ascii="Cambria Math" w:eastAsia="Times New Roman" w:hAnsi="Cambria Math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lang w:val="ru-RU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lang w:val="ru-RU"/>
              </w:rPr>
              <m:t>1</m:t>
            </m:r>
          </m:sub>
        </m:sSub>
      </m:oMath>
      <w:r w:rsidRPr="004723AE">
        <w:rPr>
          <w:rFonts w:eastAsia="Times New Roman"/>
          <w:lang w:val="ru-RU"/>
        </w:rPr>
        <w:t xml:space="preserve"> – площадь земельных участков под перерабатывающие комплексы, логистику и резерв;</w:t>
      </w:r>
    </w:p>
    <w:p w14:paraId="01F51E13" w14:textId="77777777" w:rsidR="006C292D" w:rsidRPr="004723AE" w:rsidRDefault="006C292D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/>
          <w:lang w:val="ru-RU"/>
        </w:rPr>
      </w:pPr>
      <m:oMath>
        <m:r>
          <w:rPr>
            <w:rFonts w:ascii="Cambria Math" w:eastAsia="Times New Roman" w:hAnsi="Cambria Math"/>
            <w:lang w:val="ru-RU"/>
          </w:rPr>
          <m:t>Lan</m:t>
        </m:r>
        <m:sSubSup>
          <m:sSubSupPr>
            <m:ctrlPr>
              <w:rPr>
                <w:rFonts w:ascii="Cambria Math" w:eastAsia="Times New Roman" w:hAnsi="Cambria Math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lang w:val="ru-RU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/>
                <w:lang w:val="ru-RU"/>
              </w:rPr>
              <m:t>max</m:t>
            </m:r>
          </m:sup>
        </m:sSubSup>
      </m:oMath>
      <w:r w:rsidRPr="004723AE">
        <w:rPr>
          <w:rFonts w:eastAsia="Times New Roman"/>
          <w:lang w:val="ru-RU"/>
        </w:rPr>
        <w:t>доступный земельный ресурс кластера I (ориентировочно 455 га, или 4,55 млн м^2);</w:t>
      </w:r>
    </w:p>
    <w:p w14:paraId="338F6737" w14:textId="77777777" w:rsidR="006C292D" w:rsidRPr="004723AE" w:rsidRDefault="006C292D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/>
          <w:lang w:val="ru-RU"/>
        </w:rPr>
      </w:pPr>
      <w:r w:rsidRPr="004723AE">
        <w:rPr>
          <w:rFonts w:eastAsia="Times New Roman"/>
          <w:lang w:val="ru-RU"/>
        </w:rPr>
        <w:lastRenderedPageBreak/>
        <w:t xml:space="preserve"> </w:t>
      </w:r>
      <m:oMath>
        <m:r>
          <w:rPr>
            <w:rFonts w:ascii="Cambria Math" w:eastAsia="Times New Roman" w:hAnsi="Cambria Math"/>
            <w:lang w:val="ru-RU"/>
          </w:rPr>
          <m:t>E</m:t>
        </m:r>
        <m:sSub>
          <m:sSubPr>
            <m:ctrlPr>
              <w:rPr>
                <w:rFonts w:ascii="Cambria Math" w:eastAsia="Times New Roman" w:hAnsi="Cambria Math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lang w:val="ru-RU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lang w:val="ru-RU"/>
              </w:rPr>
              <m:t>1</m:t>
            </m:r>
          </m:sub>
        </m:sSub>
      </m:oMath>
      <w:r w:rsidRPr="004723AE">
        <w:rPr>
          <w:rFonts w:eastAsia="Times New Roman"/>
          <w:lang w:val="ru-RU"/>
        </w:rPr>
        <w:t xml:space="preserve"> – потребление энергоресурсов перерабатывающими мощностями;</w:t>
      </w:r>
    </w:p>
    <w:p w14:paraId="1F77782F" w14:textId="77777777" w:rsidR="006C292D" w:rsidRPr="004723AE" w:rsidRDefault="006C292D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/>
          <w:lang w:val="ru-RU"/>
        </w:rPr>
      </w:pPr>
      <m:oMath>
        <m:r>
          <w:rPr>
            <w:rFonts w:ascii="Cambria Math" w:eastAsia="Times New Roman" w:hAnsi="Cambria Math"/>
            <w:lang w:val="ru-RU"/>
          </w:rPr>
          <m:t>E</m:t>
        </m:r>
        <m:sSubSup>
          <m:sSubSupPr>
            <m:ctrlPr>
              <w:rPr>
                <w:rFonts w:ascii="Cambria Math" w:eastAsia="Times New Roman" w:hAnsi="Cambria Math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lang w:val="ru-RU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/>
                <w:lang w:val="ru-RU"/>
              </w:rPr>
              <m:t>max</m:t>
            </m:r>
          </m:sup>
        </m:sSubSup>
      </m:oMath>
      <w:r w:rsidRPr="004723AE">
        <w:rPr>
          <w:rFonts w:eastAsia="Times New Roman"/>
          <w:lang w:val="ru-RU"/>
        </w:rPr>
        <w:t>доступный объём энергоснабжения с учётом ограничений энергетического кластера VI;</w:t>
      </w:r>
    </w:p>
    <w:p w14:paraId="454A6D54" w14:textId="77777777" w:rsidR="006C292D" w:rsidRPr="004723AE" w:rsidRDefault="006C292D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/>
          <w:lang w:val="ru-RU"/>
        </w:rPr>
      </w:pPr>
      <w:r w:rsidRPr="004723AE">
        <w:rPr>
          <w:rFonts w:eastAsia="Times New Roman"/>
          <w:lang w:val="ru-RU"/>
        </w:rPr>
        <w:t xml:space="preserve"> </w:t>
      </w:r>
      <m:oMath>
        <m:r>
          <w:rPr>
            <w:rFonts w:ascii="Cambria Math" w:eastAsia="Times New Roman" w:hAnsi="Cambria Math"/>
            <w:lang w:val="ru-RU"/>
          </w:rPr>
          <m:t>H</m:t>
        </m:r>
        <m:sSub>
          <m:sSubPr>
            <m:ctrlPr>
              <w:rPr>
                <w:rFonts w:ascii="Cambria Math" w:eastAsia="Times New Roman" w:hAnsi="Cambria Math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lang w:val="ru-RU"/>
              </w:rPr>
              <m:t>1</m:t>
            </m:r>
          </m:sub>
        </m:sSub>
      </m:oMath>
      <w:r w:rsidRPr="004723AE">
        <w:rPr>
          <w:rFonts w:eastAsia="Times New Roman"/>
          <w:lang w:val="ru-RU"/>
        </w:rPr>
        <w:t xml:space="preserve"> – потребность кластера I в трудовых ресурсах (прямые и косвенные рабочие места – операторы линий, технологи, логистика, фермерские кооперативы и МСП);</w:t>
      </w:r>
    </w:p>
    <w:p w14:paraId="53510994" w14:textId="77777777" w:rsidR="006C292D" w:rsidRPr="004723AE" w:rsidRDefault="006C292D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/>
          <w:lang w:val="ru-RU"/>
        </w:rPr>
      </w:pPr>
      <w:r w:rsidRPr="004723AE">
        <w:rPr>
          <w:rFonts w:eastAsia="Times New Roman"/>
          <w:lang w:val="ru-RU"/>
        </w:rPr>
        <w:t xml:space="preserve"> </w:t>
      </w:r>
      <m:oMath>
        <m:r>
          <w:rPr>
            <w:rFonts w:ascii="Cambria Math" w:eastAsia="Times New Roman" w:hAnsi="Cambria Math"/>
            <w:lang w:val="ru-RU"/>
          </w:rPr>
          <m:t>H</m:t>
        </m:r>
        <m:sSubSup>
          <m:sSubSupPr>
            <m:ctrlPr>
              <w:rPr>
                <w:rFonts w:ascii="Cambria Math" w:eastAsia="Times New Roman" w:hAnsi="Cambria Math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/>
                <w:lang w:val="ru-RU"/>
              </w:rPr>
              <m:t>max</m:t>
            </m:r>
          </m:sup>
        </m:sSubSup>
      </m:oMath>
      <w:r w:rsidRPr="004723AE">
        <w:rPr>
          <w:rFonts w:eastAsia="Times New Roman"/>
          <w:lang w:val="ru-RU"/>
        </w:rPr>
        <w:t>доступная численность и квалификация кадров к горизонту 2035 г.</w:t>
      </w:r>
    </w:p>
    <w:p w14:paraId="66E95957" w14:textId="77777777" w:rsidR="006C292D" w:rsidRDefault="006C292D" w:rsidP="006C292D">
      <w:pPr>
        <w:ind w:firstLine="709"/>
        <w:jc w:val="both"/>
        <w:rPr>
          <w:rFonts w:eastAsia="Times New Roman"/>
          <w:lang w:val="ru-RU"/>
        </w:rPr>
      </w:pPr>
      <w:r w:rsidRPr="004723AE">
        <w:rPr>
          <w:rFonts w:eastAsia="Times New Roman"/>
          <w:lang w:val="ru-RU"/>
        </w:rPr>
        <w:t xml:space="preserve">Формула (3.3.3). Инвестиционный мультипликатор кластера </w:t>
      </w:r>
      <w:r>
        <w:rPr>
          <w:rFonts w:eastAsia="Times New Roman"/>
        </w:rPr>
        <w:t>I</w:t>
      </w:r>
      <w:r w:rsidRPr="004723AE">
        <w:rPr>
          <w:rFonts w:eastAsia="Times New Roman"/>
          <w:lang w:val="ru-RU"/>
        </w:rPr>
        <w:t>:</w:t>
      </w:r>
    </w:p>
    <w:p w14:paraId="211551FF" w14:textId="5BE427C3" w:rsidR="006C292D" w:rsidRPr="00826D3F" w:rsidRDefault="00826D3F" w:rsidP="00826D3F">
      <w:pPr>
        <w:ind w:firstLine="709"/>
        <w:jc w:val="center"/>
        <w:rPr>
          <w:lang w:val="fr-FR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24"/>
                <w:lang w:val="fr-FR"/>
              </w:rPr>
            </m:ctrlPr>
          </m:sSubPr>
          <m:e>
            <m:r>
              <w:rPr>
                <w:rFonts w:ascii="Cambria Math" w:hAnsi="Cambria Math"/>
                <w:sz w:val="32"/>
                <w:szCs w:val="24"/>
                <w:lang w:val="fr-FR"/>
              </w:rPr>
              <m:t>k</m:t>
            </m:r>
          </m:e>
          <m:sub>
            <m:r>
              <w:rPr>
                <w:rFonts w:ascii="Cambria Math" w:hAnsi="Cambria Math"/>
                <w:sz w:val="32"/>
                <w:szCs w:val="24"/>
                <w:lang w:val="fr-FR"/>
              </w:rPr>
              <m:t>1</m:t>
            </m:r>
          </m:sub>
        </m:sSub>
        <m:r>
          <w:rPr>
            <w:rFonts w:ascii="Cambria Math" w:hAnsi="Cambria Math"/>
            <w:sz w:val="32"/>
            <w:szCs w:val="24"/>
            <w:lang w:val="fr-FR"/>
          </w:rPr>
          <m:t>=</m:t>
        </m:r>
        <m:f>
          <m:fPr>
            <m:ctrlPr>
              <w:rPr>
                <w:rFonts w:ascii="Cambria Math" w:hAnsi="Cambria Math"/>
                <w:sz w:val="32"/>
                <w:szCs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24"/>
                <w:lang w:val="fr-FR"/>
              </w:rPr>
              <m:t>Δ</m:t>
            </m:r>
            <m:r>
              <w:rPr>
                <w:rFonts w:ascii="Cambria Math" w:hAnsi="Cambria Math"/>
                <w:sz w:val="32"/>
                <w:szCs w:val="24"/>
                <w:lang w:val="fr-FR"/>
              </w:rPr>
              <m:t>V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24"/>
                    <w:lang w:val="fr-FR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4"/>
                    <w:lang w:val="fr-FR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32"/>
                    <w:szCs w:val="24"/>
                    <w:lang w:val="fr-FR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  <w:sz w:val="32"/>
                <w:szCs w:val="24"/>
                <w:lang w:val="fr-FR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24"/>
                    <w:lang w:val="fr-FR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4"/>
                    <w:lang w:val="fr-FR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32"/>
                    <w:szCs w:val="24"/>
                    <w:lang w:val="fr-FR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  <w:sz w:val="32"/>
                <w:szCs w:val="24"/>
                <w:lang w:val="fr-FR"/>
              </w:rPr>
            </m:ctrlPr>
          </m:den>
        </m:f>
      </m:oMath>
      <w:r w:rsidR="006C292D">
        <w:rPr>
          <w:szCs w:val="24"/>
          <w:lang w:val="ru-RU"/>
        </w:rPr>
        <w:tab/>
      </w:r>
      <w:r w:rsidR="006C292D">
        <w:rPr>
          <w:szCs w:val="24"/>
          <w:lang w:val="ru-RU"/>
        </w:rPr>
        <w:tab/>
      </w:r>
      <w:r w:rsidR="006C292D" w:rsidRPr="004723AE">
        <w:rPr>
          <w:rFonts w:eastAsia="Times New Roman"/>
          <w:lang w:val="ru-RU"/>
        </w:rPr>
        <w:t>(3.3.3).</w:t>
      </w:r>
    </w:p>
    <w:p w14:paraId="49F772FC" w14:textId="77777777" w:rsidR="006C292D" w:rsidRDefault="006C292D" w:rsidP="006C292D">
      <w:pPr>
        <w:ind w:firstLine="709"/>
        <w:jc w:val="both"/>
        <w:rPr>
          <w:rFonts w:eastAsia="Times New Roman"/>
          <w:lang w:val="ru-RU"/>
        </w:rPr>
      </w:pPr>
      <w:r w:rsidRPr="004723AE">
        <w:rPr>
          <w:rFonts w:eastAsia="Times New Roman"/>
          <w:lang w:val="ru-RU"/>
        </w:rPr>
        <w:t>где:</w:t>
      </w:r>
    </w:p>
    <w:p w14:paraId="35031519" w14:textId="77777777" w:rsidR="006C292D" w:rsidRPr="004723AE" w:rsidRDefault="006C292D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 w:cs="Times New Roman"/>
          <w:lang w:val="ru-RU"/>
        </w:rPr>
      </w:pPr>
      <w:r w:rsidRPr="004723AE">
        <w:rPr>
          <w:rFonts w:eastAsia="Times New Roman" w:cs="Times New Roman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ru-RU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lang w:val="ru-RU"/>
              </w:rPr>
              <m:t>1</m:t>
            </m:r>
          </m:sub>
        </m:sSub>
      </m:oMath>
      <w:r w:rsidRPr="004723AE">
        <w:rPr>
          <w:rFonts w:eastAsia="Times New Roman" w:cs="Times New Roman"/>
          <w:lang w:val="ru-RU"/>
        </w:rPr>
        <w:t xml:space="preserve"> – инвестиционный мультипликатор кластера I;</w:t>
      </w:r>
    </w:p>
    <w:p w14:paraId="524D3AF8" w14:textId="77777777" w:rsidR="006C292D" w:rsidRPr="004723AE" w:rsidRDefault="006C292D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 w:cs="Times New Roman"/>
          <w:lang w:val="ru-RU"/>
        </w:rPr>
      </w:pPr>
      <w:r w:rsidRPr="004723AE">
        <w:rPr>
          <w:rFonts w:eastAsia="Times New Roman" w:cs="Times New Roman"/>
          <w:lang w:val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lang w:val="ru-RU"/>
          </w:rPr>
          <m:t>Δ</m:t>
        </m:r>
        <m:r>
          <w:rPr>
            <w:rFonts w:ascii="Cambria Math" w:eastAsia="Times New Roman" w:hAnsi="Cambria Math" w:cs="Times New Roman"/>
            <w:lang w:val="ru-RU"/>
          </w:rPr>
          <m:t>V</m:t>
        </m:r>
        <m:sSub>
          <m:sSubPr>
            <m:ctrlPr>
              <w:rPr>
                <w:rFonts w:ascii="Cambria Math" w:eastAsia="Times New Roman" w:hAnsi="Cambria Math" w:cs="Times New Roman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ru-RU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lang w:val="ru-RU"/>
              </w:rPr>
              <m:t>1</m:t>
            </m:r>
          </m:sub>
        </m:sSub>
      </m:oMath>
      <w:r w:rsidRPr="004723AE">
        <w:rPr>
          <w:rFonts w:eastAsia="Times New Roman" w:cs="Times New Roman"/>
          <w:lang w:val="ru-RU"/>
        </w:rPr>
        <w:t xml:space="preserve"> – прирост добавленной стоимости (value added), создаваемый кластером агропереработки при реализации инвестиционной программы (по проектным оценкам порядка 3,5 млрд USD);</w:t>
      </w:r>
    </w:p>
    <w:p w14:paraId="77DC2298" w14:textId="77777777" w:rsidR="006C292D" w:rsidRPr="004723AE" w:rsidRDefault="006C292D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 w:cs="Times New Roman"/>
          <w:lang w:val="ru-RU"/>
        </w:rPr>
      </w:pPr>
      <w:r w:rsidRPr="004723AE">
        <w:rPr>
          <w:rFonts w:eastAsia="Times New Roman" w:cs="Times New Roman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lang w:val="ru-RU"/>
              </w:rPr>
              <m:t>1</m:t>
            </m:r>
          </m:sub>
        </m:sSub>
      </m:oMath>
      <w:r w:rsidRPr="004723AE">
        <w:rPr>
          <w:rFonts w:eastAsia="Times New Roman" w:cs="Times New Roman"/>
          <w:lang w:val="ru-RU"/>
        </w:rPr>
        <w:t xml:space="preserve"> – объём капитальных вложений в кластер I (около 2,75 млрд USD). Величина </w:t>
      </w:r>
      <m:oMath>
        <m:sSub>
          <m:sSubPr>
            <m:ctrlPr>
              <w:rPr>
                <w:rFonts w:ascii="Cambria Math" w:eastAsia="Times New Roman" w:hAnsi="Cambria Math" w:cs="Times New Roman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ru-RU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lang w:val="ru-RU"/>
              </w:rPr>
              <m:t>1</m:t>
            </m:r>
          </m:sub>
        </m:sSub>
      </m:oMath>
      <w:r w:rsidRPr="004723AE">
        <w:rPr>
          <w:rFonts w:eastAsia="Times New Roman" w:cs="Times New Roman"/>
          <w:lang w:val="ru-RU"/>
        </w:rPr>
        <w:t xml:space="preserve"> 1,8 означает, что каждый вложенный доллар капитала генерирует примерно 1,8 доллара прироста добавленной стоимости в агропереработке.</w:t>
      </w:r>
    </w:p>
    <w:p w14:paraId="53280DA4" w14:textId="77777777" w:rsidR="006C292D" w:rsidRPr="004723AE" w:rsidRDefault="006C292D" w:rsidP="006C292D">
      <w:pPr>
        <w:ind w:firstLine="709"/>
        <w:jc w:val="both"/>
        <w:rPr>
          <w:lang w:val="ru-RU"/>
        </w:rPr>
      </w:pPr>
      <w:r w:rsidRPr="004723AE">
        <w:rPr>
          <w:rFonts w:eastAsia="Times New Roman"/>
          <w:lang w:val="ru-RU"/>
        </w:rPr>
        <w:t>Формула (3.3.4). Связь между общим объёмом сырья и целевым объёмом переработки:</w:t>
      </w:r>
    </w:p>
    <w:p w14:paraId="42A02020" w14:textId="77777777" w:rsidR="006C292D" w:rsidRPr="004723AE" w:rsidRDefault="00000000" w:rsidP="006C292D">
      <w:pPr>
        <w:ind w:firstLine="709"/>
        <w:jc w:val="center"/>
        <w:rPr>
          <w:rFonts w:asciiTheme="minorHAnsi" w:hAnsiTheme="minorHAnsi"/>
          <w:szCs w:val="24"/>
          <w:lang w:val="en-GB"/>
        </w:rPr>
      </w:pPr>
      <m:oMathPara>
        <m:oMath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Q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en-GB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eastAsia="Cambria Math" w:hAnsi="Cambria Math"/>
                  <w:szCs w:val="24"/>
                </w:rPr>
                <m:t>proc</m:t>
              </m:r>
            </m:sup>
          </m:sSubSup>
          <m:r>
            <w:rPr>
              <w:rFonts w:ascii="Cambria Math" w:eastAsia="Cambria Math" w:hAnsi="Cambria Math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/>
                  <w:szCs w:val="24"/>
                  <w:lang w:val="ru-RU"/>
                </w:rPr>
                <m:t>α</m:t>
              </m:r>
            </m:e>
            <m:sub>
              <m:r>
                <w:rPr>
                  <w:rFonts w:ascii="Cambria Math" w:eastAsia="Cambria Math" w:hAnsi="Cambria Math"/>
                  <w:szCs w:val="24"/>
                  <w:lang w:val="en-GB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en-GB"/>
            </w:rPr>
            <m:t>*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Q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en-GB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eastAsia="Cambria Math" w:hAnsi="Cambria Math"/>
                  <w:szCs w:val="24"/>
                </w:rPr>
                <m:t>raw</m:t>
              </m:r>
            </m:sup>
          </m:sSubSup>
          <m:r>
            <w:rPr>
              <w:rFonts w:ascii="Cambria Math" w:eastAsia="Cambria Math" w:hAnsi="Cambria Math"/>
              <w:szCs w:val="24"/>
              <w:lang w:val="en-GB"/>
            </w:rPr>
            <m:t>,</m:t>
          </m:r>
        </m:oMath>
      </m:oMathPara>
    </w:p>
    <w:p w14:paraId="13FD3369" w14:textId="77777777" w:rsidR="006C292D" w:rsidRPr="004723AE" w:rsidRDefault="00000000" w:rsidP="006C292D">
      <w:pPr>
        <w:ind w:firstLine="709"/>
        <w:jc w:val="center"/>
        <w:rPr>
          <w:lang w:val="ru-RU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4"/>
                <w:lang w:val="ru-RU"/>
              </w:rPr>
              <m:t>α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1</m:t>
            </m:r>
          </m:sub>
        </m:sSub>
        <m:r>
          <w:rPr>
            <w:rFonts w:ascii="Cambria Math" w:eastAsia="Cambria Math" w:hAnsi="Cambria Math"/>
            <w:szCs w:val="24"/>
            <w:lang w:val="ru-RU"/>
          </w:rPr>
          <m:t>=0,75</m:t>
        </m:r>
      </m:oMath>
      <w:r w:rsidR="006C292D">
        <w:rPr>
          <w:szCs w:val="24"/>
          <w:lang w:val="ru-RU"/>
        </w:rPr>
        <w:tab/>
      </w:r>
      <w:r w:rsidR="006C292D">
        <w:rPr>
          <w:szCs w:val="24"/>
          <w:lang w:val="ru-RU"/>
        </w:rPr>
        <w:tab/>
      </w:r>
      <w:r w:rsidR="006C292D" w:rsidRPr="004723AE">
        <w:rPr>
          <w:rFonts w:eastAsia="Times New Roman"/>
          <w:lang w:val="ru-RU"/>
        </w:rPr>
        <w:t>(3.3.4).</w:t>
      </w:r>
    </w:p>
    <w:p w14:paraId="73A9F711" w14:textId="77777777" w:rsidR="006C292D" w:rsidRDefault="006C292D" w:rsidP="006C292D">
      <w:pPr>
        <w:ind w:firstLine="709"/>
        <w:jc w:val="both"/>
        <w:rPr>
          <w:rFonts w:eastAsia="Times New Roman"/>
          <w:lang w:val="ru-RU"/>
        </w:rPr>
      </w:pPr>
      <w:r w:rsidRPr="004723AE">
        <w:rPr>
          <w:rFonts w:eastAsia="Times New Roman"/>
          <w:lang w:val="ru-RU"/>
        </w:rPr>
        <w:t>где:</w:t>
      </w:r>
    </w:p>
    <w:p w14:paraId="5A7842A8" w14:textId="77777777" w:rsidR="006C292D" w:rsidRPr="00021CDA" w:rsidRDefault="006C292D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 w:cs="Times New Roman"/>
          <w:lang w:val="ru-RU"/>
        </w:rPr>
      </w:pPr>
      <w:r w:rsidRPr="00021CDA">
        <w:rPr>
          <w:rFonts w:eastAsia="Times New Roman" w:cs="Times New Roman"/>
          <w:lang w:val="ru-RU"/>
        </w:rPr>
        <w:lastRenderedPageBreak/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lang w:val="ru-RU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lang w:val="ru-RU"/>
              </w:rPr>
              <m:t>1</m:t>
            </m:r>
          </m:sub>
          <m:sup>
            <m:r>
              <m:rPr>
                <m:nor/>
              </m:rPr>
              <w:rPr>
                <w:rFonts w:eastAsia="Times New Roman" w:cs="Times New Roman"/>
                <w:lang w:val="ru-RU"/>
              </w:rPr>
              <m:t>proc</m:t>
            </m:r>
          </m:sup>
        </m:sSubSup>
      </m:oMath>
      <w:r w:rsidRPr="00021CDA">
        <w:rPr>
          <w:rFonts w:eastAsia="Times New Roman" w:cs="Times New Roman"/>
          <w:lang w:val="ru-RU"/>
        </w:rPr>
        <w:t xml:space="preserve"> – целевой объём переработки какао-сырья в рамках кластера I (ориентировочно 1,65 млн т/год); </w:t>
      </w:r>
    </w:p>
    <w:p w14:paraId="52A20E0F" w14:textId="77777777" w:rsidR="006C292D" w:rsidRPr="00021CDA" w:rsidRDefault="00000000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 w:cs="Times New Roman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lang w:val="ru-RU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lang w:val="ru-RU"/>
              </w:rPr>
              <m:t>1</m:t>
            </m:r>
          </m:sub>
          <m:sup>
            <m:r>
              <m:rPr>
                <m:nor/>
              </m:rPr>
              <w:rPr>
                <w:rFonts w:eastAsia="Times New Roman" w:cs="Times New Roman"/>
                <w:lang w:val="ru-RU"/>
              </w:rPr>
              <m:t>raw</m:t>
            </m:r>
          </m:sup>
        </m:sSubSup>
      </m:oMath>
      <w:r w:rsidR="006C292D" w:rsidRPr="00021CDA">
        <w:rPr>
          <w:rFonts w:eastAsia="Times New Roman" w:cs="Times New Roman"/>
          <w:lang w:val="ru-RU"/>
        </w:rPr>
        <w:t xml:space="preserve"> – общий объём сырья на входе в прибрежную зону (</w:t>
      </w:r>
      <w:proofErr w:type="spellStart"/>
      <w:r w:rsidR="006C292D" w:rsidRPr="00021CDA">
        <w:rPr>
          <w:rFonts w:eastAsia="Times New Roman" w:cs="Times New Roman"/>
          <w:lang w:val="ru-RU"/>
        </w:rPr>
        <w:t>проектно</w:t>
      </w:r>
      <w:proofErr w:type="spellEnd"/>
      <w:r w:rsidR="006C292D" w:rsidRPr="00021CDA">
        <w:rPr>
          <w:rFonts w:eastAsia="Times New Roman" w:cs="Times New Roman"/>
          <w:lang w:val="ru-RU"/>
        </w:rPr>
        <w:t xml:space="preserve"> 2,20 млн т/год);</w:t>
      </w:r>
    </w:p>
    <w:p w14:paraId="2E0225EC" w14:textId="77777777" w:rsidR="006C292D" w:rsidRPr="00021CDA" w:rsidRDefault="00000000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 w:cs="Times New Roman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ru-RU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lang w:val="ru-RU"/>
              </w:rPr>
              <m:t>1</m:t>
            </m:r>
          </m:sub>
        </m:sSub>
      </m:oMath>
      <w:r w:rsidR="006C292D" w:rsidRPr="00021CDA">
        <w:rPr>
          <w:rFonts w:eastAsia="Times New Roman" w:cs="Times New Roman"/>
          <w:lang w:val="ru-RU"/>
        </w:rPr>
        <w:t xml:space="preserve"> – целевая доля переработки сырья в стране (75 % к 2035 г.).</w:t>
      </w:r>
    </w:p>
    <w:p w14:paraId="2375ABB9" w14:textId="77777777" w:rsidR="006C292D" w:rsidRDefault="006C292D" w:rsidP="006C292D">
      <w:pPr>
        <w:ind w:firstLine="709"/>
        <w:jc w:val="both"/>
        <w:rPr>
          <w:rFonts w:eastAsia="Times New Roman"/>
          <w:lang w:val="ru-RU"/>
        </w:rPr>
      </w:pPr>
      <w:r w:rsidRPr="004723AE">
        <w:rPr>
          <w:rFonts w:eastAsia="Times New Roman"/>
          <w:lang w:val="ru-RU"/>
        </w:rPr>
        <w:t xml:space="preserve">Формула (3.3.5). Оценка операционных расходов и потребности в оборотном капитале кластера </w:t>
      </w:r>
      <w:r>
        <w:rPr>
          <w:rFonts w:eastAsia="Times New Roman"/>
        </w:rPr>
        <w:t>I</w:t>
      </w:r>
      <w:r w:rsidRPr="004723AE">
        <w:rPr>
          <w:rFonts w:eastAsia="Times New Roman"/>
          <w:lang w:val="ru-RU"/>
        </w:rPr>
        <w:t>:</w:t>
      </w:r>
    </w:p>
    <w:p w14:paraId="74499BA4" w14:textId="77777777" w:rsidR="006C292D" w:rsidRPr="004723AE" w:rsidRDefault="006C292D" w:rsidP="006C292D">
      <w:pPr>
        <w:ind w:firstLine="709"/>
        <w:jc w:val="both"/>
        <w:rPr>
          <w:lang w:val="ru-RU"/>
        </w:rPr>
      </w:pPr>
    </w:p>
    <w:p w14:paraId="46E4CEB3" w14:textId="77777777" w:rsidR="006C292D" w:rsidRPr="006C292D" w:rsidRDefault="006C292D" w:rsidP="006C292D">
      <w:pPr>
        <w:ind w:firstLine="709"/>
        <w:jc w:val="center"/>
        <w:rPr>
          <w:rFonts w:asciiTheme="minorHAnsi" w:hAnsiTheme="minorHAnsi"/>
          <w:szCs w:val="24"/>
          <w:lang w:val="en-GB"/>
        </w:rPr>
      </w:pPr>
      <m:oMathPara>
        <m:oMath>
          <m:r>
            <m:rPr>
              <m:nor/>
            </m:rPr>
            <w:rPr>
              <w:rFonts w:ascii="Cambria Math" w:eastAsia="Cambria Math" w:hAnsi="Cambria Math"/>
              <w:szCs w:val="24"/>
            </w:rPr>
            <m:t>OPE</m:t>
          </m:r>
          <m:sSub>
            <m:sSubP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sSubPr>
            <m:e>
              <m:r>
                <m:rPr>
                  <m:nor/>
                </m:rP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ascii="Cambria Math" w:eastAsia="Cambria Math" w:hAnsi="Cambria Math"/>
                  <w:szCs w:val="24"/>
                  <w:lang w:val="en-GB"/>
                </w:rPr>
                <m:t>1</m:t>
              </m:r>
            </m:sub>
          </m:sSub>
          <m:r>
            <w:rPr>
              <w:rFonts w:ascii="Cambria Math" w:eastAsia="Cambria Math" w:hAnsi="Cambria Math"/>
              <w:szCs w:val="24"/>
              <w:lang w:val="en-GB"/>
            </w:rPr>
            <m:t>=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mbria Math" w:hAnsi="Cambria Math"/>
                  <w:szCs w:val="24"/>
                  <w:lang w:val="ru-RU"/>
                </w:rPr>
                <m:t>α</m:t>
              </m:r>
            </m:e>
            <m:sub>
              <m:r>
                <w:rPr>
                  <w:rFonts w:ascii="Cambria Math" w:eastAsia="Cambria Math" w:hAnsi="Cambria Math"/>
                  <w:szCs w:val="24"/>
                  <w:lang w:val="en-GB"/>
                </w:rPr>
                <m:t>1</m:t>
              </m:r>
            </m:sub>
            <m:sup>
              <m:r>
                <m:rPr>
                  <m:nor/>
                </m:rPr>
                <w:rPr>
                  <w:rFonts w:ascii="Cambria Math" w:eastAsia="Cambria Math" w:hAnsi="Cambria Math"/>
                  <w:szCs w:val="24"/>
                </w:rPr>
                <m:t>op</m:t>
              </m:r>
            </m:sup>
          </m:sSubSup>
          <m:r>
            <m:rPr>
              <m:sty m:val="p"/>
            </m:rPr>
            <w:rPr>
              <w:rFonts w:ascii="Cambria Math" w:eastAsia="Cambria Math" w:hAnsi="Cambria Math"/>
              <w:szCs w:val="24"/>
              <w:lang w:val="en-GB"/>
            </w:rPr>
            <m:t>⋅</m:t>
          </m:r>
          <m:r>
            <w:rPr>
              <w:rFonts w:ascii="Cambria Math" w:eastAsia="Cambria Math" w:hAnsi="Cambria Math"/>
              <w:szCs w:val="24"/>
            </w:rPr>
            <m:t>Re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v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en-GB"/>
                </w:rPr>
                <m:t>1</m:t>
              </m:r>
            </m:sub>
          </m:sSub>
          <m:r>
            <w:rPr>
              <w:rFonts w:ascii="Cambria Math" w:eastAsia="Cambria Math" w:hAnsi="Cambria Math"/>
              <w:szCs w:val="24"/>
              <w:lang w:val="en-GB"/>
            </w:rPr>
            <m:t>,</m:t>
          </m:r>
        </m:oMath>
      </m:oMathPara>
    </w:p>
    <w:p w14:paraId="52DA8710" w14:textId="77777777" w:rsidR="006C292D" w:rsidRPr="004723AE" w:rsidRDefault="006C292D" w:rsidP="006C292D">
      <w:pPr>
        <w:ind w:firstLine="709"/>
        <w:jc w:val="center"/>
        <w:rPr>
          <w:lang w:val="en-GB"/>
        </w:rPr>
      </w:pPr>
      <m:oMath>
        <m:r>
          <w:rPr>
            <w:rFonts w:ascii="Cambria Math" w:eastAsia="Cambria Math" w:hAnsi="Cambria Math"/>
            <w:szCs w:val="24"/>
          </w:rPr>
          <m:t>W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C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en-GB"/>
              </w:rPr>
              <m:t>1</m:t>
            </m:r>
          </m:sub>
        </m:sSub>
        <m:r>
          <w:rPr>
            <w:rFonts w:ascii="Cambria Math" w:eastAsia="Cambria Math" w:hAnsi="Cambria Math"/>
            <w:szCs w:val="24"/>
            <w:lang w:val="en-GB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4"/>
                <w:lang w:val="ru-RU"/>
              </w:rPr>
              <m:t>ω</m:t>
            </m:r>
          </m:e>
          <m:sub>
            <m:r>
              <w:rPr>
                <w:rFonts w:ascii="Cambria Math" w:eastAsia="Cambria Math" w:hAnsi="Cambria Math"/>
                <w:szCs w:val="24"/>
                <w:lang w:val="en-GB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4"/>
            <w:lang w:val="en-GB"/>
          </w:rPr>
          <m:t>⋅</m:t>
        </m:r>
        <m:r>
          <m:rPr>
            <m:nor/>
          </m:rPr>
          <w:rPr>
            <w:rFonts w:ascii="Cambria Math" w:eastAsia="Cambria Math" w:hAnsi="Cambria Math"/>
            <w:szCs w:val="24"/>
          </w:rPr>
          <m:t>OPE</m:t>
        </m:r>
        <m:sSub>
          <m:sSubP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sSubPr>
          <m:e>
            <m:r>
              <m:rPr>
                <m:nor/>
              </m:rPr>
              <w:rPr>
                <w:rFonts w:ascii="Cambria Math" w:eastAsia="Cambria Math" w:hAnsi="Cambria Math"/>
                <w:szCs w:val="24"/>
              </w:rPr>
              <m:t>X</m:t>
            </m:r>
            <m:ctrlPr>
              <w:rPr>
                <w:rFonts w:ascii="Cambria Math" w:eastAsia="Cambria Math" w:hAnsi="Cambria Math"/>
                <w:szCs w:val="24"/>
              </w:rPr>
            </m:ctrlPr>
          </m:e>
          <m:sub>
            <m:r>
              <m:rPr>
                <m:nor/>
              </m:rPr>
              <w:rPr>
                <w:rFonts w:ascii="Cambria Math" w:eastAsia="Cambria Math" w:hAnsi="Cambria Math"/>
                <w:szCs w:val="24"/>
                <w:lang w:val="en-GB"/>
              </w:rPr>
              <m:t>1</m:t>
            </m:r>
          </m:sub>
        </m:sSub>
        <m:r>
          <w:rPr>
            <w:rFonts w:ascii="Cambria Math" w:eastAsia="Cambria Math" w:hAnsi="Cambria Math"/>
            <w:szCs w:val="24"/>
            <w:lang w:val="en-GB"/>
          </w:rPr>
          <m:t>.</m:t>
        </m:r>
      </m:oMath>
      <w:r w:rsidRPr="004723AE">
        <w:rPr>
          <w:szCs w:val="24"/>
          <w:lang w:val="en-GB"/>
        </w:rPr>
        <w:tab/>
      </w:r>
      <w:r w:rsidRPr="004723AE">
        <w:rPr>
          <w:szCs w:val="24"/>
          <w:lang w:val="en-GB"/>
        </w:rPr>
        <w:tab/>
      </w:r>
      <w:r w:rsidRPr="004723AE">
        <w:rPr>
          <w:rFonts w:eastAsia="Times New Roman"/>
          <w:lang w:val="en-GB"/>
        </w:rPr>
        <w:t>(3.3.5).</w:t>
      </w:r>
    </w:p>
    <w:p w14:paraId="247C4914" w14:textId="77777777" w:rsidR="006C292D" w:rsidRPr="00826D3F" w:rsidRDefault="006C292D" w:rsidP="00826D3F">
      <w:pPr>
        <w:ind w:left="774" w:firstLine="0"/>
        <w:jc w:val="both"/>
        <w:rPr>
          <w:rFonts w:eastAsia="Times New Roman" w:cs="Times New Roman"/>
          <w:lang w:val="ru-RU"/>
        </w:rPr>
      </w:pPr>
      <w:r w:rsidRPr="00826D3F">
        <w:rPr>
          <w:rFonts w:eastAsia="Times New Roman" w:cs="Times New Roman"/>
          <w:lang w:val="ru-RU"/>
        </w:rPr>
        <w:t>где:</w:t>
      </w:r>
    </w:p>
    <w:p w14:paraId="4F0C5D0E" w14:textId="77777777" w:rsidR="006C292D" w:rsidRPr="00021CDA" w:rsidRDefault="006C292D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 w:cs="Times New Roman"/>
          <w:lang w:val="ru-RU"/>
        </w:rPr>
      </w:pPr>
      <m:oMath>
        <m:r>
          <m:rPr>
            <m:nor/>
          </m:rPr>
          <w:rPr>
            <w:rFonts w:eastAsia="Times New Roman" w:cs="Times New Roman"/>
            <w:lang w:val="ru-RU"/>
          </w:rPr>
          <m:t>OPE</m:t>
        </m:r>
        <m:sSub>
          <m:sSubPr>
            <m:ctrlPr>
              <w:rPr>
                <w:rFonts w:ascii="Cambria Math" w:eastAsia="Times New Roman" w:hAnsi="Cambria Math" w:cs="Times New Roman"/>
                <w:lang w:val="ru-RU"/>
              </w:rPr>
            </m:ctrlPr>
          </m:sSubPr>
          <m:e>
            <m:r>
              <m:rPr>
                <m:nor/>
              </m:rPr>
              <w:rPr>
                <w:rFonts w:eastAsia="Times New Roman" w:cs="Times New Roman"/>
                <w:lang w:val="ru-RU"/>
              </w:rPr>
              <m:t>X</m:t>
            </m:r>
          </m:e>
          <m:sub>
            <m:r>
              <m:rPr>
                <m:nor/>
              </m:rPr>
              <w:rPr>
                <w:rFonts w:eastAsia="Times New Roman" w:cs="Times New Roman"/>
                <w:lang w:val="ru-RU"/>
              </w:rPr>
              <m:t>1</m:t>
            </m:r>
          </m:sub>
        </m:sSub>
      </m:oMath>
      <w:r w:rsidRPr="00021CDA">
        <w:rPr>
          <w:rFonts w:eastAsia="Times New Roman" w:cs="Times New Roman"/>
          <w:lang w:val="ru-RU"/>
        </w:rPr>
        <w:t xml:space="preserve"> – годовые операционные расходы кластера I (сырьё, энергия, логистика, поддержание стандартов качества и прослеживаемости);</w:t>
      </w:r>
    </w:p>
    <w:p w14:paraId="285AC54B" w14:textId="77777777" w:rsidR="006C292D" w:rsidRPr="00021CDA" w:rsidRDefault="006C292D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 w:cs="Times New Roman"/>
          <w:lang w:val="ru-RU"/>
        </w:rPr>
      </w:pPr>
      <w:r w:rsidRPr="00021CDA">
        <w:rPr>
          <w:rFonts w:eastAsia="Times New Roman" w:cs="Times New Roman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lang w:val="ru-RU"/>
          </w:rPr>
          <m:t>Re</m:t>
        </m:r>
        <m:sSub>
          <m:sSubPr>
            <m:ctrlPr>
              <w:rPr>
                <w:rFonts w:ascii="Cambria Math" w:eastAsia="Times New Roman" w:hAnsi="Cambria Math" w:cs="Times New Roman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ru-RU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lang w:val="ru-RU"/>
              </w:rPr>
              <m:t>1</m:t>
            </m:r>
          </m:sub>
        </m:sSub>
      </m:oMath>
      <w:r w:rsidRPr="00021CDA">
        <w:rPr>
          <w:rFonts w:eastAsia="Times New Roman" w:cs="Times New Roman"/>
          <w:lang w:val="ru-RU"/>
        </w:rPr>
        <w:t xml:space="preserve"> – годовая выручка от экспорта готовой продукции кластера I (при целевом уровне порядка 6,0 млрд USD); </w:t>
      </w:r>
    </w:p>
    <w:p w14:paraId="3D4F949B" w14:textId="5D1D3747" w:rsidR="006C292D" w:rsidRPr="00021CDA" w:rsidRDefault="00000000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 w:cs="Times New Roman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lang w:val="ru-RU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lang w:val="ru-RU"/>
              </w:rPr>
              <m:t>1</m:t>
            </m:r>
          </m:sub>
          <m:sup>
            <m:r>
              <m:rPr>
                <m:nor/>
              </m:rPr>
              <w:rPr>
                <w:rFonts w:eastAsia="Times New Roman" w:cs="Times New Roman"/>
                <w:lang w:val="ru-RU"/>
              </w:rPr>
              <m:t>op</m:t>
            </m:r>
          </m:sup>
        </m:sSubSup>
      </m:oMath>
      <w:r w:rsidR="006C292D" w:rsidRPr="00021CDA">
        <w:rPr>
          <w:rFonts w:eastAsia="Times New Roman" w:cs="Times New Roman"/>
          <w:lang w:val="ru-RU"/>
        </w:rPr>
        <w:t xml:space="preserve"> – коэффициент отношения OPEX к выручке (</w:t>
      </w:r>
      <w:r w:rsidR="00826D3F" w:rsidRPr="00021CDA">
        <w:rPr>
          <w:rFonts w:eastAsia="Times New Roman" w:cs="Times New Roman"/>
          <w:lang w:val="ru-RU"/>
        </w:rPr>
        <w:t>по проектной оценке,</w:t>
      </w:r>
      <w:r w:rsidR="006C292D" w:rsidRPr="00021CDA">
        <w:rPr>
          <w:rFonts w:eastAsia="Times New Roman" w:cs="Times New Roman"/>
          <w:lang w:val="ru-RU"/>
        </w:rPr>
        <w:t xml:space="preserve"> около 0,65, что даёт </w:t>
      </w:r>
      <m:oMath>
        <m:r>
          <w:rPr>
            <w:rFonts w:ascii="Cambria Math" w:eastAsia="Times New Roman" w:hAnsi="Cambria Math" w:cs="Times New Roman"/>
            <w:lang w:val="ru-RU"/>
          </w:rPr>
          <m:t>OPE</m:t>
        </m:r>
        <m:sSub>
          <m:sSubPr>
            <m:ctrlPr>
              <w:rPr>
                <w:rFonts w:ascii="Cambria Math" w:eastAsia="Times New Roman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lang w:val="ru-RU"/>
              </w:rPr>
              <m:t>1</m:t>
            </m:r>
          </m:sub>
        </m:sSub>
      </m:oMath>
      <w:r w:rsidR="006C292D" w:rsidRPr="00021CDA">
        <w:rPr>
          <w:rFonts w:eastAsia="Times New Roman" w:cs="Times New Roman"/>
          <w:lang w:val="ru-RU"/>
        </w:rPr>
        <w:t xml:space="preserve"> порядка 3,9 млрд USD/год);</w:t>
      </w:r>
    </w:p>
    <w:p w14:paraId="3104C74A" w14:textId="77777777" w:rsidR="006C292D" w:rsidRPr="00021CDA" w:rsidRDefault="006C292D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 w:cs="Times New Roman"/>
          <w:lang w:val="ru-RU"/>
        </w:rPr>
      </w:pPr>
      <w:r w:rsidRPr="00021CDA">
        <w:rPr>
          <w:rFonts w:eastAsia="Times New Roman" w:cs="Times New Roman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lang w:val="ru-RU"/>
          </w:rPr>
          <m:t>W</m:t>
        </m:r>
        <m:sSub>
          <m:sSubPr>
            <m:ctrlPr>
              <w:rPr>
                <w:rFonts w:ascii="Cambria Math" w:eastAsia="Times New Roman" w:hAnsi="Cambria Math" w:cs="Times New Roman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ru-RU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lang w:val="ru-RU"/>
              </w:rPr>
              <m:t>1</m:t>
            </m:r>
          </m:sub>
        </m:sSub>
      </m:oMath>
      <w:r w:rsidRPr="00021CDA">
        <w:rPr>
          <w:rFonts w:eastAsia="Times New Roman" w:cs="Times New Roman"/>
          <w:lang w:val="ru-RU"/>
        </w:rPr>
        <w:t xml:space="preserve"> – потребность в оборотном капитале (working capital) для финансирования запасов сырья, продукции в пути и дебиторской задолженности;</w:t>
      </w:r>
    </w:p>
    <w:p w14:paraId="1F5E3894" w14:textId="44DE93FB" w:rsidR="006C292D" w:rsidRPr="00021CDA" w:rsidRDefault="006C292D" w:rsidP="006C292D">
      <w:pPr>
        <w:pStyle w:val="ae"/>
        <w:numPr>
          <w:ilvl w:val="0"/>
          <w:numId w:val="12"/>
        </w:numPr>
        <w:ind w:left="1134"/>
        <w:jc w:val="both"/>
        <w:rPr>
          <w:rFonts w:eastAsia="Times New Roman" w:cs="Times New Roman"/>
          <w:lang w:val="ru-RU"/>
        </w:rPr>
      </w:pPr>
      <w:r w:rsidRPr="00021CDA">
        <w:rPr>
          <w:rFonts w:eastAsia="Times New Roman" w:cs="Times New Roman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ru-RU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lang w:val="ru-RU"/>
              </w:rPr>
              <m:t>1</m:t>
            </m:r>
          </m:sub>
        </m:sSub>
      </m:oMath>
      <w:r w:rsidRPr="00021CDA">
        <w:rPr>
          <w:rFonts w:eastAsia="Times New Roman" w:cs="Times New Roman"/>
          <w:lang w:val="ru-RU"/>
        </w:rPr>
        <w:t xml:space="preserve"> – коэффициент, характеризующий долю OPEX</w:t>
      </w:r>
      <w:r w:rsidR="00826D3F">
        <w:rPr>
          <w:rFonts w:eastAsia="Times New Roman" w:cs="Times New Roman"/>
          <w:vertAlign w:val="subscript"/>
          <w:lang w:val="ru-RU"/>
        </w:rPr>
        <w:t>1</w:t>
      </w:r>
      <w:r w:rsidRPr="00021CDA">
        <w:rPr>
          <w:rFonts w:eastAsia="Times New Roman" w:cs="Times New Roman"/>
          <w:lang w:val="ru-RU"/>
        </w:rPr>
        <w:t xml:space="preserve">, которая должна быть профинансирована оборотным капиталом (по оценке около 0,12, что даёт </w:t>
      </w:r>
      <m:oMath>
        <m:r>
          <w:rPr>
            <w:rFonts w:ascii="Cambria Math" w:eastAsia="Times New Roman" w:hAnsi="Cambria Math" w:cs="Times New Roman"/>
            <w:lang w:val="ru-RU"/>
          </w:rPr>
          <m:t>W</m:t>
        </m:r>
        <m:sSub>
          <m:sSubPr>
            <m:ctrlPr>
              <w:rPr>
                <w:rFonts w:ascii="Cambria Math" w:eastAsia="Times New Roman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lang w:val="ru-RU"/>
              </w:rPr>
              <m:t>1</m:t>
            </m:r>
          </m:sub>
        </m:sSub>
      </m:oMath>
      <w:r w:rsidRPr="00021CDA">
        <w:rPr>
          <w:rFonts w:eastAsia="Times New Roman" w:cs="Times New Roman"/>
          <w:lang w:val="ru-RU"/>
        </w:rPr>
        <w:t xml:space="preserve"> на уровне примерно 0,47 млрд USD).</w:t>
      </w:r>
    </w:p>
    <w:p w14:paraId="7CAD3F4F" w14:textId="77777777" w:rsidR="006C292D" w:rsidRPr="004723AE" w:rsidRDefault="006C292D" w:rsidP="006C292D">
      <w:pPr>
        <w:ind w:firstLine="709"/>
        <w:jc w:val="both"/>
        <w:rPr>
          <w:lang w:val="ru-RU"/>
        </w:rPr>
      </w:pPr>
    </w:p>
    <w:p w14:paraId="703CE97D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Инновационный блок кластера включает: цифровую прослеживаемость партий (</w:t>
      </w:r>
      <w:r>
        <w:t>blockchain</w:t>
      </w:r>
      <w:r w:rsidRPr="00277C38">
        <w:rPr>
          <w:lang w:val="ru-RU"/>
        </w:rPr>
        <w:t>-</w:t>
      </w:r>
      <w:r>
        <w:t>traceability</w:t>
      </w:r>
      <w:r w:rsidRPr="00277C38">
        <w:rPr>
          <w:lang w:val="ru-RU"/>
        </w:rPr>
        <w:t xml:space="preserve">) для соответствия регламенту ЕС </w:t>
      </w:r>
      <w:r>
        <w:t>EUDR</w:t>
      </w:r>
      <w:r w:rsidRPr="00277C38">
        <w:rPr>
          <w:lang w:val="ru-RU"/>
        </w:rPr>
        <w:t xml:space="preserve">, выпуск </w:t>
      </w:r>
      <w:r w:rsidRPr="00277C38">
        <w:rPr>
          <w:lang w:val="ru-RU"/>
        </w:rPr>
        <w:lastRenderedPageBreak/>
        <w:t xml:space="preserve">высокомаржинальных ингредиентов для фармацевтики и косметики, а также безотходный цикл с передачей жмыха и скорлупы в биоэнергетику (Кластер </w:t>
      </w:r>
      <w:r>
        <w:t>VI</w:t>
      </w:r>
      <w:r w:rsidRPr="00277C38">
        <w:rPr>
          <w:lang w:val="ru-RU"/>
        </w:rPr>
        <w:t xml:space="preserve">), что снижает удельные издержки и повышает </w:t>
      </w:r>
      <w:r>
        <w:t>ESG</w:t>
      </w:r>
      <w:r w:rsidRPr="00277C38">
        <w:rPr>
          <w:lang w:val="ru-RU"/>
        </w:rPr>
        <w:t>-профиль проекта.</w:t>
      </w:r>
    </w:p>
    <w:p w14:paraId="69E850F8" w14:textId="77777777" w:rsidR="00544119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Синергия в рамках платформы «Берег Восхода» реализуется через связки: </w:t>
      </w:r>
    </w:p>
    <w:p w14:paraId="0F53866C" w14:textId="12588B65" w:rsidR="00544119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(</w:t>
      </w:r>
      <w:proofErr w:type="spellStart"/>
      <w:r>
        <w:t>i</w:t>
      </w:r>
      <w:proofErr w:type="spellEnd"/>
      <w:r w:rsidRPr="00277C38">
        <w:rPr>
          <w:lang w:val="ru-RU"/>
        </w:rPr>
        <w:t xml:space="preserve">) Кластер </w:t>
      </w:r>
      <w:r>
        <w:t>I</w:t>
      </w:r>
      <w:r w:rsidRPr="00277C38">
        <w:rPr>
          <w:lang w:val="ru-RU"/>
        </w:rPr>
        <w:t xml:space="preserve"> → Кластер </w:t>
      </w:r>
      <w:r>
        <w:t>II</w:t>
      </w:r>
      <w:r w:rsidRPr="00277C38">
        <w:rPr>
          <w:lang w:val="ru-RU"/>
        </w:rPr>
        <w:t xml:space="preserve"> (портово-логистический хаб) для экспорта готовой продукции, </w:t>
      </w:r>
    </w:p>
    <w:p w14:paraId="46CE00C2" w14:textId="77777777" w:rsidR="00544119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(</w:t>
      </w:r>
      <w:r>
        <w:t>ii</w:t>
      </w:r>
      <w:r w:rsidRPr="00277C38">
        <w:rPr>
          <w:lang w:val="ru-RU"/>
        </w:rPr>
        <w:t xml:space="preserve">) Кластер </w:t>
      </w:r>
      <w:r>
        <w:t>I</w:t>
      </w:r>
      <w:r w:rsidRPr="00277C38">
        <w:rPr>
          <w:lang w:val="ru-RU"/>
        </w:rPr>
        <w:t xml:space="preserve"> → Кластер </w:t>
      </w:r>
      <w:r>
        <w:t>VI</w:t>
      </w:r>
      <w:r w:rsidRPr="00277C38">
        <w:rPr>
          <w:lang w:val="ru-RU"/>
        </w:rPr>
        <w:t xml:space="preserve"> (биоэнергетика) для утилизации отходов и снижения углеродного следа, </w:t>
      </w:r>
    </w:p>
    <w:p w14:paraId="60F70723" w14:textId="77777777" w:rsidR="00544119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(</w:t>
      </w:r>
      <w:r>
        <w:t>iii</w:t>
      </w:r>
      <w:r w:rsidRPr="00277C38">
        <w:rPr>
          <w:lang w:val="ru-RU"/>
        </w:rPr>
        <w:t xml:space="preserve">) Кластер </w:t>
      </w:r>
      <w:r>
        <w:t>I</w:t>
      </w:r>
      <w:r w:rsidRPr="00277C38">
        <w:rPr>
          <w:lang w:val="ru-RU"/>
        </w:rPr>
        <w:t xml:space="preserve"> → Кластер </w:t>
      </w:r>
      <w:r>
        <w:t>IV</w:t>
      </w:r>
      <w:r w:rsidRPr="00277C38">
        <w:rPr>
          <w:lang w:val="ru-RU"/>
        </w:rPr>
        <w:t xml:space="preserve"> (цифровая платформа) для снижения транзакционных издержек, верификации происхождения и ускорения таможенных процедур, и </w:t>
      </w:r>
    </w:p>
    <w:p w14:paraId="6BD659B7" w14:textId="67FFF215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(</w:t>
      </w:r>
      <w:r>
        <w:t>iv</w:t>
      </w:r>
      <w:r w:rsidRPr="00277C38">
        <w:rPr>
          <w:lang w:val="ru-RU"/>
        </w:rPr>
        <w:t xml:space="preserve">) Кластер </w:t>
      </w:r>
      <w:r>
        <w:t>I</w:t>
      </w:r>
      <w:r w:rsidRPr="00277C38">
        <w:rPr>
          <w:lang w:val="ru-RU"/>
        </w:rPr>
        <w:t xml:space="preserve"> ↔ Кластер </w:t>
      </w:r>
      <w:r>
        <w:t>V</w:t>
      </w:r>
      <w:r w:rsidRPr="00277C38">
        <w:rPr>
          <w:lang w:val="ru-RU"/>
        </w:rPr>
        <w:t xml:space="preserve"> (образование и </w:t>
      </w:r>
      <w:r>
        <w:t>R</w:t>
      </w:r>
      <w:r w:rsidRPr="00277C38">
        <w:rPr>
          <w:lang w:val="ru-RU"/>
        </w:rPr>
        <w:t>&amp;</w:t>
      </w:r>
      <w:r>
        <w:t>D</w:t>
      </w:r>
      <w:r w:rsidRPr="00277C38">
        <w:rPr>
          <w:lang w:val="ru-RU"/>
        </w:rPr>
        <w:t>) для формирования кадрового ядра.</w:t>
      </w:r>
    </w:p>
    <w:p w14:paraId="193CC4AF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Выводы по подразделу 3.3 (Кластер </w:t>
      </w:r>
      <w:r>
        <w:t>I</w:t>
      </w:r>
      <w:r w:rsidRPr="00277C38">
        <w:rPr>
          <w:lang w:val="ru-RU"/>
        </w:rPr>
        <w:t>)</w:t>
      </w:r>
    </w:p>
    <w:p w14:paraId="4B522326" w14:textId="77777777" w:rsidR="00721CC4" w:rsidRPr="00277C38" w:rsidRDefault="00000000" w:rsidP="00544119">
      <w:pPr>
        <w:pStyle w:val="a0"/>
        <w:numPr>
          <w:ilvl w:val="0"/>
          <w:numId w:val="10"/>
        </w:numPr>
        <w:jc w:val="both"/>
        <w:rPr>
          <w:lang w:val="ru-RU"/>
        </w:rPr>
      </w:pPr>
      <w:r w:rsidRPr="00277C38">
        <w:rPr>
          <w:lang w:val="ru-RU"/>
        </w:rPr>
        <w:t xml:space="preserve">Кластер агропереработки обеспечивает ключевой механизм удержания экспортной ренты через перенос переделов 2–3 внутрь страны, что отражено в параметрах </w:t>
      </w:r>
      <w:r>
        <w:t>ΔVA</w:t>
      </w:r>
      <w:r w:rsidRPr="00277C38">
        <w:rPr>
          <w:lang w:val="ru-RU"/>
        </w:rPr>
        <w:t xml:space="preserve"> и целевом росте экспорта готовой продукции.</w:t>
      </w:r>
    </w:p>
    <w:p w14:paraId="291B3DC6" w14:textId="77777777" w:rsidR="00721CC4" w:rsidRPr="00277C38" w:rsidRDefault="00000000" w:rsidP="00544119">
      <w:pPr>
        <w:pStyle w:val="a0"/>
        <w:numPr>
          <w:ilvl w:val="0"/>
          <w:numId w:val="10"/>
        </w:numPr>
        <w:jc w:val="both"/>
        <w:rPr>
          <w:lang w:val="ru-RU"/>
        </w:rPr>
      </w:pPr>
      <w:r w:rsidRPr="00277C38">
        <w:rPr>
          <w:lang w:val="ru-RU"/>
        </w:rPr>
        <w:t>Инвестиционный профиль демонстрирует рациональную композицию: капиталоёмкое ядро переработки дополняется сравнительно небольшими, но критически важными вложениями в терминальную инфраструктуру и цифровую прослеживаемость (</w:t>
      </w:r>
      <w:r>
        <w:t>EUDR</w:t>
      </w:r>
      <w:r w:rsidRPr="00277C38">
        <w:rPr>
          <w:lang w:val="ru-RU"/>
        </w:rPr>
        <w:t>).</w:t>
      </w:r>
    </w:p>
    <w:p w14:paraId="151DAE06" w14:textId="77777777" w:rsidR="00721CC4" w:rsidRPr="00277C38" w:rsidRDefault="00000000" w:rsidP="00544119">
      <w:pPr>
        <w:pStyle w:val="a0"/>
        <w:numPr>
          <w:ilvl w:val="0"/>
          <w:numId w:val="10"/>
        </w:numPr>
        <w:jc w:val="both"/>
        <w:rPr>
          <w:lang w:val="ru-RU"/>
        </w:rPr>
      </w:pPr>
      <w:r w:rsidRPr="00277C38">
        <w:rPr>
          <w:lang w:val="ru-RU"/>
        </w:rPr>
        <w:t>С точки зрения реализации целевой доли переработки 75% к 2035 г. конфигурация 8–10 комплексов должна рассматриваться как первая волна; достижение цели требует масштабирования мощностей и пространственной архитектуры, согласованной с логистикой и энергией.</w:t>
      </w:r>
    </w:p>
    <w:p w14:paraId="2EA9CE88" w14:textId="77777777" w:rsidR="00721CC4" w:rsidRPr="00277C38" w:rsidRDefault="00000000" w:rsidP="00544119">
      <w:pPr>
        <w:pStyle w:val="a0"/>
        <w:numPr>
          <w:ilvl w:val="0"/>
          <w:numId w:val="10"/>
        </w:numPr>
        <w:jc w:val="both"/>
        <w:rPr>
          <w:lang w:val="ru-RU"/>
        </w:rPr>
      </w:pPr>
      <w:r w:rsidRPr="00277C38">
        <w:rPr>
          <w:lang w:val="ru-RU"/>
        </w:rPr>
        <w:lastRenderedPageBreak/>
        <w:t>Потребность в земле и трудовых ресурсах выступает ограничителем: без ускоренного развертывания образовательного и кадрового контуров кластера мультипликативный эффект может быть недореализован.</w:t>
      </w:r>
    </w:p>
    <w:p w14:paraId="6C6181E1" w14:textId="77777777" w:rsidR="006C292D" w:rsidRDefault="006C292D" w:rsidP="00277C38">
      <w:pPr>
        <w:jc w:val="both"/>
        <w:rPr>
          <w:lang w:val="ru-RU"/>
        </w:rPr>
      </w:pPr>
    </w:p>
    <w:p w14:paraId="436513A5" w14:textId="4B3932DF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Список источников к подразделу 3.3</w:t>
      </w:r>
    </w:p>
    <w:p w14:paraId="17AF6B6C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[1] Проект платформы «Берег Восхода». Раздел 3.1: параметры Кластера </w:t>
      </w:r>
      <w:r>
        <w:t>I</w:t>
      </w:r>
      <w:r w:rsidRPr="00277C38">
        <w:rPr>
          <w:lang w:val="ru-RU"/>
        </w:rPr>
        <w:t xml:space="preserve"> (агропереработка и какао-индустрия).</w:t>
      </w:r>
    </w:p>
    <w:p w14:paraId="3FB8D6D7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[2] Проект платформы «Берег Восхода». Раздел 3.1 (версия 2): инвестиционный профиль кластера </w:t>
      </w:r>
      <w:r>
        <w:t>I</w:t>
      </w:r>
      <w:r w:rsidRPr="00277C38">
        <w:rPr>
          <w:lang w:val="ru-RU"/>
        </w:rPr>
        <w:t xml:space="preserve"> и инновации (</w:t>
      </w:r>
      <w:r>
        <w:t>Traceability</w:t>
      </w:r>
      <w:r w:rsidRPr="00277C38">
        <w:rPr>
          <w:lang w:val="ru-RU"/>
        </w:rPr>
        <w:t xml:space="preserve">, </w:t>
      </w:r>
      <w:r>
        <w:t>EUDR</w:t>
      </w:r>
      <w:r w:rsidRPr="00277C38">
        <w:rPr>
          <w:lang w:val="ru-RU"/>
        </w:rPr>
        <w:t>, безотходный цикл).</w:t>
      </w:r>
    </w:p>
    <w:p w14:paraId="3116D052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 xml:space="preserve">[3] </w:t>
      </w:r>
      <w:proofErr w:type="spellStart"/>
      <w:r w:rsidRPr="00277C38">
        <w:rPr>
          <w:lang w:val="ru-RU"/>
        </w:rPr>
        <w:t>берег_восхода_кластеры</w:t>
      </w:r>
      <w:proofErr w:type="spellEnd"/>
      <w:r w:rsidRPr="00277C38">
        <w:rPr>
          <w:lang w:val="ru-RU"/>
        </w:rPr>
        <w:t>.</w:t>
      </w:r>
      <w:r>
        <w:t>html</w:t>
      </w:r>
      <w:r w:rsidRPr="00277C38">
        <w:rPr>
          <w:lang w:val="ru-RU"/>
        </w:rPr>
        <w:t>: инвестиционные блоки и мощность перерабатывающих комплексов (8–10 × 22 тыс. т/год).</w:t>
      </w:r>
    </w:p>
    <w:p w14:paraId="5342A7F0" w14:textId="77777777" w:rsidR="00721CC4" w:rsidRPr="00277C38" w:rsidRDefault="00000000" w:rsidP="00277C38">
      <w:pPr>
        <w:jc w:val="both"/>
        <w:rPr>
          <w:lang w:val="ru-RU"/>
        </w:rPr>
      </w:pPr>
      <w:r w:rsidRPr="00277C38">
        <w:rPr>
          <w:lang w:val="ru-RU"/>
        </w:rPr>
        <w:t>[4] Диссертация. Раздел 2.1: аргументация против моноотраслевой стратегии и в пользу платформенно-координируемой модели.</w:t>
      </w:r>
    </w:p>
    <w:sectPr w:rsidR="00721CC4" w:rsidRPr="00277C38" w:rsidSect="00277C38">
      <w:pgSz w:w="12240" w:h="15840"/>
      <w:pgMar w:top="1440" w:right="1041" w:bottom="1440" w:left="1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621B1C"/>
    <w:multiLevelType w:val="hybridMultilevel"/>
    <w:tmpl w:val="90B4B0D0"/>
    <w:lvl w:ilvl="0" w:tplc="0D98F34E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9BB29E7"/>
    <w:multiLevelType w:val="hybridMultilevel"/>
    <w:tmpl w:val="791CCD4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855407"/>
    <w:multiLevelType w:val="hybridMultilevel"/>
    <w:tmpl w:val="C066BF60"/>
    <w:lvl w:ilvl="0" w:tplc="0D98F34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78794462">
    <w:abstractNumId w:val="8"/>
  </w:num>
  <w:num w:numId="2" w16cid:durableId="1193883873">
    <w:abstractNumId w:val="6"/>
  </w:num>
  <w:num w:numId="3" w16cid:durableId="2059432944">
    <w:abstractNumId w:val="5"/>
  </w:num>
  <w:num w:numId="4" w16cid:durableId="1166433107">
    <w:abstractNumId w:val="4"/>
  </w:num>
  <w:num w:numId="5" w16cid:durableId="1474758344">
    <w:abstractNumId w:val="7"/>
  </w:num>
  <w:num w:numId="6" w16cid:durableId="1542785881">
    <w:abstractNumId w:val="3"/>
  </w:num>
  <w:num w:numId="7" w16cid:durableId="581917306">
    <w:abstractNumId w:val="2"/>
  </w:num>
  <w:num w:numId="8" w16cid:durableId="409036819">
    <w:abstractNumId w:val="1"/>
  </w:num>
  <w:num w:numId="9" w16cid:durableId="671875321">
    <w:abstractNumId w:val="0"/>
  </w:num>
  <w:num w:numId="10" w16cid:durableId="1175194478">
    <w:abstractNumId w:val="10"/>
  </w:num>
  <w:num w:numId="11" w16cid:durableId="160901439">
    <w:abstractNumId w:val="9"/>
  </w:num>
  <w:num w:numId="12" w16cid:durableId="12451398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C38"/>
    <w:rsid w:val="0029639D"/>
    <w:rsid w:val="00326F90"/>
    <w:rsid w:val="00544119"/>
    <w:rsid w:val="005D63A3"/>
    <w:rsid w:val="005F7666"/>
    <w:rsid w:val="006C292D"/>
    <w:rsid w:val="00721CC4"/>
    <w:rsid w:val="00816C92"/>
    <w:rsid w:val="00826D3F"/>
    <w:rsid w:val="00A54E57"/>
    <w:rsid w:val="00AA1D8D"/>
    <w:rsid w:val="00AF042F"/>
    <w:rsid w:val="00B028E7"/>
    <w:rsid w:val="00B1733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CE8DEA"/>
  <w14:defaultImageDpi w14:val="300"/>
  <w15:docId w15:val="{962DF866-8169-4CE9-B02B-A0D24BD6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1704</Words>
  <Characters>9719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6</cp:revision>
  <dcterms:created xsi:type="dcterms:W3CDTF">2026-02-21T22:38:00Z</dcterms:created>
  <dcterms:modified xsi:type="dcterms:W3CDTF">2026-02-23T22:12:00Z</dcterms:modified>
  <cp:category/>
</cp:coreProperties>
</file>