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40C8" w14:textId="77777777" w:rsidR="00743065" w:rsidRPr="005E6CDE" w:rsidRDefault="00000000">
      <w:pPr>
        <w:ind w:firstLine="0"/>
        <w:jc w:val="both"/>
        <w:rPr>
          <w:lang w:val="ru-RU"/>
        </w:rPr>
      </w:pPr>
      <w:r w:rsidRPr="005E6CDE">
        <w:rPr>
          <w:b/>
          <w:lang w:val="ru-RU"/>
        </w:rPr>
        <w:t xml:space="preserve">3.3.6. Кластер </w:t>
      </w:r>
      <w:r>
        <w:rPr>
          <w:b/>
        </w:rPr>
        <w:t>VI</w:t>
      </w:r>
      <w:r w:rsidRPr="005E6CDE">
        <w:rPr>
          <w:b/>
          <w:lang w:val="ru-RU"/>
        </w:rPr>
        <w:t xml:space="preserve"> — Энергетический и </w:t>
      </w:r>
      <w:r>
        <w:rPr>
          <w:b/>
        </w:rPr>
        <w:t>ESG</w:t>
      </w:r>
      <w:r w:rsidRPr="005E6CDE">
        <w:rPr>
          <w:b/>
          <w:lang w:val="ru-RU"/>
        </w:rPr>
        <w:t>-кластер</w:t>
      </w:r>
    </w:p>
    <w:p w14:paraId="46653975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Кластер </w:t>
      </w:r>
      <w:r>
        <w:t>VI</w:t>
      </w:r>
      <w:r w:rsidRPr="005E6CDE">
        <w:rPr>
          <w:lang w:val="ru-RU"/>
        </w:rPr>
        <w:t xml:space="preserve"> объединяет проекты развития энергетической инфраструктуры и </w:t>
      </w:r>
      <w:r>
        <w:t>ESG</w:t>
      </w:r>
      <w:r w:rsidRPr="005E6CDE">
        <w:rPr>
          <w:lang w:val="ru-RU"/>
        </w:rPr>
        <w:t xml:space="preserve">-компоненты проекта «Берег Восхода». Его задача – обеспечить надёжное, доступное и устойчивое энергоснабжение кластеров </w:t>
      </w:r>
      <w:r>
        <w:t>I</w:t>
      </w:r>
      <w:r w:rsidRPr="005E6CDE">
        <w:rPr>
          <w:lang w:val="ru-RU"/>
        </w:rPr>
        <w:t>–</w:t>
      </w:r>
      <w:r>
        <w:t>V</w:t>
      </w:r>
      <w:r w:rsidRPr="005E6CDE">
        <w:rPr>
          <w:lang w:val="ru-RU"/>
        </w:rPr>
        <w:t xml:space="preserve"> и </w:t>
      </w:r>
      <w:r>
        <w:t>VII</w:t>
      </w:r>
      <w:r w:rsidRPr="005E6CDE">
        <w:rPr>
          <w:lang w:val="ru-RU"/>
        </w:rPr>
        <w:t>–</w:t>
      </w:r>
      <w:r>
        <w:t>IX</w:t>
      </w:r>
      <w:r w:rsidRPr="005E6CDE">
        <w:rPr>
          <w:lang w:val="ru-RU"/>
        </w:rPr>
        <w:t>, одновременно снижая углеродный след и повышая устойчивость энергетической системы к климатическим и рыночным шокам. В рамках кластера сочетаются модернизация существующей генерации (газ, ГЭС), развитие ВИЭ (солнечная, ветровая, биомасса, отходы-в-энергию), усиление сетевой инфраструктуры и внедрение решений по энергоэффективности.</w:t>
      </w:r>
    </w:p>
    <w:p w14:paraId="345A208F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Особенностью кластера </w:t>
      </w:r>
      <w:r>
        <w:t>VI</w:t>
      </w:r>
      <w:r w:rsidRPr="005E6CDE">
        <w:rPr>
          <w:lang w:val="ru-RU"/>
        </w:rPr>
        <w:t xml:space="preserve"> является его поперечный характер: он одновременно является поставщиком критического ресурса (электроэнергии и топлива) и инструментом достижения целей устойчивого развития, что отражено в </w:t>
      </w:r>
      <w:r>
        <w:t>ESG</w:t>
      </w:r>
      <w:r w:rsidRPr="005E6CDE">
        <w:rPr>
          <w:lang w:val="ru-RU"/>
        </w:rPr>
        <w:t>-пакете проекта. Поэтому энергетический кластер рассматривается не только в логике «мощность – потребление», но и как ключевой элемент климатической стратегии и доступа к зелёному финансированию.</w:t>
      </w:r>
    </w:p>
    <w:p w14:paraId="009FECBD" w14:textId="77777777" w:rsidR="00743065" w:rsidRPr="005E6CDE" w:rsidRDefault="00000000">
      <w:pPr>
        <w:jc w:val="both"/>
        <w:rPr>
          <w:lang w:val="ru-RU"/>
        </w:rPr>
      </w:pPr>
      <w:r w:rsidRPr="005E6CDE">
        <w:rPr>
          <w:b/>
          <w:lang w:val="ru-RU"/>
        </w:rPr>
        <w:t xml:space="preserve">Рисунок 3.3.6 – Архитектура энергетического и </w:t>
      </w:r>
      <w:r>
        <w:rPr>
          <w:b/>
        </w:rPr>
        <w:t>ESG</w:t>
      </w:r>
      <w:r w:rsidRPr="005E6CDE">
        <w:rPr>
          <w:b/>
          <w:lang w:val="ru-RU"/>
        </w:rPr>
        <w:t>-кластера.</w:t>
      </w:r>
    </w:p>
    <w:p w14:paraId="1249B986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Схема кластера </w:t>
      </w:r>
      <w:r>
        <w:t>VI</w:t>
      </w:r>
      <w:r w:rsidRPr="005E6CDE">
        <w:rPr>
          <w:lang w:val="ru-RU"/>
        </w:rPr>
        <w:t xml:space="preserve"> включает четыре блока: (1) генерация (газовые станции, ГЭС, солнечные и ветровые парки, когенерационные установки на биомассе и отходах), (2) сети и подстанции (магистральные и распределительные), (3) потребители (прибрежные СЭЗ, портово-логистический кластер, </w:t>
      </w:r>
      <w:proofErr w:type="spellStart"/>
      <w:r w:rsidRPr="005E6CDE">
        <w:rPr>
          <w:lang w:val="ru-RU"/>
        </w:rPr>
        <w:t>агроперерабатывающие</w:t>
      </w:r>
      <w:proofErr w:type="spellEnd"/>
      <w:r w:rsidRPr="005E6CDE">
        <w:rPr>
          <w:lang w:val="ru-RU"/>
        </w:rPr>
        <w:t xml:space="preserve"> комплексы, городские агломерации) и (4) системы управления и </w:t>
      </w:r>
      <w:r>
        <w:t>ESG</w:t>
      </w:r>
      <w:r w:rsidRPr="005E6CDE">
        <w:rPr>
          <w:lang w:val="ru-RU"/>
        </w:rPr>
        <w:t>-мониторинга (</w:t>
      </w:r>
      <w:r>
        <w:t>SCADA</w:t>
      </w:r>
      <w:r w:rsidRPr="005E6CDE">
        <w:rPr>
          <w:lang w:val="ru-RU"/>
        </w:rPr>
        <w:t>, учёт выбросов, климатические риски, отчётность перед инвесторами).</w:t>
      </w:r>
    </w:p>
    <w:p w14:paraId="315EF943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Вывод по рисунку 3.3.6: кластер </w:t>
      </w:r>
      <w:r>
        <w:t>VI</w:t>
      </w:r>
      <w:r w:rsidRPr="005E6CDE">
        <w:rPr>
          <w:lang w:val="ru-RU"/>
        </w:rPr>
        <w:t xml:space="preserve"> выступает энергетическим и климатическим «каркасом» проекта, обеспечивая не только физическое </w:t>
      </w:r>
      <w:r w:rsidRPr="005E6CDE">
        <w:rPr>
          <w:lang w:val="ru-RU"/>
        </w:rPr>
        <w:lastRenderedPageBreak/>
        <w:t>энергоснабжение, но и соответствие проекта современным требованиям устойчивости и зелёного финансирования, что критически важно для привлечения долгосрочного капитала.</w:t>
      </w:r>
    </w:p>
    <w:p w14:paraId="238D4B6E" w14:textId="77777777" w:rsidR="00743065" w:rsidRPr="005E6CDE" w:rsidRDefault="00000000">
      <w:pPr>
        <w:ind w:firstLine="0"/>
        <w:jc w:val="both"/>
        <w:rPr>
          <w:lang w:val="ru-RU"/>
        </w:rPr>
      </w:pPr>
      <w:r w:rsidRPr="005E6CDE">
        <w:rPr>
          <w:b/>
          <w:lang w:val="ru-RU"/>
        </w:rPr>
        <w:t>Основные аттракторы и участники (институциональная и кадровая структура)</w:t>
      </w:r>
    </w:p>
    <w:p w14:paraId="7E93931C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Институциональными аттракторами кластера </w:t>
      </w:r>
      <w:r>
        <w:t>VI</w:t>
      </w:r>
      <w:r w:rsidRPr="005E6CDE">
        <w:rPr>
          <w:lang w:val="ru-RU"/>
        </w:rPr>
        <w:t xml:space="preserve"> являются: министерство энергетики, национальные энергокомпании, независимые производители электроэнергии (</w:t>
      </w:r>
      <w:r>
        <w:t>IPP</w:t>
      </w:r>
      <w:r w:rsidRPr="005E6CDE">
        <w:rPr>
          <w:lang w:val="ru-RU"/>
        </w:rPr>
        <w:t>), операторы сетей и распределительных компаний, муниципалитеты, а также международные финансовые институты (АфБР, Всемирный банк, зелёные фонды и фонды климатического финансирования). Дополнительно в кластер включаются компании, специализирующиеся на энергоаудите и проектах энергосервисных контрактов (</w:t>
      </w:r>
      <w:r>
        <w:t>ESCO</w:t>
      </w:r>
      <w:r w:rsidRPr="005E6CDE">
        <w:rPr>
          <w:lang w:val="ru-RU"/>
        </w:rPr>
        <w:t>).</w:t>
      </w:r>
    </w:p>
    <w:p w14:paraId="7E7FA10D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Кадровая структура кластера </w:t>
      </w:r>
      <w:r>
        <w:t>VI</w:t>
      </w:r>
      <w:r w:rsidRPr="005E6CDE">
        <w:rPr>
          <w:lang w:val="ru-RU"/>
        </w:rPr>
        <w:t xml:space="preserve"> охватывает: инженеров-энергетиков (генерация и сети), специалистов по возобновляемым источникам энергии, инженеров по автоматизации и диспетчеризации, специалистов по охране труда и промышленной безопасности, экспертов по климатической политике и </w:t>
      </w:r>
      <w:r>
        <w:t>ESG</w:t>
      </w:r>
      <w:r w:rsidRPr="005E6CDE">
        <w:rPr>
          <w:lang w:val="ru-RU"/>
        </w:rPr>
        <w:t>-отчётности, а также экономистов-аналитиков по энергетике. Оценочно, при полном развёртывании кластера формируется не менее 20–25 тыс. рабочих мест прямой занятости и значительный объём косвенной занятости в смежных секторах (строительство, логистика, сервис энергетического оборудования).</w:t>
      </w:r>
    </w:p>
    <w:p w14:paraId="01526C55" w14:textId="77777777" w:rsidR="00743065" w:rsidRPr="005E6CDE" w:rsidRDefault="00000000">
      <w:pPr>
        <w:ind w:firstLine="0"/>
        <w:jc w:val="both"/>
        <w:rPr>
          <w:lang w:val="ru-RU"/>
        </w:rPr>
      </w:pPr>
      <w:r w:rsidRPr="005E6CDE">
        <w:rPr>
          <w:b/>
          <w:lang w:val="ru-RU"/>
        </w:rPr>
        <w:t xml:space="preserve">Стратегическая цель и целевые показатели кластера </w:t>
      </w:r>
      <w:r>
        <w:rPr>
          <w:b/>
        </w:rPr>
        <w:t>VI</w:t>
      </w:r>
    </w:p>
    <w:p w14:paraId="5212AF0D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Стратегическая цель кластера </w:t>
      </w:r>
      <w:r>
        <w:t>VI</w:t>
      </w:r>
      <w:r w:rsidRPr="005E6CDE">
        <w:rPr>
          <w:lang w:val="ru-RU"/>
        </w:rPr>
        <w:t xml:space="preserve"> – обеспечить энергоснабжение всех кластеров проекта «Берег Восхода» на уровне, достаточном для реализации их целевых показателей, и одновременно снизить удельный углеродный след производимых товаров и услуг. В количественном выражении это </w:t>
      </w:r>
      <w:r w:rsidRPr="005E6CDE">
        <w:rPr>
          <w:lang w:val="ru-RU"/>
        </w:rPr>
        <w:lastRenderedPageBreak/>
        <w:t xml:space="preserve">означает: увеличение установленной </w:t>
      </w:r>
      <w:proofErr w:type="spellStart"/>
      <w:r w:rsidRPr="005E6CDE">
        <w:rPr>
          <w:lang w:val="ru-RU"/>
        </w:rPr>
        <w:t>генерационной</w:t>
      </w:r>
      <w:proofErr w:type="spellEnd"/>
      <w:r w:rsidRPr="005E6CDE">
        <w:rPr>
          <w:lang w:val="ru-RU"/>
        </w:rPr>
        <w:t xml:space="preserve"> мощности, повышение доли ВИЭ в энергобалансе, снижение технических и коммерческих потерь в сетях и уменьшение </w:t>
      </w:r>
      <w:proofErr w:type="spellStart"/>
      <w:r w:rsidRPr="005E6CDE">
        <w:rPr>
          <w:lang w:val="ru-RU"/>
        </w:rPr>
        <w:t>углеродоёмкости</w:t>
      </w:r>
      <w:proofErr w:type="spellEnd"/>
      <w:r w:rsidRPr="005E6CDE">
        <w:rPr>
          <w:lang w:val="ru-RU"/>
        </w:rPr>
        <w:t xml:space="preserve"> единицы ВВП.</w:t>
      </w:r>
    </w:p>
    <w:p w14:paraId="31D26C14" w14:textId="77777777" w:rsidR="00743065" w:rsidRPr="005E6CDE" w:rsidRDefault="00000000">
      <w:pPr>
        <w:ind w:firstLine="0"/>
        <w:jc w:val="both"/>
        <w:rPr>
          <w:lang w:val="ru-RU"/>
        </w:rPr>
      </w:pPr>
      <w:r w:rsidRPr="005E6CDE">
        <w:rPr>
          <w:b/>
          <w:lang w:val="ru-RU"/>
        </w:rPr>
        <w:t xml:space="preserve">Таблица 3.3.6.1 – Целевые ориентиры энергетического и </w:t>
      </w:r>
      <w:r>
        <w:rPr>
          <w:b/>
        </w:rPr>
        <w:t>ESG</w:t>
      </w:r>
      <w:r w:rsidRPr="005E6CDE">
        <w:rPr>
          <w:b/>
          <w:lang w:val="ru-RU"/>
        </w:rPr>
        <w:t>-кластера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81"/>
        <w:gridCol w:w="4192"/>
      </w:tblGrid>
      <w:tr w:rsidR="00743065" w14:paraId="3C7F349F" w14:textId="77777777">
        <w:tc>
          <w:tcPr>
            <w:tcW w:w="5669" w:type="dxa"/>
          </w:tcPr>
          <w:p w14:paraId="7088FED9" w14:textId="77777777" w:rsidR="00743065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4535" w:type="dxa"/>
          </w:tcPr>
          <w:p w14:paraId="52A5C4E4" w14:textId="77777777" w:rsidR="0074306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Ориентир к 2035–2040 гг.</w:t>
            </w:r>
          </w:p>
        </w:tc>
      </w:tr>
      <w:tr w:rsidR="00743065" w14:paraId="6FC70410" w14:textId="77777777">
        <w:tc>
          <w:tcPr>
            <w:tcW w:w="5669" w:type="dxa"/>
          </w:tcPr>
          <w:p w14:paraId="771290C6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Дополнительно введённая установленная мощность</w:t>
            </w:r>
          </w:p>
        </w:tc>
        <w:tc>
          <w:tcPr>
            <w:tcW w:w="4535" w:type="dxa"/>
          </w:tcPr>
          <w:p w14:paraId="1E48F40B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≈ 1,5–2,0 ГВт</w:t>
            </w:r>
          </w:p>
        </w:tc>
      </w:tr>
      <w:tr w:rsidR="00743065" w14:paraId="3413088D" w14:textId="77777777">
        <w:tc>
          <w:tcPr>
            <w:tcW w:w="5669" w:type="dxa"/>
          </w:tcPr>
          <w:p w14:paraId="40F3D140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t>Доля ВИЭ в установленной мощности</w:t>
            </w:r>
          </w:p>
        </w:tc>
        <w:tc>
          <w:tcPr>
            <w:tcW w:w="4535" w:type="dxa"/>
          </w:tcPr>
          <w:p w14:paraId="64AF4C67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≥ 35–40 %</w:t>
            </w:r>
          </w:p>
        </w:tc>
      </w:tr>
      <w:tr w:rsidR="00743065" w14:paraId="3C74D565" w14:textId="77777777">
        <w:tc>
          <w:tcPr>
            <w:tcW w:w="5669" w:type="dxa"/>
          </w:tcPr>
          <w:p w14:paraId="593BC9BC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t>Снижение технических и коммерческих потерь в сетях</w:t>
            </w:r>
          </w:p>
        </w:tc>
        <w:tc>
          <w:tcPr>
            <w:tcW w:w="4535" w:type="dxa"/>
          </w:tcPr>
          <w:p w14:paraId="65B71A32" w14:textId="77777777" w:rsidR="00743065" w:rsidRDefault="00000000">
            <w:pPr>
              <w:spacing w:line="240" w:lineRule="auto"/>
              <w:ind w:firstLine="0"/>
              <w:jc w:val="both"/>
            </w:pPr>
            <w:r>
              <w:t xml:space="preserve">с 20–22 % </w:t>
            </w:r>
            <w:proofErr w:type="spellStart"/>
            <w:r>
              <w:t>до</w:t>
            </w:r>
            <w:proofErr w:type="spellEnd"/>
            <w:r>
              <w:t xml:space="preserve"> 10–12 %</w:t>
            </w:r>
          </w:p>
        </w:tc>
      </w:tr>
      <w:tr w:rsidR="00743065" w14:paraId="42689471" w14:textId="77777777">
        <w:tc>
          <w:tcPr>
            <w:tcW w:w="5669" w:type="dxa"/>
          </w:tcPr>
          <w:p w14:paraId="692B4660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Снижение удельной углеродоёмкости ВВП</w:t>
            </w:r>
          </w:p>
        </w:tc>
        <w:tc>
          <w:tcPr>
            <w:tcW w:w="4535" w:type="dxa"/>
          </w:tcPr>
          <w:p w14:paraId="3C37C40A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на 15–20 % от базового уровня</w:t>
            </w:r>
          </w:p>
        </w:tc>
      </w:tr>
      <w:tr w:rsidR="00743065" w14:paraId="4A32A9D2" w14:textId="77777777">
        <w:tc>
          <w:tcPr>
            <w:tcW w:w="5669" w:type="dxa"/>
          </w:tcPr>
          <w:p w14:paraId="4113809A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t xml:space="preserve">Доля потребностей кластеров </w:t>
            </w:r>
            <w:r>
              <w:t>I</w:t>
            </w:r>
            <w:r w:rsidRPr="005E6CDE">
              <w:rPr>
                <w:lang w:val="ru-RU"/>
              </w:rPr>
              <w:t>–</w:t>
            </w:r>
            <w:r>
              <w:t>V</w:t>
            </w:r>
            <w:r w:rsidRPr="005E6CDE">
              <w:rPr>
                <w:lang w:val="ru-RU"/>
              </w:rPr>
              <w:t>, покрываемых надёжным электроснабжением</w:t>
            </w:r>
          </w:p>
        </w:tc>
        <w:tc>
          <w:tcPr>
            <w:tcW w:w="4535" w:type="dxa"/>
          </w:tcPr>
          <w:p w14:paraId="24396DB6" w14:textId="77777777" w:rsidR="00743065" w:rsidRDefault="00000000">
            <w:pPr>
              <w:spacing w:line="240" w:lineRule="auto"/>
              <w:ind w:firstLine="0"/>
              <w:jc w:val="both"/>
            </w:pPr>
            <w:r>
              <w:t xml:space="preserve">≥ 95 %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нормативном</w:t>
            </w:r>
            <w:proofErr w:type="spellEnd"/>
            <w:r>
              <w:t xml:space="preserve"> </w:t>
            </w:r>
            <w:proofErr w:type="spellStart"/>
            <w:r>
              <w:t>качестве</w:t>
            </w:r>
            <w:proofErr w:type="spellEnd"/>
          </w:p>
        </w:tc>
      </w:tr>
      <w:tr w:rsidR="00743065" w14:paraId="3D61F76D" w14:textId="77777777">
        <w:tc>
          <w:tcPr>
            <w:tcW w:w="5669" w:type="dxa"/>
          </w:tcPr>
          <w:p w14:paraId="14A9BACD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Объём привлечённого зелёного финансирования</w:t>
            </w:r>
          </w:p>
        </w:tc>
        <w:tc>
          <w:tcPr>
            <w:tcW w:w="4535" w:type="dxa"/>
          </w:tcPr>
          <w:p w14:paraId="4E701853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≥ 1,0–1,5 млрд USD</w:t>
            </w:r>
          </w:p>
        </w:tc>
      </w:tr>
    </w:tbl>
    <w:p w14:paraId="725DF12D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Как видно из таблицы 3.3.6.1, энергетический кластер ориентирован не только на количественный рост мощностей, но и на качественные показатели – снижение потерь и </w:t>
      </w:r>
      <w:proofErr w:type="spellStart"/>
      <w:r w:rsidRPr="005E6CDE">
        <w:rPr>
          <w:lang w:val="ru-RU"/>
        </w:rPr>
        <w:t>углеродоёмкости</w:t>
      </w:r>
      <w:proofErr w:type="spellEnd"/>
      <w:r w:rsidRPr="005E6CDE">
        <w:rPr>
          <w:lang w:val="ru-RU"/>
        </w:rPr>
        <w:t>, рост доли ВИЭ и надёжность снабжения производственных и логистических кластеров. Достижение указанных ориентиров является необходимым условием успеха промышленной и логистической компонент проекта.</w:t>
      </w:r>
    </w:p>
    <w:p w14:paraId="18FA50B9" w14:textId="77777777" w:rsidR="00743065" w:rsidRPr="005E6CDE" w:rsidRDefault="00000000">
      <w:pPr>
        <w:ind w:firstLine="0"/>
        <w:jc w:val="both"/>
        <w:rPr>
          <w:lang w:val="ru-RU"/>
        </w:rPr>
      </w:pPr>
      <w:r w:rsidRPr="005E6CDE">
        <w:rPr>
          <w:b/>
          <w:lang w:val="ru-RU"/>
        </w:rPr>
        <w:t>Инвестиционная модель, основной капитал и земля</w:t>
      </w:r>
    </w:p>
    <w:p w14:paraId="55F788F8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Инвестиционная модель кластера </w:t>
      </w:r>
      <w:r>
        <w:t>VI</w:t>
      </w:r>
      <w:r w:rsidRPr="005E6CDE">
        <w:rPr>
          <w:lang w:val="ru-RU"/>
        </w:rPr>
        <w:t xml:space="preserve"> включает портфель проектов по генерации, сетям и ВИЭ. Оценочно, совокупный объём капитальных вложений можно принять на уровне 3,0–3,5 млрд </w:t>
      </w:r>
      <w:r>
        <w:t>USD</w:t>
      </w:r>
      <w:r w:rsidRPr="005E6CDE">
        <w:rPr>
          <w:lang w:val="ru-RU"/>
        </w:rPr>
        <w:t xml:space="preserve"> на период до 2035 г. Структура </w:t>
      </w:r>
      <w:r>
        <w:t>CAPEX</w:t>
      </w:r>
      <w:r w:rsidRPr="005E6CDE">
        <w:rPr>
          <w:lang w:val="ru-RU"/>
        </w:rPr>
        <w:t xml:space="preserve"> представлена в таблице 3.3.6.2.</w:t>
      </w:r>
    </w:p>
    <w:p w14:paraId="144E820A" w14:textId="77777777" w:rsidR="00743065" w:rsidRPr="005E6CDE" w:rsidRDefault="00000000">
      <w:pPr>
        <w:ind w:firstLine="0"/>
        <w:jc w:val="both"/>
        <w:rPr>
          <w:lang w:val="ru-RU"/>
        </w:rPr>
      </w:pPr>
      <w:r w:rsidRPr="005E6CDE">
        <w:rPr>
          <w:b/>
          <w:lang w:val="ru-RU"/>
        </w:rPr>
        <w:t xml:space="preserve">Таблица 3.3.6.2 – Оценочная структура </w:t>
      </w:r>
      <w:r>
        <w:rPr>
          <w:b/>
        </w:rPr>
        <w:t>CAPEX</w:t>
      </w:r>
      <w:r w:rsidRPr="005E6CDE">
        <w:rPr>
          <w:b/>
          <w:lang w:val="ru-RU"/>
        </w:rPr>
        <w:t xml:space="preserve"> кластера </w:t>
      </w:r>
      <w:r>
        <w:rPr>
          <w:b/>
        </w:rPr>
        <w:t>VI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830"/>
        <w:gridCol w:w="2622"/>
        <w:gridCol w:w="3021"/>
      </w:tblGrid>
      <w:tr w:rsidR="00743065" w14:paraId="427FC3BF" w14:textId="77777777">
        <w:tc>
          <w:tcPr>
            <w:tcW w:w="5102" w:type="dxa"/>
          </w:tcPr>
          <w:p w14:paraId="22DF7B59" w14:textId="77777777" w:rsidR="00743065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Направление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инвестиций</w:t>
            </w:r>
            <w:proofErr w:type="spellEnd"/>
          </w:p>
        </w:tc>
        <w:tc>
          <w:tcPr>
            <w:tcW w:w="2268" w:type="dxa"/>
          </w:tcPr>
          <w:p w14:paraId="728BC445" w14:textId="77777777" w:rsidR="0074306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Ориентировочный CAPEX, млрд USD</w:t>
            </w:r>
          </w:p>
        </w:tc>
        <w:tc>
          <w:tcPr>
            <w:tcW w:w="3969" w:type="dxa"/>
          </w:tcPr>
          <w:p w14:paraId="76F57B15" w14:textId="77777777" w:rsidR="0074306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Комментарий</w:t>
            </w:r>
          </w:p>
        </w:tc>
      </w:tr>
      <w:tr w:rsidR="00743065" w:rsidRPr="00CD56EE" w14:paraId="727F43A9" w14:textId="77777777">
        <w:tc>
          <w:tcPr>
            <w:tcW w:w="5102" w:type="dxa"/>
          </w:tcPr>
          <w:p w14:paraId="3A855E9D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lastRenderedPageBreak/>
              <w:t>Модернизация и расширение газовой генерации</w:t>
            </w:r>
          </w:p>
        </w:tc>
        <w:tc>
          <w:tcPr>
            <w:tcW w:w="2268" w:type="dxa"/>
          </w:tcPr>
          <w:p w14:paraId="298B79EA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0,90–1,10</w:t>
            </w:r>
          </w:p>
        </w:tc>
        <w:tc>
          <w:tcPr>
            <w:tcW w:w="3969" w:type="dxa"/>
          </w:tcPr>
          <w:p w14:paraId="66D0C76B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t>Повышение КПД, замещение устаревших мощностей</w:t>
            </w:r>
          </w:p>
        </w:tc>
      </w:tr>
      <w:tr w:rsidR="00743065" w14:paraId="6BA9C370" w14:textId="77777777">
        <w:tc>
          <w:tcPr>
            <w:tcW w:w="5102" w:type="dxa"/>
          </w:tcPr>
          <w:p w14:paraId="1753AAE6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t>Развитие ВИЭ (солнечные и ветровые парки)</w:t>
            </w:r>
          </w:p>
        </w:tc>
        <w:tc>
          <w:tcPr>
            <w:tcW w:w="2268" w:type="dxa"/>
          </w:tcPr>
          <w:p w14:paraId="7FD000CF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1,00–1,20</w:t>
            </w:r>
          </w:p>
        </w:tc>
        <w:tc>
          <w:tcPr>
            <w:tcW w:w="3969" w:type="dxa"/>
          </w:tcPr>
          <w:p w14:paraId="69BBFB6F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Прибрежные и континентальные площадки</w:t>
            </w:r>
          </w:p>
        </w:tc>
      </w:tr>
      <w:tr w:rsidR="00743065" w:rsidRPr="00CD56EE" w14:paraId="74145952" w14:textId="77777777">
        <w:tc>
          <w:tcPr>
            <w:tcW w:w="5102" w:type="dxa"/>
          </w:tcPr>
          <w:p w14:paraId="6ABB9207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t>Биоэнергетика и отходы-В-энергию</w:t>
            </w:r>
          </w:p>
        </w:tc>
        <w:tc>
          <w:tcPr>
            <w:tcW w:w="2268" w:type="dxa"/>
          </w:tcPr>
          <w:p w14:paraId="38DDF793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0,25–0,35</w:t>
            </w:r>
          </w:p>
        </w:tc>
        <w:tc>
          <w:tcPr>
            <w:tcW w:w="3969" w:type="dxa"/>
          </w:tcPr>
          <w:p w14:paraId="366FA4DC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t>Использование отходов агрокластера и городских отходов</w:t>
            </w:r>
          </w:p>
        </w:tc>
      </w:tr>
      <w:tr w:rsidR="00743065" w:rsidRPr="00CD56EE" w14:paraId="2F8130A5" w14:textId="77777777">
        <w:tc>
          <w:tcPr>
            <w:tcW w:w="5102" w:type="dxa"/>
          </w:tcPr>
          <w:p w14:paraId="4BB390FB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t>Сетевое хозяйство (ЛЭП, подстанции, «умные сети»)</w:t>
            </w:r>
          </w:p>
        </w:tc>
        <w:tc>
          <w:tcPr>
            <w:tcW w:w="2268" w:type="dxa"/>
          </w:tcPr>
          <w:p w14:paraId="42CDC021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0,60–0,70</w:t>
            </w:r>
          </w:p>
        </w:tc>
        <w:tc>
          <w:tcPr>
            <w:tcW w:w="3969" w:type="dxa"/>
          </w:tcPr>
          <w:p w14:paraId="6A508EBF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t>Снижение потерь, надёжность снабжения зон роста</w:t>
            </w:r>
          </w:p>
        </w:tc>
      </w:tr>
      <w:tr w:rsidR="00743065" w:rsidRPr="00CD56EE" w14:paraId="5649499F" w14:textId="77777777">
        <w:tc>
          <w:tcPr>
            <w:tcW w:w="5102" w:type="dxa"/>
          </w:tcPr>
          <w:p w14:paraId="0A33FC11" w14:textId="77777777" w:rsidR="00743065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Энергоэффективность</w:t>
            </w:r>
            <w:proofErr w:type="spellEnd"/>
            <w:r>
              <w:t xml:space="preserve"> и ESG-</w:t>
            </w:r>
            <w:proofErr w:type="spellStart"/>
            <w:r>
              <w:t>инфраструктура</w:t>
            </w:r>
            <w:proofErr w:type="spellEnd"/>
          </w:p>
        </w:tc>
        <w:tc>
          <w:tcPr>
            <w:tcW w:w="2268" w:type="dxa"/>
          </w:tcPr>
          <w:p w14:paraId="0759CEA7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0,25–0,30</w:t>
            </w:r>
          </w:p>
        </w:tc>
        <w:tc>
          <w:tcPr>
            <w:tcW w:w="3969" w:type="dxa"/>
          </w:tcPr>
          <w:p w14:paraId="1B59922B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>
              <w:t>ESCO</w:t>
            </w:r>
            <w:r w:rsidRPr="005E6CDE">
              <w:rPr>
                <w:lang w:val="ru-RU"/>
              </w:rPr>
              <w:t>-проекты, энергоаудит, системы мониторинга</w:t>
            </w:r>
          </w:p>
        </w:tc>
      </w:tr>
    </w:tbl>
    <w:p w14:paraId="549A35F9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В отличие от сугубо промышленного </w:t>
      </w:r>
      <w:r>
        <w:t>CAPEX</w:t>
      </w:r>
      <w:r w:rsidRPr="005E6CDE">
        <w:rPr>
          <w:lang w:val="ru-RU"/>
        </w:rPr>
        <w:t xml:space="preserve">, энергетический </w:t>
      </w:r>
      <w:r>
        <w:t>CAPEX</w:t>
      </w:r>
      <w:r w:rsidRPr="005E6CDE">
        <w:rPr>
          <w:lang w:val="ru-RU"/>
        </w:rPr>
        <w:t xml:space="preserve"> часто реализуется через смешанные финансовые схемы – проекты </w:t>
      </w:r>
      <w:r>
        <w:t>IPP</w:t>
      </w:r>
      <w:r w:rsidRPr="005E6CDE">
        <w:rPr>
          <w:lang w:val="ru-RU"/>
        </w:rPr>
        <w:t xml:space="preserve">, концессии, государственно-частные партнёрства и зелёные облигации. Особую роль играют механизмы климатического финансирования и </w:t>
      </w:r>
      <w:r>
        <w:t>ESG</w:t>
      </w:r>
      <w:r w:rsidRPr="005E6CDE">
        <w:rPr>
          <w:lang w:val="ru-RU"/>
        </w:rPr>
        <w:t>-инструменты, позволяющие снизить стоимость капитала для проектов ВИЭ и энергоэффективности.</w:t>
      </w:r>
    </w:p>
    <w:p w14:paraId="3B1569CC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С точки зрения земельных ресурсов, основные потребности связаны с размещением солнечных и ветровых парков, а также биоэнергетических установок. Исходя из типичной плотности установки солнечных панелей (4–6 МВт на 10 га), введение 800–1000 МВт солнечной генерации потребует порядка 13–20 тыс. га (130–200 км²) в прибрежной и прилегающей зоне. Ветровые станции и биоэнергетика предъявляют меньшие требования к площади, но более строгие – к локализации и экологическим параметрам. Эти оценки подлежат уточнению в ТЭО, однако демонстрируют масштаб пространственного планирования, необходимого для кластера </w:t>
      </w:r>
      <w:r>
        <w:t>VI</w:t>
      </w:r>
      <w:r w:rsidRPr="005E6CDE">
        <w:rPr>
          <w:lang w:val="ru-RU"/>
        </w:rPr>
        <w:t>.</w:t>
      </w:r>
    </w:p>
    <w:p w14:paraId="3F8896DE" w14:textId="77777777" w:rsidR="00743065" w:rsidRPr="005E6CDE" w:rsidRDefault="00000000">
      <w:pPr>
        <w:ind w:firstLine="0"/>
        <w:jc w:val="both"/>
        <w:rPr>
          <w:lang w:val="ru-RU"/>
        </w:rPr>
      </w:pPr>
      <w:r w:rsidRPr="005E6CDE">
        <w:rPr>
          <w:b/>
          <w:lang w:val="ru-RU"/>
        </w:rPr>
        <w:t xml:space="preserve">Таблица 3.3.6.3 – Потребности кластера </w:t>
      </w:r>
      <w:r>
        <w:rPr>
          <w:b/>
        </w:rPr>
        <w:t>VI</w:t>
      </w:r>
      <w:r w:rsidRPr="005E6CDE">
        <w:rPr>
          <w:b/>
          <w:lang w:val="ru-RU"/>
        </w:rPr>
        <w:t xml:space="preserve"> в ресурсах (оценка)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13"/>
        <w:gridCol w:w="2719"/>
        <w:gridCol w:w="3341"/>
      </w:tblGrid>
      <w:tr w:rsidR="00743065" w14:paraId="5CA6E04F" w14:textId="77777777">
        <w:tc>
          <w:tcPr>
            <w:tcW w:w="5102" w:type="dxa"/>
          </w:tcPr>
          <w:p w14:paraId="7610A1BB" w14:textId="77777777" w:rsidR="00743065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Ресурс</w:t>
            </w:r>
            <w:proofErr w:type="spellEnd"/>
          </w:p>
        </w:tc>
        <w:tc>
          <w:tcPr>
            <w:tcW w:w="2835" w:type="dxa"/>
          </w:tcPr>
          <w:p w14:paraId="77197007" w14:textId="77777777" w:rsidR="0074306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 xml:space="preserve">Ориентировочный </w:t>
            </w:r>
            <w:r>
              <w:rPr>
                <w:b/>
              </w:rPr>
              <w:lastRenderedPageBreak/>
              <w:t>масштаб</w:t>
            </w:r>
          </w:p>
        </w:tc>
        <w:tc>
          <w:tcPr>
            <w:tcW w:w="3969" w:type="dxa"/>
          </w:tcPr>
          <w:p w14:paraId="25EBA85E" w14:textId="77777777" w:rsidR="0074306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lastRenderedPageBreak/>
              <w:t>Комментарий</w:t>
            </w:r>
          </w:p>
        </w:tc>
      </w:tr>
      <w:tr w:rsidR="00743065" w:rsidRPr="00CD56EE" w14:paraId="7A01B6A5" w14:textId="77777777">
        <w:tc>
          <w:tcPr>
            <w:tcW w:w="5102" w:type="dxa"/>
          </w:tcPr>
          <w:p w14:paraId="08F81F74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t>Земля под ВИЭ (солнечные и ветровые парки)</w:t>
            </w:r>
          </w:p>
        </w:tc>
        <w:tc>
          <w:tcPr>
            <w:tcW w:w="2835" w:type="dxa"/>
          </w:tcPr>
          <w:p w14:paraId="31DB5612" w14:textId="77777777" w:rsidR="00743065" w:rsidRDefault="00000000">
            <w:pPr>
              <w:spacing w:line="240" w:lineRule="auto"/>
              <w:ind w:firstLine="0"/>
              <w:jc w:val="both"/>
            </w:pPr>
            <w:r>
              <w:t xml:space="preserve">13–20 </w:t>
            </w:r>
            <w:proofErr w:type="spellStart"/>
            <w:r>
              <w:t>тыс</w:t>
            </w:r>
            <w:proofErr w:type="spellEnd"/>
            <w:r>
              <w:t>. га (130–200 км²)</w:t>
            </w:r>
          </w:p>
        </w:tc>
        <w:tc>
          <w:tcPr>
            <w:tcW w:w="3969" w:type="dxa"/>
          </w:tcPr>
          <w:p w14:paraId="4681BB78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t>В зависимости от конфигурации и плотности установки</w:t>
            </w:r>
          </w:p>
        </w:tc>
      </w:tr>
      <w:tr w:rsidR="00743065" w14:paraId="38205E35" w14:textId="77777777">
        <w:tc>
          <w:tcPr>
            <w:tcW w:w="5102" w:type="dxa"/>
          </w:tcPr>
          <w:p w14:paraId="2EC8BFCB" w14:textId="77777777" w:rsidR="00743065" w:rsidRDefault="00000000">
            <w:pPr>
              <w:spacing w:line="240" w:lineRule="auto"/>
              <w:ind w:firstLine="0"/>
              <w:jc w:val="both"/>
            </w:pPr>
            <w:r>
              <w:t xml:space="preserve">Основной </w:t>
            </w:r>
            <w:proofErr w:type="spellStart"/>
            <w:r>
              <w:t>капитал</w:t>
            </w:r>
            <w:proofErr w:type="spellEnd"/>
            <w:r>
              <w:t xml:space="preserve"> (CAPEX)</w:t>
            </w:r>
          </w:p>
        </w:tc>
        <w:tc>
          <w:tcPr>
            <w:tcW w:w="2835" w:type="dxa"/>
          </w:tcPr>
          <w:p w14:paraId="66729F4B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3,0–3,5 млрд USD</w:t>
            </w:r>
          </w:p>
        </w:tc>
        <w:tc>
          <w:tcPr>
            <w:tcW w:w="3969" w:type="dxa"/>
          </w:tcPr>
          <w:p w14:paraId="5655E433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Генерация, сети, ВИЭ, энергоэффективность</w:t>
            </w:r>
          </w:p>
        </w:tc>
      </w:tr>
      <w:tr w:rsidR="00743065" w:rsidRPr="00CD56EE" w14:paraId="55E04BBE" w14:textId="77777777">
        <w:tc>
          <w:tcPr>
            <w:tcW w:w="5102" w:type="dxa"/>
          </w:tcPr>
          <w:p w14:paraId="4CCADD63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Операционные расходы (OPEX)</w:t>
            </w:r>
          </w:p>
        </w:tc>
        <w:tc>
          <w:tcPr>
            <w:tcW w:w="2835" w:type="dxa"/>
          </w:tcPr>
          <w:p w14:paraId="1D9BF968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0,35–0,50 млрд USD/год</w:t>
            </w:r>
          </w:p>
        </w:tc>
        <w:tc>
          <w:tcPr>
            <w:tcW w:w="3969" w:type="dxa"/>
          </w:tcPr>
          <w:p w14:paraId="03BBC77A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t>Топливо, эксплуатация, обслуживание сетей и ВИЭ</w:t>
            </w:r>
          </w:p>
        </w:tc>
      </w:tr>
      <w:tr w:rsidR="00743065" w:rsidRPr="00CD56EE" w14:paraId="0DE1B59A" w14:textId="77777777">
        <w:tc>
          <w:tcPr>
            <w:tcW w:w="5102" w:type="dxa"/>
          </w:tcPr>
          <w:p w14:paraId="18C68940" w14:textId="77777777" w:rsidR="00743065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Оборотные</w:t>
            </w:r>
            <w:proofErr w:type="spellEnd"/>
            <w:r>
              <w:t xml:space="preserve"> </w:t>
            </w:r>
            <w:proofErr w:type="spellStart"/>
            <w:r>
              <w:t>средства</w:t>
            </w:r>
            <w:proofErr w:type="spellEnd"/>
          </w:p>
        </w:tc>
        <w:tc>
          <w:tcPr>
            <w:tcW w:w="2835" w:type="dxa"/>
          </w:tcPr>
          <w:p w14:paraId="138C0BD5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0,05–0,08 млрд USD</w:t>
            </w:r>
          </w:p>
        </w:tc>
        <w:tc>
          <w:tcPr>
            <w:tcW w:w="3969" w:type="dxa"/>
          </w:tcPr>
          <w:p w14:paraId="7EAEAAF7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t>Запасы топлива, запчастей, расходных материалов</w:t>
            </w:r>
          </w:p>
        </w:tc>
      </w:tr>
      <w:tr w:rsidR="00743065" w:rsidRPr="00CD56EE" w14:paraId="47FEF995" w14:textId="77777777">
        <w:tc>
          <w:tcPr>
            <w:tcW w:w="5102" w:type="dxa"/>
          </w:tcPr>
          <w:p w14:paraId="27008FC4" w14:textId="77777777" w:rsidR="00743065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Человеческий</w:t>
            </w:r>
            <w:proofErr w:type="spellEnd"/>
            <w:r>
              <w:t xml:space="preserve"> </w:t>
            </w:r>
            <w:proofErr w:type="spellStart"/>
            <w:r>
              <w:t>капитал</w:t>
            </w:r>
            <w:proofErr w:type="spellEnd"/>
            <w:r>
              <w:t xml:space="preserve"> (</w:t>
            </w:r>
            <w:proofErr w:type="spellStart"/>
            <w:r>
              <w:t>прямая</w:t>
            </w:r>
            <w:proofErr w:type="spellEnd"/>
            <w:r>
              <w:t xml:space="preserve"> </w:t>
            </w:r>
            <w:proofErr w:type="spellStart"/>
            <w:r>
              <w:t>занятость</w:t>
            </w:r>
            <w:proofErr w:type="spellEnd"/>
            <w:r>
              <w:t>)</w:t>
            </w:r>
          </w:p>
        </w:tc>
        <w:tc>
          <w:tcPr>
            <w:tcW w:w="2835" w:type="dxa"/>
          </w:tcPr>
          <w:p w14:paraId="5B981C3B" w14:textId="77777777" w:rsidR="00743065" w:rsidRDefault="00000000">
            <w:pPr>
              <w:spacing w:line="240" w:lineRule="auto"/>
              <w:ind w:firstLine="0"/>
              <w:jc w:val="both"/>
            </w:pPr>
            <w:r>
              <w:t>20–25 тыс. чел.</w:t>
            </w:r>
          </w:p>
        </w:tc>
        <w:tc>
          <w:tcPr>
            <w:tcW w:w="3969" w:type="dxa"/>
          </w:tcPr>
          <w:p w14:paraId="757FEEF4" w14:textId="77777777" w:rsidR="00743065" w:rsidRPr="005E6CDE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5E6CDE">
              <w:rPr>
                <w:lang w:val="ru-RU"/>
              </w:rPr>
              <w:t xml:space="preserve">Инженеры, операторы, диспетчеры, </w:t>
            </w:r>
            <w:r>
              <w:t>ESG</w:t>
            </w:r>
            <w:r w:rsidRPr="005E6CDE">
              <w:rPr>
                <w:lang w:val="ru-RU"/>
              </w:rPr>
              <w:t>-специалисты</w:t>
            </w:r>
          </w:p>
        </w:tc>
      </w:tr>
    </w:tbl>
    <w:p w14:paraId="1BB9952F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>Вывод по таблице 3.3.6.3: энергетический кластер требует значительных земельных и капитальных ресурсов, при этом его операционные расходы в долгосрочном горизонте могут быть оптимизированы за счёт увеличения доли ВИЭ и повышения энергоэффективности. Критическими факторами успеха выступают качество планирования, надёжность управления рисками и доступ к зелёному финансированию.</w:t>
      </w:r>
    </w:p>
    <w:p w14:paraId="399CED90" w14:textId="77777777" w:rsidR="00743065" w:rsidRPr="005E6CDE" w:rsidRDefault="00000000">
      <w:pPr>
        <w:ind w:firstLine="0"/>
        <w:jc w:val="both"/>
        <w:rPr>
          <w:lang w:val="ru-RU"/>
        </w:rPr>
      </w:pPr>
      <w:r w:rsidRPr="005E6CDE">
        <w:rPr>
          <w:b/>
          <w:lang w:val="ru-RU"/>
        </w:rPr>
        <w:t>Квалификация и необходимые компетенции</w:t>
      </w:r>
    </w:p>
    <w:p w14:paraId="54527DB6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Кластер </w:t>
      </w:r>
      <w:r>
        <w:t>VI</w:t>
      </w:r>
      <w:r w:rsidRPr="005E6CDE">
        <w:rPr>
          <w:lang w:val="ru-RU"/>
        </w:rPr>
        <w:t xml:space="preserve"> предъявляет высокие требования к техническим компетенциям: энергетика, электротехника, системы управления, климатическое моделирование и анализ рисков. Важную роль играют также навыки проектного финансирования, управления комплексными инфраструктурными проектами и подготовки </w:t>
      </w:r>
      <w:r>
        <w:t>ESG</w:t>
      </w:r>
      <w:r w:rsidRPr="005E6CDE">
        <w:rPr>
          <w:lang w:val="ru-RU"/>
        </w:rPr>
        <w:t>-отчётности, соответствующей требованиям международных инвесторов и рейтинговых агентств.</w:t>
      </w:r>
    </w:p>
    <w:p w14:paraId="7BAD8522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Систему подготовки кадров для энергетического кластера обеспечивают программы кластера </w:t>
      </w:r>
      <w:r>
        <w:t>V</w:t>
      </w:r>
      <w:r w:rsidRPr="005E6CDE">
        <w:rPr>
          <w:lang w:val="ru-RU"/>
        </w:rPr>
        <w:t xml:space="preserve"> (образование и </w:t>
      </w:r>
      <w:r>
        <w:t>R</w:t>
      </w:r>
      <w:r w:rsidRPr="005E6CDE">
        <w:rPr>
          <w:lang w:val="ru-RU"/>
        </w:rPr>
        <w:t>&amp;</w:t>
      </w:r>
      <w:r>
        <w:t>D</w:t>
      </w:r>
      <w:r w:rsidRPr="005E6CDE">
        <w:rPr>
          <w:lang w:val="ru-RU"/>
        </w:rPr>
        <w:t xml:space="preserve">), включающие </w:t>
      </w:r>
      <w:r w:rsidRPr="005E6CDE">
        <w:rPr>
          <w:lang w:val="ru-RU"/>
        </w:rPr>
        <w:lastRenderedPageBreak/>
        <w:t xml:space="preserve">специализированные направления по энергетике, возобновляемым источникам энергии, климатической политике и </w:t>
      </w:r>
      <w:r>
        <w:t>ESG</w:t>
      </w:r>
      <w:r w:rsidRPr="005E6CDE">
        <w:rPr>
          <w:lang w:val="ru-RU"/>
        </w:rPr>
        <w:t>. Дополнительно необходимы программы повышения квалификации для действующих специалистов, ориентированные на новые технологии (умные сети, диспетчеризация на базе цифровых платформ, управление распределённой генерацией).</w:t>
      </w:r>
    </w:p>
    <w:p w14:paraId="4AD95745" w14:textId="77777777" w:rsidR="00743065" w:rsidRPr="005E6CDE" w:rsidRDefault="00000000">
      <w:pPr>
        <w:ind w:firstLine="0"/>
        <w:jc w:val="both"/>
        <w:rPr>
          <w:lang w:val="ru-RU"/>
        </w:rPr>
      </w:pPr>
      <w:r w:rsidRPr="005E6CDE">
        <w:rPr>
          <w:b/>
          <w:lang w:val="ru-RU"/>
        </w:rPr>
        <w:t xml:space="preserve">Синергия энергетического и </w:t>
      </w:r>
      <w:r>
        <w:rPr>
          <w:b/>
        </w:rPr>
        <w:t>ESG</w:t>
      </w:r>
      <w:r w:rsidRPr="005E6CDE">
        <w:rPr>
          <w:b/>
          <w:lang w:val="ru-RU"/>
        </w:rPr>
        <w:t>-кластера в рамках проекта «Берег Восхода»</w:t>
      </w:r>
    </w:p>
    <w:p w14:paraId="0EF5DDE4" w14:textId="77777777" w:rsidR="00743065" w:rsidRPr="005E6CDE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Синергетическая роль кластера </w:t>
      </w:r>
      <w:r>
        <w:t>VI</w:t>
      </w:r>
      <w:r w:rsidRPr="005E6CDE">
        <w:rPr>
          <w:lang w:val="ru-RU"/>
        </w:rPr>
        <w:t xml:space="preserve"> проявляется во взаимодействии с агропереработкой (использование отходов для биоэнергетики), промышленным кластером (надёжное энергоснабжение СЭЗ), портово-логистическим кластером (энергия для терминалов, холодных цепей, бункеровки) и цифровой платформой (мониторинг нагрузок, оптимизация режимов работы, учёт выбросов). Энергетический кластер также обеспечивает </w:t>
      </w:r>
      <w:r>
        <w:t>ESG</w:t>
      </w:r>
      <w:r w:rsidRPr="005E6CDE">
        <w:rPr>
          <w:lang w:val="ru-RU"/>
        </w:rPr>
        <w:t>-компоненту всего проекта, позволяя репозиционировать «Берег Восхода» как климатически и экологически ответственную инициативу, что критично для доступа к финансированию в условиях усиления глобальной климатической повестки.</w:t>
      </w:r>
    </w:p>
    <w:p w14:paraId="094E35EB" w14:textId="77777777" w:rsidR="00743065" w:rsidRDefault="00000000">
      <w:pPr>
        <w:jc w:val="both"/>
        <w:rPr>
          <w:lang w:val="ru-RU"/>
        </w:rPr>
      </w:pPr>
      <w:r w:rsidRPr="005E6CDE">
        <w:rPr>
          <w:lang w:val="ru-RU"/>
        </w:rPr>
        <w:t xml:space="preserve">Через интеграцию с цифровой платформой (Кластер </w:t>
      </w:r>
      <w:r>
        <w:t>IV</w:t>
      </w:r>
      <w:r w:rsidRPr="005E6CDE">
        <w:rPr>
          <w:lang w:val="ru-RU"/>
        </w:rPr>
        <w:t>) реализуются функции мониторинга генерации и потребления, управления спросом, прогнозирования пиков и оптимизации использования разных источников энергии. Это позволяет снизить риски перегрузки системы, минимизировать потери и поддерживать устойчивость к внешним шокам. В результате энергетический кластер становится неотъемлемым элементом устойчивости всей кластерной архитектуры «Берега Восхода».</w:t>
      </w:r>
    </w:p>
    <w:p w14:paraId="471486A2" w14:textId="77777777" w:rsidR="005E6CDE" w:rsidRPr="001B6B1B" w:rsidRDefault="005E6CDE" w:rsidP="005E6CDE">
      <w:pPr>
        <w:jc w:val="both"/>
        <w:rPr>
          <w:lang w:val="ru-RU"/>
        </w:rPr>
      </w:pPr>
      <w:r w:rsidRPr="001B6B1B">
        <w:rPr>
          <w:b/>
          <w:lang w:val="ru-RU"/>
        </w:rPr>
        <w:t xml:space="preserve">Формулы для Кластера </w:t>
      </w:r>
      <w:r>
        <w:rPr>
          <w:b/>
        </w:rPr>
        <w:t>VI</w:t>
      </w:r>
      <w:r w:rsidRPr="001B6B1B">
        <w:rPr>
          <w:b/>
          <w:lang w:val="ru-RU"/>
        </w:rPr>
        <w:t xml:space="preserve">: Энергия и </w:t>
      </w:r>
      <w:r>
        <w:rPr>
          <w:b/>
        </w:rPr>
        <w:t>ESG</w:t>
      </w:r>
      <w:r w:rsidRPr="001B6B1B">
        <w:rPr>
          <w:b/>
          <w:lang w:val="ru-RU"/>
        </w:rPr>
        <w:t xml:space="preserve"> (раздел 3.3.6)</w:t>
      </w:r>
    </w:p>
    <w:p w14:paraId="797DD07C" w14:textId="2193E5E7" w:rsidR="005E6CDE" w:rsidRPr="00CD56EE" w:rsidRDefault="00CD56EE" w:rsidP="005E6CDE">
      <w:pPr>
        <w:jc w:val="both"/>
        <w:rPr>
          <w:lang w:val="ru-RU"/>
        </w:rPr>
      </w:pPr>
      <w:r w:rsidRPr="00CD56EE">
        <w:rPr>
          <w:lang w:val="ru-RU"/>
        </w:rPr>
        <w:lastRenderedPageBreak/>
        <w:t xml:space="preserve">Формула (3.3.21). Эффект выхода (добавленной стоимости) кластера </w:t>
      </w:r>
      <w:r w:rsidR="005E6CDE">
        <w:t>VI</w:t>
      </w:r>
      <w:r w:rsidR="005E6CDE" w:rsidRPr="00CD56EE">
        <w:rPr>
          <w:lang w:val="ru-RU"/>
        </w:rPr>
        <w:t>:</w:t>
      </w:r>
    </w:p>
    <w:p w14:paraId="1CDD7060" w14:textId="5C08FD06" w:rsidR="005E6CDE" w:rsidRPr="001B6B1B" w:rsidRDefault="005E6CDE" w:rsidP="005E6CDE">
      <w:pPr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Δ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  <w:lang w:val="fr-FR"/>
              </w:rPr>
              <m:t>Y</m:t>
            </m: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6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6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  <w:lang w:val="fr-FR"/>
              </w:rPr>
              <m:t>x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*Δ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  <w:lang w:val="fr-FR"/>
              </w:rPr>
              <m:t>Y</m:t>
            </m: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6</m:t>
            </m:r>
          </m:sub>
          <m:sup>
            <m:r>
              <w:rPr>
                <w:rFonts w:ascii="Cambria Math" w:eastAsia="Cambria Math" w:hAnsi="Cambria Math"/>
                <w:szCs w:val="24"/>
                <w:lang w:val="fr-FR"/>
              </w:rPr>
              <m:t>max</m:t>
            </m:r>
          </m:sup>
        </m:sSubSup>
        <m:r>
          <w:rPr>
            <w:rFonts w:ascii="Cambria Math" w:eastAsia="Cambria Math" w:hAnsi="Cambria Math"/>
            <w:szCs w:val="24"/>
            <w:lang w:val="ru-RU"/>
          </w:rPr>
          <m:t>.</m:t>
        </m:r>
      </m:oMath>
      <w:r>
        <w:rPr>
          <w:sz w:val="24"/>
          <w:lang w:val="ru-RU"/>
        </w:rPr>
        <w:t xml:space="preserve"> </w:t>
      </w:r>
      <w:r>
        <w:rPr>
          <w:sz w:val="24"/>
          <w:lang w:val="ru-RU"/>
        </w:rPr>
        <w:tab/>
      </w:r>
      <w:r>
        <w:rPr>
          <w:sz w:val="24"/>
          <w:lang w:val="ru-RU"/>
        </w:rPr>
        <w:tab/>
      </w:r>
      <w:r>
        <w:rPr>
          <w:lang w:val="ru-RU"/>
        </w:rPr>
        <w:t>(3</w:t>
      </w:r>
      <w:r w:rsidRPr="001B6B1B">
        <w:rPr>
          <w:lang w:val="ru-RU"/>
        </w:rPr>
        <w:t>.3.21).</w:t>
      </w:r>
    </w:p>
    <w:p w14:paraId="307448D7" w14:textId="77777777" w:rsidR="005E6CDE" w:rsidRDefault="005E6CDE" w:rsidP="005E6CDE">
      <w:pPr>
        <w:jc w:val="both"/>
        <w:rPr>
          <w:lang w:val="ru-RU"/>
        </w:rPr>
      </w:pPr>
      <w:r w:rsidRPr="005D2DDF">
        <w:rPr>
          <w:lang w:val="ru-RU"/>
        </w:rPr>
        <w:t>где:</w:t>
      </w:r>
    </w:p>
    <w:p w14:paraId="781B311A" w14:textId="77777777" w:rsidR="005E6CDE" w:rsidRPr="00E40DA3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6</m:t>
                </m:r>
              </m:sub>
            </m:sSub>
          </m:e>
        </m:d>
      </m:oMath>
      <w:r w:rsidRPr="00E40DA3">
        <w:rPr>
          <w:lang w:val="ru-RU"/>
        </w:rPr>
        <w:t xml:space="preserve"> – фактический вклад кластера </w:t>
      </w:r>
      <w:r>
        <w:t>VI</w:t>
      </w:r>
      <w:r w:rsidRPr="00E40DA3">
        <w:rPr>
          <w:lang w:val="ru-RU"/>
        </w:rPr>
        <w:t xml:space="preserve"> (энергетический и </w:t>
      </w:r>
      <w:r>
        <w:t>ESG</w:t>
      </w:r>
      <w:r w:rsidRPr="00E40DA3">
        <w:rPr>
          <w:lang w:val="ru-RU"/>
        </w:rPr>
        <w:t xml:space="preserve">-кластер) в прирост валовой добавленной стоимости прибрежной зоны при степени реализации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6</m:t>
            </m:r>
          </m:sub>
        </m:sSub>
      </m:oMath>
      <w:r w:rsidRPr="00E40DA3">
        <w:rPr>
          <w:lang w:val="ru-RU"/>
        </w:rPr>
        <w:t>;</w:t>
      </w:r>
    </w:p>
    <w:p w14:paraId="463799D9" w14:textId="77777777" w:rsidR="005E6CDE" w:rsidRPr="00E40DA3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E40DA3">
        <w:rPr>
          <w:lang w:val="ru-RU"/>
        </w:rPr>
        <w:t>потенциальный максимум прироста ВДС при полной реализации портфеля проектов генерации, сетевой инфраструктуры и энергоэффективности (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=1</m:t>
        </m:r>
      </m:oMath>
      <w:r w:rsidRPr="00E40DA3">
        <w:rPr>
          <w:lang w:val="ru-RU"/>
        </w:rPr>
        <w:t>);</w:t>
      </w:r>
    </w:p>
    <w:p w14:paraId="58809AEB" w14:textId="0BCE3C37" w:rsidR="00E40DA3" w:rsidRPr="00E40DA3" w:rsidRDefault="00000000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0;1</m:t>
            </m:r>
          </m:e>
        </m:d>
      </m:oMath>
      <w:r w:rsidR="005E6CDE" w:rsidRPr="00E40DA3">
        <w:rPr>
          <w:lang w:val="ru-RU"/>
        </w:rPr>
        <w:t xml:space="preserve"> – степень реализации кластера </w:t>
      </w:r>
      <w:r w:rsidR="005E6CDE" w:rsidRPr="00C86675">
        <w:rPr>
          <w:lang w:val="ru-RU"/>
        </w:rPr>
        <w:t>VI</w:t>
      </w:r>
      <w:r w:rsidR="005E6CDE" w:rsidRPr="00E40DA3">
        <w:rPr>
          <w:lang w:val="ru-RU"/>
        </w:rPr>
        <w:t xml:space="preserve">, отражающая долю достигнутого потенциала по отношению к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="00C86675">
        <w:rPr>
          <w:lang w:val="ru-RU"/>
        </w:rPr>
        <w:t xml:space="preserve"> формула</w:t>
      </w:r>
      <w:r w:rsidR="005E6CDE" w:rsidRPr="00E40DA3">
        <w:rPr>
          <w:lang w:val="ru-RU"/>
        </w:rPr>
        <w:t xml:space="preserve"> (3.3.22). </w:t>
      </w:r>
    </w:p>
    <w:p w14:paraId="5E15E6C8" w14:textId="4CC263EF" w:rsidR="005E6CDE" w:rsidRPr="00E40DA3" w:rsidRDefault="00E40DA3" w:rsidP="005E6CDE">
      <w:pPr>
        <w:jc w:val="both"/>
        <w:rPr>
          <w:lang w:val="ru-RU"/>
        </w:rPr>
      </w:pPr>
      <w:r w:rsidRPr="00E40DA3">
        <w:rPr>
          <w:lang w:val="ru-RU"/>
        </w:rPr>
        <w:t xml:space="preserve">Экологический эффект кластера </w:t>
      </w:r>
      <w:r>
        <w:t>VI</w:t>
      </w:r>
      <w:r w:rsidRPr="00E40DA3">
        <w:rPr>
          <w:lang w:val="ru-RU"/>
        </w:rPr>
        <w:t xml:space="preserve"> (снижение выбросов / экологическая нагрузка</w:t>
      </w:r>
      <w:r w:rsidR="005E6CDE" w:rsidRPr="00E40DA3">
        <w:rPr>
          <w:lang w:val="ru-RU"/>
        </w:rPr>
        <w:t>):</w:t>
      </w:r>
    </w:p>
    <w:p w14:paraId="09437567" w14:textId="393BA440" w:rsidR="005E6CDE" w:rsidRPr="001B6B1B" w:rsidRDefault="005E6CDE" w:rsidP="005E6CDE">
      <w:pPr>
        <w:jc w:val="center"/>
        <w:rPr>
          <w:rFonts w:asciiTheme="minorHAnsi" w:eastAsiaTheme="minorEastAsia" w:hAnsiTheme="minorHAnsi"/>
          <w:sz w:val="24"/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Δ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E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6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6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=- 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6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*Δ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E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6</m:t>
            </m:r>
          </m:sub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bSup>
      </m:oMath>
      <w:r>
        <w:rPr>
          <w:sz w:val="24"/>
          <w:lang w:val="ru-RU"/>
        </w:rPr>
        <w:tab/>
      </w:r>
      <w:r>
        <w:rPr>
          <w:sz w:val="24"/>
          <w:lang w:val="ru-RU"/>
        </w:rPr>
        <w:tab/>
      </w:r>
      <w:r>
        <w:rPr>
          <w:sz w:val="24"/>
          <w:lang w:val="ru-RU"/>
        </w:rPr>
        <w:tab/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3.3.22</m:t>
            </m:r>
          </m:e>
        </m:d>
      </m:oMath>
    </w:p>
    <w:p w14:paraId="7BFBB5B9" w14:textId="77777777" w:rsidR="005E6CDE" w:rsidRDefault="005E6CDE" w:rsidP="005E6CDE">
      <w:pPr>
        <w:jc w:val="both"/>
        <w:rPr>
          <w:lang w:val="ru-RU"/>
        </w:rPr>
      </w:pPr>
      <w:r>
        <w:rPr>
          <w:lang w:val="ru-RU"/>
        </w:rPr>
        <w:t>гд</w:t>
      </w:r>
      <w:r w:rsidRPr="005D2DDF">
        <w:rPr>
          <w:lang w:val="ru-RU"/>
        </w:rPr>
        <w:t>е:</w:t>
      </w:r>
    </w:p>
    <w:p w14:paraId="02777B16" w14:textId="77777777" w:rsidR="005E6CDE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5D2DDF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6</m:t>
                </m:r>
              </m:sub>
            </m:sSub>
          </m:e>
        </m:d>
      </m:oMath>
      <w:r w:rsidRPr="005D2DDF">
        <w:rPr>
          <w:lang w:val="ru-RU"/>
        </w:rPr>
        <w:t xml:space="preserve"> – вклад кластера </w:t>
      </w:r>
      <w:r w:rsidRPr="00E40DA3">
        <w:rPr>
          <w:lang w:val="ru-RU"/>
        </w:rPr>
        <w:t>VI</w:t>
      </w:r>
      <w:r w:rsidRPr="005D2DDF">
        <w:rPr>
          <w:lang w:val="ru-RU"/>
        </w:rPr>
        <w:t xml:space="preserve"> в изменение интегрального показателя экологической нагрузки (выбросы парниковых газов, локальное загрязнение воздуха и др.); знак «минус» отражает то, что при реализации энергетического и </w:t>
      </w:r>
      <w:r w:rsidRPr="00E40DA3">
        <w:rPr>
          <w:lang w:val="ru-RU"/>
        </w:rPr>
        <w:t>ESG</w:t>
      </w:r>
      <w:r w:rsidRPr="005D2DDF">
        <w:rPr>
          <w:lang w:val="ru-RU"/>
        </w:rPr>
        <w:t>-кластера нагрузка снижается;</w:t>
      </w:r>
    </w:p>
    <w:p w14:paraId="3CB9BEA7" w14:textId="5DC40067" w:rsidR="005E6CDE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5D2DDF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5D2DDF">
        <w:rPr>
          <w:lang w:val="ru-RU"/>
        </w:rPr>
        <w:t xml:space="preserve">максимальный потенциал сокращения экологической нагрузки (при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6</m:t>
            </m:r>
          </m:sub>
        </m:sSub>
      </m:oMath>
      <w:r w:rsidRPr="005D2DDF">
        <w:rPr>
          <w:lang w:val="ru-RU"/>
        </w:rPr>
        <w:t xml:space="preserve"> = 1) по сравнению с базовым сценарием;</w:t>
      </w:r>
    </w:p>
    <w:p w14:paraId="3CD3E756" w14:textId="77777777" w:rsidR="005E6CDE" w:rsidRPr="00E40DA3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5D2DDF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</m:sSub>
      </m:oMath>
      <w:r w:rsidRPr="005D2DDF">
        <w:rPr>
          <w:lang w:val="ru-RU"/>
        </w:rPr>
        <w:t xml:space="preserve"> – степень реализации кластера </w:t>
      </w:r>
      <w:r w:rsidRPr="00E40DA3">
        <w:rPr>
          <w:lang w:val="ru-RU"/>
        </w:rPr>
        <w:t>VI</w:t>
      </w:r>
      <w:r w:rsidRPr="005D2DDF">
        <w:rPr>
          <w:lang w:val="ru-RU"/>
        </w:rPr>
        <w:t>.</w:t>
      </w:r>
    </w:p>
    <w:p w14:paraId="285E907B" w14:textId="132C1F71" w:rsidR="005E6CDE" w:rsidRPr="00C86675" w:rsidRDefault="005E6CDE" w:rsidP="005E6CDE">
      <w:pPr>
        <w:jc w:val="both"/>
        <w:rPr>
          <w:sz w:val="32"/>
          <w:szCs w:val="24"/>
          <w:lang w:val="ru-RU"/>
        </w:rPr>
      </w:pPr>
      <w:r w:rsidRPr="001B6B1B">
        <w:rPr>
          <w:lang w:val="ru-RU"/>
        </w:rPr>
        <w:t xml:space="preserve">Формула (3.3.23). Ограничения по инвестициям, земле и системе для </w:t>
      </w:r>
      <w:r w:rsidR="00C86675">
        <w:rPr>
          <w:lang w:val="ru-RU"/>
        </w:rPr>
        <w:t>кластера</w:t>
      </w:r>
      <w:r w:rsidRPr="001B6B1B">
        <w:rPr>
          <w:lang w:val="ru-RU"/>
        </w:rPr>
        <w:t xml:space="preserve"> </w:t>
      </w:r>
      <w:r>
        <w:t>VI</w:t>
      </w:r>
      <w:r w:rsidRPr="001B6B1B">
        <w:rPr>
          <w:lang w:val="ru-RU"/>
        </w:rPr>
        <w:t>:</w:t>
      </w:r>
    </w:p>
    <w:p w14:paraId="4ED9880A" w14:textId="77777777" w:rsidR="005E6CDE" w:rsidRPr="00C86675" w:rsidRDefault="005E6CDE" w:rsidP="005E6CDE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r>
            <w:rPr>
              <w:rFonts w:ascii="Cambria Math" w:eastAsia="Cambria Math" w:hAnsi="Cambria Math"/>
              <w:szCs w:val="24"/>
              <w:lang w:val="ru-RU"/>
            </w:rPr>
            <w:lastRenderedPageBreak/>
            <m:t>0</m:t>
          </m:r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  <w:lang w:val="ru-RU"/>
            </w:rPr>
            <m:t>1,</m:t>
          </m:r>
        </m:oMath>
      </m:oMathPara>
    </w:p>
    <w:p w14:paraId="0A44BACF" w14:textId="77777777" w:rsidR="005E6CDE" w:rsidRPr="00C86675" w:rsidRDefault="00000000" w:rsidP="005E6CDE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6</m:t>
              </m:r>
            </m:sub>
          </m:sSub>
          <m:sSub>
            <m:sSubP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6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09BF3C24" w14:textId="77777777" w:rsidR="005E6CDE" w:rsidRPr="00C86675" w:rsidRDefault="00000000" w:rsidP="005E6CDE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6</m:t>
              </m:r>
            </m:sub>
          </m:sSub>
          <m:r>
            <w:rPr>
              <w:rFonts w:ascii="Cambria Math" w:eastAsia="Cambria Math" w:hAnsi="Cambria Math"/>
              <w:szCs w:val="24"/>
            </w:rPr>
            <m:t>Lan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d</m:t>
              </m: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</w:rPr>
            <m:t>Lan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d</m:t>
              </m: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6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0872F99D" w14:textId="77777777" w:rsidR="005E6CDE" w:rsidRPr="00C86675" w:rsidRDefault="00000000" w:rsidP="005E6CDE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G</m:t>
              </m:r>
              <m:ctrlPr>
                <w:rPr>
                  <w:rFonts w:ascii="Cambria Math" w:eastAsia="Cambria Math" w:hAnsi="Cambria Math"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6</m:t>
              </m:r>
            </m:sub>
          </m:sSub>
          <m:d>
            <m:dP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/>
                      <w:szCs w:val="24"/>
                      <w:lang w:val="ru-RU"/>
                    </w:rPr>
                    <m:t>6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≥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G</m:t>
              </m:r>
              <m:ctrlPr>
                <w:rPr>
                  <w:rFonts w:ascii="Cambria Math" w:eastAsia="Cambria Math" w:hAnsi="Cambria Math"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6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min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3DDEA8EB" w14:textId="328C0EB8" w:rsidR="005E6CDE" w:rsidRDefault="00000000" w:rsidP="005E6CDE">
      <w:pPr>
        <w:jc w:val="center"/>
        <w:rPr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4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s</m:t>
            </m:r>
            <m:ctrlPr>
              <w:rPr>
                <w:rFonts w:ascii="Cambria Math" w:eastAsia="Cambria Math" w:hAnsi="Cambria Math"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6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6</m:t>
                </m:r>
              </m:sub>
            </m:sSub>
          </m:e>
        </m:d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≥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s</m:t>
            </m:r>
            <m:ctrlPr>
              <w:rPr>
                <w:rFonts w:ascii="Cambria Math" w:eastAsia="Cambria Math" w:hAnsi="Cambria Math"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6</m:t>
            </m:r>
          </m:sub>
          <m:sup>
            <m:r>
              <m:rPr>
                <m:nor/>
              </m:rPr>
              <w:rPr>
                <w:rFonts w:ascii="Cambria Math" w:eastAsia="Cambria Math" w:hAnsi="Cambria Math"/>
                <w:szCs w:val="24"/>
              </w:rPr>
              <m:t>RES</m:t>
            </m:r>
          </m:sup>
        </m:sSubSup>
      </m:oMath>
      <w:r w:rsidR="00C86675" w:rsidRPr="00C86675">
        <w:rPr>
          <w:szCs w:val="24"/>
          <w:lang w:val="ru-RU"/>
        </w:rPr>
        <w:tab/>
      </w:r>
      <w:r w:rsidR="00C86675">
        <w:rPr>
          <w:sz w:val="24"/>
          <w:lang w:val="ru-RU"/>
        </w:rPr>
        <w:tab/>
      </w:r>
      <w:r w:rsidR="00C86675">
        <w:rPr>
          <w:sz w:val="24"/>
          <w:lang w:val="ru-RU"/>
        </w:rPr>
        <w:tab/>
      </w:r>
      <w:r w:rsidR="00C86675" w:rsidRPr="001B6B1B">
        <w:rPr>
          <w:lang w:val="ru-RU"/>
        </w:rPr>
        <w:t>(3.3.23).</w:t>
      </w:r>
    </w:p>
    <w:p w14:paraId="08BA555A" w14:textId="77777777" w:rsidR="00E40DA3" w:rsidRDefault="005E6CDE" w:rsidP="005E6CDE">
      <w:pPr>
        <w:jc w:val="both"/>
        <w:rPr>
          <w:lang w:val="ru-RU"/>
        </w:rPr>
      </w:pPr>
      <w:r>
        <w:rPr>
          <w:lang w:val="ru-RU"/>
        </w:rPr>
        <w:t>Где</w:t>
      </w:r>
      <w:r w:rsidR="00E40DA3">
        <w:rPr>
          <w:lang w:val="ru-RU"/>
        </w:rPr>
        <w:t>:</w:t>
      </w:r>
    </w:p>
    <w:p w14:paraId="220311A5" w14:textId="36F24E80" w:rsidR="005E6CDE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>
        <w:rPr>
          <w:lang w:val="ru-RU"/>
        </w:rPr>
        <w:t xml:space="preserve"> </w:t>
      </w:r>
      <m:oMath>
        <m:sSub>
          <m:sSubPr>
            <m:ctrlPr>
              <w:rPr>
                <w:rFonts w:ascii="Cambria Math" w:eastAsia="Cambria Math" w:hAnsi="Cambria Math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lang w:val="ru-RU"/>
              </w:rPr>
              <m:t>6</m:t>
            </m:r>
          </m:sub>
        </m:sSub>
      </m:oMath>
      <w:r w:rsidRPr="005D2DDF">
        <w:rPr>
          <w:lang w:val="ru-RU"/>
        </w:rPr>
        <w:t xml:space="preserve">– совокупный объём капитальных вложений в энергетический и </w:t>
      </w:r>
      <w:r w:rsidRPr="00E40DA3">
        <w:rPr>
          <w:lang w:val="ru-RU"/>
        </w:rPr>
        <w:t>ESG</w:t>
      </w:r>
      <w:r w:rsidRPr="005D2DDF">
        <w:rPr>
          <w:lang w:val="ru-RU"/>
        </w:rPr>
        <w:t>-кластер (строительство и модернизация генерации, сетей, ВИЭ и проектов энергоэффективности);</w:t>
      </w:r>
    </w:p>
    <w:p w14:paraId="6AC8AB59" w14:textId="77777777" w:rsidR="005E6CDE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5D2DDF">
        <w:rPr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5D2DDF">
        <w:rPr>
          <w:lang w:val="ru-RU"/>
        </w:rPr>
        <w:t>максимально допустимый объём инвестиций по проектной модели;</w:t>
      </w:r>
    </w:p>
    <w:p w14:paraId="2F626F51" w14:textId="77777777" w:rsidR="005E6CDE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5D2DDF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Lan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</m:sSub>
      </m:oMath>
      <w:r w:rsidRPr="005D2DDF">
        <w:rPr>
          <w:lang w:val="ru-RU"/>
        </w:rPr>
        <w:t xml:space="preserve"> – площадь земельных участков под объекты генерации, подстанции, ЛЭП и солнечные/ветровые парки;</w:t>
      </w:r>
    </w:p>
    <w:p w14:paraId="6E55452C" w14:textId="77777777" w:rsidR="005E6CDE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>Lan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5D2DDF">
        <w:rPr>
          <w:lang w:val="ru-RU"/>
        </w:rPr>
        <w:t xml:space="preserve">доступный земельный ресурс для кластера </w:t>
      </w:r>
      <w:r w:rsidRPr="00E40DA3">
        <w:rPr>
          <w:lang w:val="ru-RU"/>
        </w:rPr>
        <w:t>VI</w:t>
      </w:r>
      <w:r w:rsidRPr="005D2DDF">
        <w:rPr>
          <w:lang w:val="ru-RU"/>
        </w:rPr>
        <w:t xml:space="preserve">; </w:t>
      </w:r>
    </w:p>
    <w:p w14:paraId="584BA584" w14:textId="502A8ADE" w:rsidR="005E6CDE" w:rsidRDefault="00000000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6</m:t>
                </m:r>
              </m:sub>
            </m:sSub>
          </m:e>
        </m:d>
      </m:oMath>
      <w:r w:rsidR="005E6CDE" w:rsidRPr="005D2DDF">
        <w:rPr>
          <w:lang w:val="ru-RU"/>
        </w:rPr>
        <w:t xml:space="preserve"> – обеспечиваемая установленная мощность (или годовая генерация) энергетического кластера при степени реализации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</m:sSub>
      </m:oMath>
      <w:r w:rsidR="005E6CDE" w:rsidRPr="005D2DDF">
        <w:rPr>
          <w:lang w:val="ru-RU"/>
        </w:rPr>
        <w:t>;</w:t>
      </w:r>
    </w:p>
    <w:p w14:paraId="69198E98" w14:textId="77777777" w:rsidR="005E6CDE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5D2DDF">
        <w:rPr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  <m:sup>
            <m:r>
              <w:rPr>
                <w:rFonts w:ascii="Cambria Math" w:hAnsi="Cambria Math"/>
                <w:lang w:val="ru-RU"/>
              </w:rPr>
              <m:t>min</m:t>
            </m:r>
          </m:sup>
        </m:sSubSup>
      </m:oMath>
      <w:r w:rsidRPr="005D2DDF">
        <w:rPr>
          <w:lang w:val="ru-RU"/>
        </w:rPr>
        <w:t xml:space="preserve">минимально необходимый уровень мощности/генерации для покрытия спроса со стороны кластеров </w:t>
      </w:r>
      <w:r w:rsidRPr="00E40DA3">
        <w:rPr>
          <w:lang w:val="ru-RU"/>
        </w:rPr>
        <w:t>I</w:t>
      </w:r>
      <w:r w:rsidRPr="005D2DDF">
        <w:rPr>
          <w:lang w:val="ru-RU"/>
        </w:rPr>
        <w:t>–</w:t>
      </w:r>
      <w:r w:rsidRPr="00E40DA3">
        <w:rPr>
          <w:lang w:val="ru-RU"/>
        </w:rPr>
        <w:t>V</w:t>
      </w:r>
      <w:r w:rsidRPr="005D2DDF">
        <w:rPr>
          <w:lang w:val="ru-RU"/>
        </w:rPr>
        <w:t xml:space="preserve"> и </w:t>
      </w:r>
      <w:r w:rsidRPr="00E40DA3">
        <w:rPr>
          <w:lang w:val="ru-RU"/>
        </w:rPr>
        <w:t>VII</w:t>
      </w:r>
      <w:r w:rsidRPr="005D2DDF">
        <w:rPr>
          <w:lang w:val="ru-RU"/>
        </w:rPr>
        <w:t>–</w:t>
      </w:r>
      <w:r w:rsidRPr="00E40DA3">
        <w:rPr>
          <w:lang w:val="ru-RU"/>
        </w:rPr>
        <w:t>IX</w:t>
      </w:r>
      <w:r w:rsidRPr="005D2DDF">
        <w:rPr>
          <w:lang w:val="ru-RU"/>
        </w:rPr>
        <w:t>;</w:t>
      </w:r>
    </w:p>
    <w:p w14:paraId="14804EAA" w14:textId="77777777" w:rsidR="005E6CDE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5D2DDF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6</m:t>
                </m:r>
              </m:sub>
            </m:sSub>
          </m:e>
        </m:d>
      </m:oMath>
      <w:r w:rsidRPr="005D2DDF">
        <w:rPr>
          <w:lang w:val="ru-RU"/>
        </w:rPr>
        <w:t xml:space="preserve"> – доля генерации из возобновляемых источников энергии (ВИЭ) в общем балансе;</w:t>
      </w:r>
    </w:p>
    <w:p w14:paraId="19568363" w14:textId="77777777" w:rsidR="005E6CDE" w:rsidRPr="005D2DDF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5D2DDF">
        <w:rPr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  <m:sup>
            <m:r>
              <m:rPr>
                <m:nor/>
              </m:rPr>
              <w:rPr>
                <w:lang w:val="ru-RU"/>
              </w:rPr>
              <m:t>RES</m:t>
            </m:r>
          </m:sup>
        </m:sSubSup>
      </m:oMath>
      <w:r w:rsidRPr="005D2DDF">
        <w:rPr>
          <w:lang w:val="ru-RU"/>
        </w:rPr>
        <w:t xml:space="preserve"> – целевое значение доли ВИЭ в энергобалансе проекта «Берег Восхода».</w:t>
      </w:r>
    </w:p>
    <w:p w14:paraId="26FB2636" w14:textId="77777777" w:rsidR="005E6CDE" w:rsidRPr="001B6B1B" w:rsidRDefault="005E6CDE" w:rsidP="005E6CDE">
      <w:pPr>
        <w:jc w:val="both"/>
        <w:rPr>
          <w:lang w:val="ru-RU"/>
        </w:rPr>
      </w:pPr>
      <w:r w:rsidRPr="001B6B1B">
        <w:rPr>
          <w:lang w:val="ru-RU"/>
        </w:rPr>
        <w:t xml:space="preserve">Формула (3.3.24). Разложение общего поколения Кластера </w:t>
      </w:r>
      <w:r>
        <w:t>VI</w:t>
      </w:r>
      <w:r w:rsidRPr="001B6B1B">
        <w:rPr>
          <w:lang w:val="ru-RU"/>
        </w:rPr>
        <w:t xml:space="preserve"> по технологиям:</w:t>
      </w:r>
    </w:p>
    <w:p w14:paraId="0BF5B6C5" w14:textId="77777777" w:rsidR="005E6CDE" w:rsidRPr="001B6B1B" w:rsidRDefault="00000000" w:rsidP="005E6CDE">
      <w:pPr>
        <w:jc w:val="center"/>
        <w:rPr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4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G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6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6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</m:t>
        </m:r>
        <m:nary>
          <m:naryPr>
            <m:chr m:val="∑"/>
            <m:supHide m:val="1"/>
            <m:ctrlPr>
              <w:rPr>
                <w:rFonts w:ascii="Cambria Math" w:eastAsia="Cambria Math" w:hAnsi="Cambria Math"/>
                <w:szCs w:val="24"/>
              </w:rPr>
            </m:ctrlPr>
          </m:naryPr>
          <m:sub>
            <m:r>
              <w:rPr>
                <w:rFonts w:ascii="Cambria Math" w:eastAsia="Cambria Math" w:hAnsi="Cambria Math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ru-RU"/>
              </w:rPr>
              <m:t>∈</m:t>
            </m:r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G</m:t>
                </m:r>
                <m:ctrlPr>
                  <w:rPr>
                    <w:rFonts w:ascii="Cambria Math" w:eastAsia="Cambria Math" w:hAnsi="Cambria Math"/>
                    <w:szCs w:val="24"/>
                  </w:rPr>
                </m:ctrlP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6</m:t>
                </m:r>
              </m:sub>
            </m:sSub>
            <m:ctrlPr>
              <w:rPr>
                <w:rFonts w:ascii="Cambria Math" w:eastAsia="Cambria Math" w:hAnsi="Cambria Math"/>
                <w:i/>
                <w:szCs w:val="24"/>
              </w:rPr>
            </m:ctrlPr>
          </m:sub>
          <m:sup>
            <m:ctrlPr>
              <w:rPr>
                <w:rFonts w:ascii="Cambria Math" w:eastAsia="Cambria Math" w:hAnsi="Cambria Math"/>
                <w:i/>
                <w:szCs w:val="24"/>
              </w:rPr>
            </m:ctrlPr>
          </m:sup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G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6</m:t>
                </m:r>
                <m:r>
                  <w:rPr>
                    <w:rFonts w:ascii="Cambria Math" w:eastAsia="Cambria Math" w:hAnsi="Cambria Math"/>
                    <w:szCs w:val="24"/>
                  </w:rPr>
                  <m:t>j</m:t>
                </m:r>
              </m:sub>
            </m:sSub>
            <m:d>
              <m:dP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/>
                        <w:szCs w:val="24"/>
                        <w:lang w:val="ru-RU"/>
                      </w:rPr>
                      <m:t>6</m:t>
                    </m:r>
                  </m:sub>
                </m:sSub>
              </m:e>
            </m:d>
            <m:ctrlPr>
              <w:rPr>
                <w:rFonts w:ascii="Cambria Math" w:eastAsia="Cambria Math" w:hAnsi="Cambria Math"/>
                <w:i/>
                <w:szCs w:val="24"/>
              </w:rPr>
            </m:ctrlPr>
          </m:e>
        </m:nary>
        <m:r>
          <w:rPr>
            <w:rFonts w:ascii="Cambria Math" w:eastAsia="Cambria Math" w:hAnsi="Cambria Math"/>
            <w:szCs w:val="24"/>
            <w:lang w:val="ru-RU"/>
          </w:rPr>
          <m:t>.</m:t>
        </m:r>
      </m:oMath>
      <w:r w:rsidR="005E6CDE">
        <w:rPr>
          <w:sz w:val="24"/>
          <w:lang w:val="ru-RU"/>
        </w:rPr>
        <w:tab/>
      </w:r>
      <w:r w:rsidR="005E6CDE">
        <w:rPr>
          <w:sz w:val="24"/>
          <w:lang w:val="ru-RU"/>
        </w:rPr>
        <w:tab/>
      </w:r>
      <w:r w:rsidR="005E6CDE" w:rsidRPr="001B6B1B">
        <w:rPr>
          <w:lang w:val="ru-RU"/>
        </w:rPr>
        <w:t>(3.3.24)</w:t>
      </w:r>
    </w:p>
    <w:p w14:paraId="1D2AF04E" w14:textId="77777777" w:rsidR="00E40DA3" w:rsidRDefault="005E6CDE" w:rsidP="005E6CDE">
      <w:pPr>
        <w:jc w:val="both"/>
        <w:rPr>
          <w:lang w:val="ru-RU"/>
        </w:rPr>
      </w:pPr>
      <w:r w:rsidRPr="005D2DDF">
        <w:rPr>
          <w:lang w:val="ru-RU"/>
        </w:rPr>
        <w:t>где:</w:t>
      </w:r>
    </w:p>
    <w:p w14:paraId="6C714C2D" w14:textId="4FB63C0F" w:rsidR="005E6CDE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5D2DDF">
        <w:rPr>
          <w:lang w:val="ru-RU"/>
        </w:rPr>
        <w:lastRenderedPageBreak/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6</m:t>
                </m:r>
              </m:sub>
            </m:sSub>
          </m:e>
        </m:d>
      </m:oMath>
      <w:r w:rsidRPr="005D2DDF">
        <w:rPr>
          <w:lang w:val="ru-RU"/>
        </w:rPr>
        <w:t xml:space="preserve"> – суммарная установленная мощность (или годовая генерация) кластера </w:t>
      </w:r>
      <w:r w:rsidRPr="00E40DA3">
        <w:rPr>
          <w:lang w:val="ru-RU"/>
        </w:rPr>
        <w:t>VI</w:t>
      </w:r>
      <w:r w:rsidRPr="005D2DDF">
        <w:rPr>
          <w:lang w:val="ru-RU"/>
        </w:rPr>
        <w:t xml:space="preserve"> при степени реализации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</m:sSub>
      </m:oMath>
      <w:r w:rsidRPr="005D2DDF">
        <w:rPr>
          <w:lang w:val="ru-RU"/>
        </w:rPr>
        <w:t>;</w:t>
      </w:r>
    </w:p>
    <w:p w14:paraId="5184456B" w14:textId="77777777" w:rsidR="005E6CDE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5D2DDF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</m:sSub>
      </m:oMath>
      <w:r w:rsidRPr="005D2DDF">
        <w:rPr>
          <w:lang w:val="ru-RU"/>
        </w:rPr>
        <w:t xml:space="preserve"> – множество технологических подсекторов генерации (газовые станции, ГЭС, солнечные станции, ветроэлектростанции, биомасса и др.); </w:t>
      </w:r>
    </w:p>
    <w:p w14:paraId="5A680970" w14:textId="77777777" w:rsidR="005E6CDE" w:rsidRPr="005D2DDF" w:rsidRDefault="00000000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  <m:r>
              <w:rPr>
                <w:rFonts w:ascii="Cambria Math" w:hAnsi="Cambria Math"/>
                <w:lang w:val="ru-RU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6</m:t>
                </m:r>
              </m:sub>
            </m:sSub>
          </m:e>
        </m:d>
      </m:oMath>
      <w:r w:rsidR="005E6CDE" w:rsidRPr="005D2DDF">
        <w:rPr>
          <w:lang w:val="ru-RU"/>
        </w:rPr>
        <w:t xml:space="preserve"> – установленная мощность (или годовая генерация) по </w:t>
      </w:r>
      <w:r w:rsidR="005E6CDE" w:rsidRPr="00E40DA3">
        <w:rPr>
          <w:lang w:val="ru-RU"/>
        </w:rPr>
        <w:t>j</w:t>
      </w:r>
      <w:r w:rsidR="005E6CDE" w:rsidRPr="005D2DDF">
        <w:rPr>
          <w:lang w:val="ru-RU"/>
        </w:rPr>
        <w:t xml:space="preserve">-й технологии при заданной степени реализации кластера </w:t>
      </w:r>
      <w:r w:rsidR="005E6CDE" w:rsidRPr="00E40DA3">
        <w:rPr>
          <w:lang w:val="ru-RU"/>
        </w:rPr>
        <w:t>VI</w:t>
      </w:r>
      <w:r w:rsidR="005E6CDE" w:rsidRPr="005D2DDF">
        <w:rPr>
          <w:lang w:val="ru-RU"/>
        </w:rPr>
        <w:t>.</w:t>
      </w:r>
    </w:p>
    <w:p w14:paraId="643EF948" w14:textId="77777777" w:rsidR="005E6CDE" w:rsidRPr="001B6B1B" w:rsidRDefault="005E6CDE" w:rsidP="005E6CDE">
      <w:pPr>
        <w:jc w:val="both"/>
        <w:rPr>
          <w:lang w:val="ru-RU"/>
        </w:rPr>
      </w:pPr>
      <w:r w:rsidRPr="001B6B1B">
        <w:rPr>
          <w:lang w:val="ru-RU"/>
        </w:rPr>
        <w:t xml:space="preserve">Формула (3.3.25). Выбросы, связанные с энергетическим балансом кластера </w:t>
      </w:r>
      <w:r>
        <w:t>VI</w:t>
      </w:r>
      <w:r w:rsidRPr="001B6B1B">
        <w:rPr>
          <w:lang w:val="ru-RU"/>
        </w:rPr>
        <w:t>:</w:t>
      </w:r>
    </w:p>
    <w:p w14:paraId="5EEE3910" w14:textId="5F317070" w:rsidR="005E6CDE" w:rsidRPr="001B6B1B" w:rsidRDefault="00000000" w:rsidP="005E6CDE">
      <w:pPr>
        <w:jc w:val="center"/>
        <w:rPr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4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E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6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6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</m:t>
        </m:r>
        <m:nary>
          <m:naryPr>
            <m:chr m:val="∑"/>
            <m:supHide m:val="1"/>
            <m:ctrlPr>
              <w:rPr>
                <w:rFonts w:ascii="Cambria Math" w:eastAsia="Cambria Math" w:hAnsi="Cambria Math"/>
                <w:szCs w:val="24"/>
              </w:rPr>
            </m:ctrlPr>
          </m:naryPr>
          <m:sub>
            <m:r>
              <w:rPr>
                <w:rFonts w:ascii="Cambria Math" w:eastAsia="Cambria Math" w:hAnsi="Cambria Math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ru-RU"/>
              </w:rPr>
              <m:t>∈</m:t>
            </m:r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G</m:t>
                </m:r>
                <m:ctrlPr>
                  <w:rPr>
                    <w:rFonts w:ascii="Cambria Math" w:eastAsia="Cambria Math" w:hAnsi="Cambria Math"/>
                    <w:szCs w:val="24"/>
                  </w:rPr>
                </m:ctrlP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6</m:t>
                </m:r>
              </m:sub>
            </m:sSub>
            <m:ctrlPr>
              <w:rPr>
                <w:rFonts w:ascii="Cambria Math" w:eastAsia="Cambria Math" w:hAnsi="Cambria Math"/>
                <w:i/>
                <w:szCs w:val="24"/>
              </w:rPr>
            </m:ctrlPr>
          </m:sub>
          <m:sup>
            <m:ctrlPr>
              <w:rPr>
                <w:rFonts w:ascii="Cambria Math" w:eastAsia="Cambria Math" w:hAnsi="Cambria Math"/>
                <w:i/>
                <w:szCs w:val="24"/>
              </w:rPr>
            </m:ctrlPr>
          </m:sup>
          <m:e>
            <m:r>
              <w:rPr>
                <w:rFonts w:ascii="Cambria Math" w:eastAsia="Cambria Math" w:hAnsi="Cambria Math"/>
                <w:szCs w:val="24"/>
              </w:rPr>
              <m:t>e</m:t>
            </m:r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</w:rPr>
                  <m:t>j</m:t>
                </m:r>
              </m:sub>
            </m:sSub>
            <m:ctrlPr>
              <w:rPr>
                <w:rFonts w:ascii="Cambria Math" w:eastAsia="Cambria Math" w:hAnsi="Cambria Math"/>
                <w:i/>
                <w:szCs w:val="24"/>
              </w:rPr>
            </m:ctrlPr>
          </m:e>
        </m:nary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*</m:t>
        </m:r>
        <m:sSub>
          <m:sSubPr>
            <m:ctrlPr>
              <w:rPr>
                <w:rFonts w:ascii="Cambria Math" w:eastAsia="Cambria Math" w:hAnsi="Cambria Math"/>
                <w:i/>
                <w:szCs w:val="24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G</m:t>
            </m:r>
            <m:ctrlPr>
              <w:rPr>
                <w:rFonts w:ascii="Cambria Math" w:eastAsia="Cambria Math" w:hAnsi="Cambria Math"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6</m:t>
            </m:r>
            <m:r>
              <w:rPr>
                <w:rFonts w:ascii="Cambria Math" w:eastAsia="Cambria Math" w:hAnsi="Cambria Math"/>
                <w:szCs w:val="24"/>
              </w:rPr>
              <m:t>j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6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.</m:t>
        </m:r>
      </m:oMath>
      <w:r w:rsidR="005E6CDE">
        <w:rPr>
          <w:sz w:val="24"/>
          <w:lang w:val="ru-RU"/>
        </w:rPr>
        <w:tab/>
      </w:r>
      <w:r w:rsidR="005E6CDE">
        <w:rPr>
          <w:sz w:val="24"/>
          <w:lang w:val="ru-RU"/>
        </w:rPr>
        <w:tab/>
      </w:r>
      <w:r w:rsidR="005E6CDE" w:rsidRPr="001B6B1B">
        <w:rPr>
          <w:lang w:val="ru-RU"/>
        </w:rPr>
        <w:t>(3.3.25).</w:t>
      </w:r>
    </w:p>
    <w:p w14:paraId="741008F4" w14:textId="77777777" w:rsidR="005E6CDE" w:rsidRDefault="005E6CDE" w:rsidP="005E6CDE">
      <w:pPr>
        <w:jc w:val="both"/>
        <w:rPr>
          <w:lang w:val="ru-RU"/>
        </w:rPr>
      </w:pPr>
      <w:r w:rsidRPr="005D2DDF">
        <w:rPr>
          <w:lang w:val="ru-RU"/>
        </w:rPr>
        <w:t>где:</w:t>
      </w:r>
    </w:p>
    <w:p w14:paraId="2634794B" w14:textId="77777777" w:rsidR="005E6CDE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5D2DDF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6</m:t>
                </m:r>
              </m:sub>
            </m:sSub>
          </m:e>
        </m:d>
      </m:oMath>
      <w:r w:rsidRPr="005D2DDF">
        <w:rPr>
          <w:lang w:val="ru-RU"/>
        </w:rPr>
        <w:t xml:space="preserve"> – совокупные выбросы парниковых газов (в </w:t>
      </w:r>
      <m:oMath>
        <m:r>
          <w:rPr>
            <w:rFonts w:ascii="Cambria Math" w:hAnsi="Cambria Math"/>
            <w:lang w:val="ru-RU"/>
          </w:rPr>
          <m:t>C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5D2DDF">
        <w:rPr>
          <w:lang w:val="ru-RU"/>
        </w:rPr>
        <w:t xml:space="preserve">-эквиваленте) для энергетического кластера при степени реализации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</m:sSub>
      </m:oMath>
      <w:r w:rsidRPr="005D2DDF">
        <w:rPr>
          <w:lang w:val="ru-RU"/>
        </w:rPr>
        <w:t>;</w:t>
      </w:r>
    </w:p>
    <w:p w14:paraId="461E0771" w14:textId="77777777" w:rsidR="005E6CDE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5D2DDF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e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j</m:t>
            </m:r>
          </m:sub>
        </m:sSub>
      </m:oMath>
      <w:r w:rsidRPr="005D2DDF">
        <w:rPr>
          <w:lang w:val="ru-RU"/>
        </w:rPr>
        <w:t xml:space="preserve"> – удельный коэффициент выбросов для </w:t>
      </w:r>
      <w:r w:rsidRPr="00E40DA3">
        <w:rPr>
          <w:lang w:val="ru-RU"/>
        </w:rPr>
        <w:t>j</w:t>
      </w:r>
      <w:r w:rsidRPr="005D2DDF">
        <w:rPr>
          <w:lang w:val="ru-RU"/>
        </w:rPr>
        <w:t xml:space="preserve">-й технологии генерации (тонн </w:t>
      </w:r>
      <m:oMath>
        <m:r>
          <w:rPr>
            <w:rFonts w:ascii="Cambria Math" w:hAnsi="Cambria Math"/>
            <w:lang w:val="ru-RU"/>
          </w:rPr>
          <m:t>C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5D2DDF">
        <w:rPr>
          <w:lang w:val="ru-RU"/>
        </w:rPr>
        <w:t>-экв/МВт·ч);</w:t>
      </w:r>
    </w:p>
    <w:p w14:paraId="091041B0" w14:textId="77777777" w:rsidR="005E6CDE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5D2DDF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  <m:r>
              <w:rPr>
                <w:rFonts w:ascii="Cambria Math" w:hAnsi="Cambria Math"/>
                <w:lang w:val="ru-RU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6</m:t>
                </m:r>
              </m:sub>
            </m:sSub>
          </m:e>
        </m:d>
      </m:oMath>
      <w:r w:rsidRPr="005D2DDF">
        <w:rPr>
          <w:lang w:val="ru-RU"/>
        </w:rPr>
        <w:t xml:space="preserve"> – годовая генерация по </w:t>
      </w:r>
      <w:r w:rsidRPr="00E40DA3">
        <w:rPr>
          <w:lang w:val="ru-RU"/>
        </w:rPr>
        <w:t>j</w:t>
      </w:r>
      <w:r w:rsidRPr="005D2DDF">
        <w:rPr>
          <w:lang w:val="ru-RU"/>
        </w:rPr>
        <w:t>-й технологии;</w:t>
      </w:r>
    </w:p>
    <w:p w14:paraId="22F3786D" w14:textId="77777777" w:rsidR="00E40DA3" w:rsidRDefault="005E6CDE" w:rsidP="00C86675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5D2DDF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b>
        </m:sSub>
      </m:oMath>
      <w:r w:rsidRPr="005D2DDF">
        <w:rPr>
          <w:lang w:val="ru-RU"/>
        </w:rPr>
        <w:t xml:space="preserve"> – множество технологий генерации, как в формуле (3.3.24). </w:t>
      </w:r>
    </w:p>
    <w:p w14:paraId="7D0C4390" w14:textId="77777777" w:rsidR="00E40DA3" w:rsidRPr="00E40DA3" w:rsidRDefault="00E40DA3" w:rsidP="00E40DA3">
      <w:pPr>
        <w:ind w:left="709" w:firstLine="0"/>
        <w:jc w:val="both"/>
        <w:rPr>
          <w:lang w:val="ru-RU"/>
        </w:rPr>
      </w:pPr>
    </w:p>
    <w:p w14:paraId="4FB4A2ED" w14:textId="715FA365" w:rsidR="005E6CDE" w:rsidRPr="00E40DA3" w:rsidRDefault="005E6CDE" w:rsidP="00E40DA3">
      <w:pPr>
        <w:jc w:val="both"/>
        <w:rPr>
          <w:lang w:val="ru-RU"/>
        </w:rPr>
      </w:pPr>
      <w:r w:rsidRPr="00E40DA3">
        <w:rPr>
          <w:lang w:val="ru-RU"/>
        </w:rPr>
        <w:t xml:space="preserve">Выражение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6</m:t>
                </m:r>
              </m:sub>
            </m:sSub>
          </m:e>
        </m:d>
      </m:oMath>
      <w:r w:rsidRPr="00E40DA3">
        <w:rPr>
          <w:lang w:val="ru-RU"/>
        </w:rPr>
        <w:t xml:space="preserve"> используется при оценке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6</m:t>
                </m:r>
              </m:sub>
            </m:sSub>
          </m:e>
        </m:d>
      </m:oMath>
      <w:r w:rsidRPr="00E40DA3">
        <w:rPr>
          <w:lang w:val="ru-RU"/>
        </w:rPr>
        <w:t xml:space="preserve"> и при расчёте интегрального показателя </w:t>
      </w:r>
      <w:r>
        <w:t>ESG</w:t>
      </w:r>
      <w:r w:rsidRPr="00E40DA3">
        <w:rPr>
          <w:lang w:val="ru-RU"/>
        </w:rPr>
        <w:t>-профиля проекта.</w:t>
      </w:r>
    </w:p>
    <w:p w14:paraId="7164E790" w14:textId="77777777" w:rsidR="005E6CDE" w:rsidRPr="005E6CDE" w:rsidRDefault="005E6CDE">
      <w:pPr>
        <w:jc w:val="both"/>
        <w:rPr>
          <w:lang w:val="ru-RU"/>
        </w:rPr>
      </w:pPr>
    </w:p>
    <w:p w14:paraId="187733CB" w14:textId="77777777" w:rsidR="00743065" w:rsidRPr="005E6CDE" w:rsidRDefault="00000000">
      <w:pPr>
        <w:ind w:firstLine="0"/>
        <w:jc w:val="both"/>
        <w:rPr>
          <w:lang w:val="ru-RU"/>
        </w:rPr>
      </w:pPr>
      <w:r w:rsidRPr="005E6CDE">
        <w:rPr>
          <w:lang w:val="ru-RU"/>
        </w:rPr>
        <w:t>Список источников к подразделу 3.3.6</w:t>
      </w:r>
    </w:p>
    <w:p w14:paraId="300AA7CC" w14:textId="77777777" w:rsidR="00743065" w:rsidRPr="005E6CDE" w:rsidRDefault="00000000">
      <w:pPr>
        <w:ind w:firstLine="0"/>
        <w:jc w:val="both"/>
        <w:rPr>
          <w:lang w:val="ru-RU"/>
        </w:rPr>
      </w:pPr>
      <w:r w:rsidRPr="005E6CDE">
        <w:rPr>
          <w:lang w:val="ru-RU"/>
        </w:rPr>
        <w:t xml:space="preserve">[1] Проект «Берег Восхода». Кластерная архитектура: описание энергетического и </w:t>
      </w:r>
      <w:r>
        <w:t>ESG</w:t>
      </w:r>
      <w:r w:rsidRPr="005E6CDE">
        <w:rPr>
          <w:lang w:val="ru-RU"/>
        </w:rPr>
        <w:t>-кластера.</w:t>
      </w:r>
    </w:p>
    <w:p w14:paraId="23D407AA" w14:textId="77777777" w:rsidR="00743065" w:rsidRPr="005E6CDE" w:rsidRDefault="00000000">
      <w:pPr>
        <w:ind w:firstLine="0"/>
        <w:jc w:val="both"/>
        <w:rPr>
          <w:lang w:val="ru-RU"/>
        </w:rPr>
      </w:pPr>
      <w:r w:rsidRPr="005E6CDE">
        <w:rPr>
          <w:lang w:val="ru-RU"/>
        </w:rPr>
        <w:lastRenderedPageBreak/>
        <w:t>[2] Экономика 2035. ВАК-отчёт: сценарии развития энергетики и климатической политики.</w:t>
      </w:r>
    </w:p>
    <w:p w14:paraId="1836D456" w14:textId="77777777" w:rsidR="00743065" w:rsidRDefault="00000000">
      <w:pPr>
        <w:ind w:firstLine="0"/>
        <w:jc w:val="both"/>
      </w:pPr>
      <w:r w:rsidRPr="005E6CDE">
        <w:rPr>
          <w:lang w:val="ru-RU"/>
        </w:rPr>
        <w:t xml:space="preserve">[3] Материалы национальной энергетической стратегии и планов по развитию </w:t>
      </w:r>
      <w:r>
        <w:t xml:space="preserve">ВИЭ </w:t>
      </w:r>
      <w:proofErr w:type="spellStart"/>
      <w:r>
        <w:t>Кот-д’Ивуара</w:t>
      </w:r>
      <w:proofErr w:type="spellEnd"/>
      <w:r>
        <w:t>.</w:t>
      </w:r>
    </w:p>
    <w:sectPr w:rsidR="00743065" w:rsidSect="00C86675">
      <w:pgSz w:w="12240" w:h="15840"/>
      <w:pgMar w:top="1440" w:right="1183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DA275B"/>
    <w:multiLevelType w:val="hybridMultilevel"/>
    <w:tmpl w:val="341682DC"/>
    <w:lvl w:ilvl="0" w:tplc="0D98F34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17820276">
    <w:abstractNumId w:val="8"/>
  </w:num>
  <w:num w:numId="2" w16cid:durableId="85149866">
    <w:abstractNumId w:val="6"/>
  </w:num>
  <w:num w:numId="3" w16cid:durableId="186065472">
    <w:abstractNumId w:val="5"/>
  </w:num>
  <w:num w:numId="4" w16cid:durableId="1220168537">
    <w:abstractNumId w:val="4"/>
  </w:num>
  <w:num w:numId="5" w16cid:durableId="1029337979">
    <w:abstractNumId w:val="7"/>
  </w:num>
  <w:num w:numId="6" w16cid:durableId="635991330">
    <w:abstractNumId w:val="3"/>
  </w:num>
  <w:num w:numId="7" w16cid:durableId="1698308718">
    <w:abstractNumId w:val="2"/>
  </w:num>
  <w:num w:numId="8" w16cid:durableId="138962210">
    <w:abstractNumId w:val="1"/>
  </w:num>
  <w:num w:numId="9" w16cid:durableId="715474243">
    <w:abstractNumId w:val="0"/>
  </w:num>
  <w:num w:numId="10" w16cid:durableId="403913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9B7"/>
    <w:rsid w:val="002348A9"/>
    <w:rsid w:val="0029639D"/>
    <w:rsid w:val="00326F90"/>
    <w:rsid w:val="005E6CDE"/>
    <w:rsid w:val="00743065"/>
    <w:rsid w:val="009E0A63"/>
    <w:rsid w:val="00A20DD5"/>
    <w:rsid w:val="00AA1D8D"/>
    <w:rsid w:val="00B47730"/>
    <w:rsid w:val="00B86A41"/>
    <w:rsid w:val="00C86675"/>
    <w:rsid w:val="00CB0664"/>
    <w:rsid w:val="00CD56EE"/>
    <w:rsid w:val="00E40D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3C570E"/>
  <w14:defaultImageDpi w14:val="300"/>
  <w15:docId w15:val="{E74CEDC3-6A16-4138-88A3-3C591543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1931</Words>
  <Characters>11011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6</cp:revision>
  <dcterms:created xsi:type="dcterms:W3CDTF">2026-02-21T22:56:00Z</dcterms:created>
  <dcterms:modified xsi:type="dcterms:W3CDTF">2026-02-23T22:17:00Z</dcterms:modified>
  <cp:category/>
</cp:coreProperties>
</file>