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0BF9" w14:textId="77777777" w:rsidR="0002468C" w:rsidRPr="000A7BDC" w:rsidRDefault="00000000" w:rsidP="000A7BDC">
      <w:pPr>
        <w:spacing w:line="360" w:lineRule="auto"/>
        <w:ind w:firstLine="709"/>
        <w:jc w:val="both"/>
        <w:rPr>
          <w:lang w:val="ru-RU"/>
        </w:rPr>
      </w:pPr>
      <w:bookmarkStart w:id="0" w:name="_Hlk222703275"/>
      <w:r w:rsidRPr="000A7BDC">
        <w:rPr>
          <w:rFonts w:ascii="Times New Roman" w:eastAsia="Times New Roman" w:hAnsi="Times New Roman"/>
          <w:b/>
          <w:sz w:val="28"/>
          <w:lang w:val="ru-RU"/>
        </w:rPr>
        <w:t xml:space="preserve">Формулы для кластера </w:t>
      </w:r>
      <w:r>
        <w:rPr>
          <w:rFonts w:ascii="Times New Roman" w:eastAsia="Times New Roman" w:hAnsi="Times New Roman"/>
          <w:b/>
          <w:sz w:val="28"/>
        </w:rPr>
        <w:t>II</w:t>
      </w:r>
      <w:r w:rsidRPr="000A7BDC">
        <w:rPr>
          <w:rFonts w:ascii="Times New Roman" w:eastAsia="Times New Roman" w:hAnsi="Times New Roman"/>
          <w:b/>
          <w:sz w:val="28"/>
          <w:lang w:val="ru-RU"/>
        </w:rPr>
        <w:t>: портово‑логистический хаб (подраздел 3.3.2)</w:t>
      </w:r>
    </w:p>
    <w:p w14:paraId="0108B8EB" w14:textId="77777777" w:rsidR="0002468C" w:rsidRPr="000A7BDC" w:rsidRDefault="00000000" w:rsidP="000A7BDC">
      <w:pPr>
        <w:spacing w:after="0" w:line="360" w:lineRule="auto"/>
        <w:ind w:firstLine="709"/>
        <w:jc w:val="both"/>
        <w:rPr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Формула (3.3.3). Целевой вклад кластера </w:t>
      </w:r>
      <w:r>
        <w:rPr>
          <w:rFonts w:ascii="Times New Roman" w:eastAsia="Times New Roman" w:hAnsi="Times New Roman"/>
          <w:sz w:val="28"/>
        </w:rPr>
        <w:t>II</w:t>
      </w:r>
      <w:r w:rsidRPr="000A7BDC">
        <w:rPr>
          <w:rFonts w:ascii="Times New Roman" w:eastAsia="Times New Roman" w:hAnsi="Times New Roman"/>
          <w:sz w:val="28"/>
          <w:lang w:val="ru-RU"/>
        </w:rPr>
        <w:t xml:space="preserve"> в прирост валовой добавленной стоимости:</w:t>
      </w:r>
    </w:p>
    <w:p w14:paraId="3BB9AEDB" w14:textId="4C9BAE8F" w:rsidR="000A7BDC" w:rsidRDefault="000A7BDC" w:rsidP="00B258A6">
      <w:pPr>
        <w:spacing w:after="0" w:line="360" w:lineRule="auto"/>
        <w:ind w:firstLine="709"/>
        <w:jc w:val="center"/>
        <w:rPr>
          <w:rFonts w:ascii="Times New Roman" w:eastAsia="Times New Roman" w:hAnsi="Times New Roman"/>
          <w:sz w:val="24"/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 w:val="28"/>
            <w:szCs w:val="24"/>
            <w:lang w:val="fr-FR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 w:val="28"/>
                <w:szCs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4"/>
                <w:lang w:val="fr-FR"/>
              </w:rPr>
              <m:t>Y</m:t>
            </m:r>
          </m:e>
          <m:sub>
            <m:r>
              <w:rPr>
                <w:rFonts w:ascii="Cambria Math" w:eastAsia="Cambria Math" w:hAnsi="Cambria Math"/>
                <w:sz w:val="28"/>
                <w:szCs w:val="24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 w:val="28"/>
                <w:szCs w:val="24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 w:val="28"/>
                    <w:szCs w:val="24"/>
                    <w:lang w:val="fr-FR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8"/>
                    <w:szCs w:val="24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 w:val="28"/>
                    <w:szCs w:val="24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/>
            <w:sz w:val="28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 w:val="28"/>
                <w:szCs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 w:val="28"/>
                <w:szCs w:val="24"/>
                <w:lang w:val="fr-FR"/>
              </w:rPr>
              <m:t>x</m:t>
            </m:r>
          </m:e>
          <m:sub>
            <m:r>
              <w:rPr>
                <w:rFonts w:ascii="Cambria Math" w:eastAsia="Cambria Math" w:hAnsi="Cambria Math"/>
                <w:sz w:val="28"/>
                <w:szCs w:val="24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4"/>
            <w:lang w:val="ru-RU"/>
          </w:rPr>
          <m:t>⋅</m:t>
        </m:r>
        <m:r>
          <m:rPr>
            <m:sty m:val="p"/>
          </m:rPr>
          <w:rPr>
            <w:rFonts w:ascii="Cambria Math" w:eastAsia="Cambria Math" w:hAnsi="Cambria Math"/>
            <w:sz w:val="28"/>
            <w:szCs w:val="24"/>
            <w:lang w:val="fr-FR"/>
          </w:rPr>
          <m:t>Δ</m:t>
        </m:r>
        <m:sSubSup>
          <m:sSubSupPr>
            <m:ctrlPr>
              <w:rPr>
                <w:rFonts w:ascii="Cambria Math" w:eastAsia="Cambria Math" w:hAnsi="Cambria Math"/>
                <w:i/>
                <w:sz w:val="28"/>
                <w:szCs w:val="24"/>
                <w:lang w:val="fr-FR"/>
              </w:rPr>
            </m:ctrlPr>
          </m:sSubSupPr>
          <m:e>
            <m:r>
              <w:rPr>
                <w:rFonts w:ascii="Cambria Math" w:eastAsia="Cambria Math" w:hAnsi="Cambria Math"/>
                <w:sz w:val="28"/>
                <w:szCs w:val="24"/>
                <w:lang w:val="fr-FR"/>
              </w:rPr>
              <m:t>Y</m:t>
            </m:r>
          </m:e>
          <m:sub>
            <m:r>
              <w:rPr>
                <w:rFonts w:ascii="Cambria Math" w:eastAsia="Cambria Math" w:hAnsi="Cambria Math"/>
                <w:sz w:val="28"/>
                <w:szCs w:val="24"/>
                <w:lang w:val="ru-RU"/>
              </w:rPr>
              <m:t>2</m:t>
            </m:r>
          </m:sub>
          <m:sup>
            <m:r>
              <w:rPr>
                <w:rFonts w:ascii="Cambria Math" w:eastAsia="Cambria Math" w:hAnsi="Cambria Math"/>
                <w:sz w:val="28"/>
                <w:szCs w:val="24"/>
                <w:lang w:val="fr-FR"/>
              </w:rPr>
              <m:t>max</m:t>
            </m:r>
          </m:sup>
        </m:sSubSup>
        <m:r>
          <w:rPr>
            <w:rFonts w:ascii="Cambria Math" w:eastAsia="Cambria Math" w:hAnsi="Cambria Math"/>
            <w:sz w:val="28"/>
            <w:szCs w:val="24"/>
            <w:lang w:val="ru-RU"/>
          </w:rPr>
          <m:t>.</m:t>
        </m:r>
      </m:oMath>
      <w:r w:rsidR="00B258A6">
        <w:rPr>
          <w:rFonts w:ascii="Times New Roman" w:eastAsia="Times New Roman" w:hAnsi="Times New Roman"/>
          <w:sz w:val="24"/>
          <w:lang w:val="ru-RU"/>
        </w:rPr>
        <w:tab/>
      </w:r>
      <w:r w:rsidR="00B258A6">
        <w:rPr>
          <w:rFonts w:ascii="Times New Roman" w:eastAsia="Times New Roman" w:hAnsi="Times New Roman"/>
          <w:sz w:val="24"/>
          <w:lang w:val="ru-RU"/>
        </w:rPr>
        <w:tab/>
      </w:r>
      <w:r w:rsidR="00B258A6">
        <w:rPr>
          <w:rFonts w:ascii="Times New Roman" w:eastAsia="Times New Roman" w:hAnsi="Times New Roman"/>
          <w:sz w:val="24"/>
          <w:lang w:val="ru-RU"/>
        </w:rPr>
        <w:tab/>
        <w:t>(3.3.3)</w:t>
      </w:r>
    </w:p>
    <w:p w14:paraId="0ED0722B" w14:textId="77777777" w:rsidR="000A7BDC" w:rsidRPr="000A7BDC" w:rsidRDefault="000A7BDC" w:rsidP="000A7BD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32"/>
          <w:szCs w:val="24"/>
          <w:lang w:val="ru-RU"/>
        </w:rPr>
      </w:pPr>
      <w:r w:rsidRPr="000A7BDC">
        <w:rPr>
          <w:rFonts w:ascii="Times New Roman" w:eastAsia="Times New Roman" w:hAnsi="Times New Roman"/>
          <w:sz w:val="28"/>
          <w:szCs w:val="24"/>
          <w:lang w:val="ru-RU"/>
        </w:rPr>
        <w:t>где</w:t>
      </w:r>
      <w:r w:rsidR="00000000" w:rsidRPr="000A7BDC">
        <w:rPr>
          <w:rFonts w:ascii="Times New Roman" w:eastAsia="Times New Roman" w:hAnsi="Times New Roman"/>
          <w:sz w:val="32"/>
          <w:szCs w:val="24"/>
          <w:lang w:val="ru-RU"/>
        </w:rPr>
        <w:t>:</w:t>
      </w:r>
    </w:p>
    <w:p w14:paraId="2A5F7ECC" w14:textId="77777777" w:rsidR="000A7BDC" w:rsidRDefault="00000000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8"/>
                    <w:lang w:val="ru-RU"/>
                  </w:rPr>
                  <m:t>2</m:t>
                </m:r>
              </m:sub>
            </m:sSub>
          </m:e>
        </m:d>
      </m:oMath>
      <w:r w:rsidRPr="000A7BDC">
        <w:rPr>
          <w:rFonts w:ascii="Times New Roman" w:eastAsia="Times New Roman" w:hAnsi="Times New Roman"/>
          <w:sz w:val="28"/>
          <w:lang w:val="ru-RU"/>
        </w:rPr>
        <w:t xml:space="preserve"> – фактический вклад кластера </w:t>
      </w:r>
      <w:r w:rsidRPr="00B258A6">
        <w:rPr>
          <w:rFonts w:ascii="Times New Roman" w:eastAsia="Times New Roman" w:hAnsi="Times New Roman"/>
          <w:sz w:val="28"/>
          <w:lang w:val="ru-RU"/>
        </w:rPr>
        <w:t>II</w:t>
      </w:r>
      <w:r w:rsidRPr="000A7BDC">
        <w:rPr>
          <w:rFonts w:ascii="Times New Roman" w:eastAsia="Times New Roman" w:hAnsi="Times New Roman"/>
          <w:sz w:val="28"/>
          <w:lang w:val="ru-RU"/>
        </w:rPr>
        <w:t xml:space="preserve"> (портово‑логистический хаб) в прирост валовой добавленной стоимости прибрежной зоны при степени реализации </w:t>
      </w:r>
      <m:oMath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</m:oMath>
      <w:r w:rsidRPr="000A7BDC">
        <w:rPr>
          <w:rFonts w:ascii="Times New Roman" w:eastAsia="Times New Roman" w:hAnsi="Times New Roman"/>
          <w:sz w:val="28"/>
          <w:lang w:val="ru-RU"/>
        </w:rPr>
        <w:t xml:space="preserve">; </w:t>
      </w:r>
    </w:p>
    <w:p w14:paraId="2E77FB63" w14:textId="77777777" w:rsidR="000A7BDC" w:rsidRDefault="000A7BDC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sSubSup>
          <m:sSubSup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/>
                <w:sz w:val="28"/>
                <w:lang w:val="ru-RU"/>
              </w:rPr>
              <m:t>max</m:t>
            </m:r>
          </m:sup>
        </m:sSubSup>
      </m:oMath>
      <w:r w:rsidR="00000000" w:rsidRPr="000A7BDC">
        <w:rPr>
          <w:rFonts w:ascii="Times New Roman" w:eastAsia="Times New Roman" w:hAnsi="Times New Roman"/>
          <w:sz w:val="28"/>
          <w:lang w:val="ru-RU"/>
        </w:rPr>
        <w:t>потенциальный максимум прироста валовой добавленной стоимости при полной реализации портово‑логистического кластера (</w:t>
      </w:r>
      <m:oMath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</m:oMath>
      <w:r w:rsidR="00000000" w:rsidRPr="000A7BDC">
        <w:rPr>
          <w:rFonts w:ascii="Times New Roman" w:eastAsia="Times New Roman" w:hAnsi="Times New Roman"/>
          <w:sz w:val="28"/>
          <w:lang w:val="ru-RU"/>
        </w:rPr>
        <w:t xml:space="preserve"> = 1);</w:t>
      </w:r>
    </w:p>
    <w:p w14:paraId="37DB9645" w14:textId="42CC7B07" w:rsidR="000A7BDC" w:rsidRDefault="00000000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0;1</m:t>
            </m:r>
          </m:e>
        </m:d>
      </m:oMath>
      <w:r w:rsidRPr="000A7BDC">
        <w:rPr>
          <w:rFonts w:ascii="Times New Roman" w:eastAsia="Times New Roman" w:hAnsi="Times New Roman"/>
          <w:sz w:val="28"/>
          <w:lang w:val="ru-RU"/>
        </w:rPr>
        <w:t xml:space="preserve"> – степень реализации кластера </w:t>
      </w:r>
      <w:r w:rsidRPr="00B258A6">
        <w:rPr>
          <w:rFonts w:ascii="Times New Roman" w:eastAsia="Times New Roman" w:hAnsi="Times New Roman"/>
          <w:sz w:val="28"/>
          <w:lang w:val="ru-RU"/>
        </w:rPr>
        <w:t>II</w:t>
      </w:r>
      <w:r w:rsidRPr="000A7BDC">
        <w:rPr>
          <w:rFonts w:ascii="Times New Roman" w:eastAsia="Times New Roman" w:hAnsi="Times New Roman"/>
          <w:sz w:val="28"/>
          <w:lang w:val="ru-RU"/>
        </w:rPr>
        <w:t xml:space="preserve">, характеризующая долю достигнутого потенциала по отношению к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sSubSup>
          <m:sSubSup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/>
                <w:sz w:val="28"/>
                <w:lang w:val="ru-RU"/>
              </w:rPr>
              <m:t>max</m:t>
            </m:r>
          </m:sup>
        </m:sSubSup>
      </m:oMath>
      <w:r w:rsidR="000A7BDC">
        <w:rPr>
          <w:rFonts w:ascii="Times New Roman" w:eastAsia="Times New Roman" w:hAnsi="Times New Roman"/>
          <w:sz w:val="28"/>
          <w:lang w:val="ru-RU"/>
        </w:rPr>
        <w:t xml:space="preserve"> ф</w:t>
      </w:r>
      <w:r w:rsidRPr="000A7BDC">
        <w:rPr>
          <w:rFonts w:ascii="Times New Roman" w:eastAsia="Times New Roman" w:hAnsi="Times New Roman"/>
          <w:sz w:val="28"/>
          <w:lang w:val="ru-RU"/>
        </w:rPr>
        <w:t xml:space="preserve">ормула (3.3.4). </w:t>
      </w:r>
    </w:p>
    <w:p w14:paraId="4F2AB269" w14:textId="4A6C4D3A" w:rsidR="0002468C" w:rsidRPr="000A7BDC" w:rsidRDefault="00000000" w:rsidP="000A7BDC">
      <w:pPr>
        <w:spacing w:after="0" w:line="360" w:lineRule="auto"/>
        <w:ind w:firstLine="709"/>
        <w:jc w:val="both"/>
        <w:rPr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Ограничения по инвестициям, земельным, энергетическим и трудовым ресурсам кластера </w:t>
      </w:r>
      <w:r>
        <w:rPr>
          <w:rFonts w:ascii="Times New Roman" w:eastAsia="Times New Roman" w:hAnsi="Times New Roman"/>
          <w:sz w:val="28"/>
        </w:rPr>
        <w:t>II</w:t>
      </w:r>
      <w:r w:rsidRPr="000A7BDC">
        <w:rPr>
          <w:rFonts w:ascii="Times New Roman" w:eastAsia="Times New Roman" w:hAnsi="Times New Roman"/>
          <w:sz w:val="28"/>
          <w:lang w:val="ru-RU"/>
        </w:rPr>
        <w:t>:</w:t>
      </w:r>
    </w:p>
    <w:p w14:paraId="2B75267D" w14:textId="77777777" w:rsidR="000A7BDC" w:rsidRPr="000A7BDC" w:rsidRDefault="000A7BDC" w:rsidP="000A7BDC">
      <w:pPr>
        <w:spacing w:line="360" w:lineRule="auto"/>
        <w:ind w:firstLine="709"/>
        <w:jc w:val="both"/>
        <w:rPr>
          <w:sz w:val="24"/>
          <w:lang w:val="ru-RU"/>
        </w:rPr>
      </w:pPr>
      <m:oMathPara>
        <m:oMath>
          <m:r>
            <w:rPr>
              <w:rFonts w:ascii="Cambria Math" w:eastAsia="Cambria Math" w:hAnsi="Cambria Math"/>
              <w:sz w:val="24"/>
              <w:lang w:val="ru-RU"/>
            </w:rPr>
            <m:t>0</m:t>
          </m:r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x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r>
            <w:rPr>
              <w:rFonts w:ascii="Cambria Math" w:eastAsia="Cambria Math" w:hAnsi="Cambria Math"/>
              <w:sz w:val="24"/>
              <w:lang w:val="ru-RU"/>
            </w:rPr>
            <m:t>1,</m:t>
          </m:r>
        </m:oMath>
      </m:oMathPara>
    </w:p>
    <w:p w14:paraId="5E38697F" w14:textId="77777777" w:rsidR="000A7BDC" w:rsidRPr="000A7BDC" w:rsidRDefault="000A7BDC" w:rsidP="000A7BDC">
      <w:pPr>
        <w:spacing w:line="360" w:lineRule="auto"/>
        <w:ind w:firstLine="709"/>
        <w:jc w:val="both"/>
        <w:rPr>
          <w:sz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x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I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sSubSup>
            <m:sSubSup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 w:val="24"/>
                </w:rPr>
                <m:t>I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  <m:sup>
              <m:r>
                <w:rPr>
                  <w:rFonts w:ascii="Cambria Math" w:eastAsia="Cambria Math" w:hAnsi="Cambria Math"/>
                  <w:sz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 w:val="24"/>
              <w:lang w:val="ru-RU"/>
            </w:rPr>
            <m:t>,</m:t>
          </m:r>
        </m:oMath>
      </m:oMathPara>
    </w:p>
    <w:p w14:paraId="3789595B" w14:textId="5FB1AA8D" w:rsidR="000A7BDC" w:rsidRPr="000A7BDC" w:rsidRDefault="000A7BDC" w:rsidP="00B258A6">
      <w:pPr>
        <w:spacing w:line="360" w:lineRule="auto"/>
        <w:ind w:firstLine="709"/>
        <w:jc w:val="center"/>
        <w:rPr>
          <w:sz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x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</m:sSub>
          <m:r>
            <w:rPr>
              <w:rFonts w:ascii="Cambria Math" w:eastAsia="Cambria Math" w:hAnsi="Cambria Math"/>
              <w:sz w:val="24"/>
            </w:rPr>
            <m:t>Lan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r>
            <w:rPr>
              <w:rFonts w:ascii="Cambria Math" w:eastAsia="Cambria Math" w:hAnsi="Cambria Math"/>
              <w:sz w:val="24"/>
            </w:rPr>
            <m:t>Lan</m:t>
          </m:r>
          <m:sSubSup>
            <m:sSubSup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  <m:sup>
              <m:r>
                <w:rPr>
                  <w:rFonts w:ascii="Cambria Math" w:eastAsia="Cambria Math" w:hAnsi="Cambria Math"/>
                  <w:sz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 w:val="24"/>
              <w:lang w:val="ru-RU"/>
            </w:rPr>
            <m:t>,</m:t>
          </m:r>
        </m:oMath>
      </m:oMathPara>
    </w:p>
    <w:p w14:paraId="44E29778" w14:textId="77777777" w:rsidR="000A7BDC" w:rsidRPr="000A7BDC" w:rsidRDefault="000A7BDC" w:rsidP="000A7BDC">
      <w:pPr>
        <w:spacing w:line="360" w:lineRule="auto"/>
        <w:ind w:firstLine="709"/>
        <w:jc w:val="both"/>
        <w:rPr>
          <w:sz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x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</m:sSub>
          <m:r>
            <w:rPr>
              <w:rFonts w:ascii="Cambria Math" w:eastAsia="Cambria Math" w:hAnsi="Cambria Math"/>
              <w:sz w:val="24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n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r>
            <w:rPr>
              <w:rFonts w:ascii="Cambria Math" w:eastAsia="Cambria Math" w:hAnsi="Cambria Math"/>
              <w:sz w:val="24"/>
            </w:rPr>
            <m:t>E</m:t>
          </m:r>
          <m:sSubSup>
            <m:sSubSup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 w:val="24"/>
                </w:rPr>
                <m:t>n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  <m:sup>
              <m:r>
                <w:rPr>
                  <w:rFonts w:ascii="Cambria Math" w:eastAsia="Cambria Math" w:hAnsi="Cambria Math"/>
                  <w:sz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 w:val="24"/>
              <w:lang w:val="ru-RU"/>
            </w:rPr>
            <m:t>,</m:t>
          </m:r>
        </m:oMath>
      </m:oMathPara>
    </w:p>
    <w:p w14:paraId="21982327" w14:textId="77777777" w:rsidR="000A7BDC" w:rsidRPr="000A7BDC" w:rsidRDefault="000A7BDC" w:rsidP="000A7BDC">
      <w:pPr>
        <w:spacing w:line="360" w:lineRule="auto"/>
        <w:ind w:firstLine="709"/>
        <w:jc w:val="both"/>
        <w:rPr>
          <w:sz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x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</m:sSub>
          <m:r>
            <w:rPr>
              <w:rFonts w:ascii="Cambria Math" w:eastAsia="Cambria Math" w:hAnsi="Cambria Math"/>
              <w:sz w:val="24"/>
            </w:rPr>
            <m:t>H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r>
            <w:rPr>
              <w:rFonts w:ascii="Cambria Math" w:eastAsia="Cambria Math" w:hAnsi="Cambria Math"/>
              <w:sz w:val="24"/>
            </w:rPr>
            <m:t>H</m:t>
          </m:r>
          <m:sSubSup>
            <m:sSubSup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  <m:sup>
              <m:r>
                <w:rPr>
                  <w:rFonts w:ascii="Cambria Math" w:eastAsia="Cambria Math" w:hAnsi="Cambria Math"/>
                  <w:sz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 w:val="24"/>
              <w:lang w:val="ru-RU"/>
            </w:rPr>
            <m:t>,</m:t>
          </m:r>
        </m:oMath>
      </m:oMathPara>
    </w:p>
    <w:p w14:paraId="368C82B7" w14:textId="5CA784A2" w:rsidR="000A7BDC" w:rsidRDefault="000A7BDC" w:rsidP="000A7BDC">
      <w:p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Q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</m:sSub>
          <m:d>
            <m:d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  <w:sz w:val="24"/>
                      <w:lang w:val="ru-RU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sSubSup>
            <m:sSubSup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 w:val="24"/>
                </w:rPr>
                <m:t>Q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2</m:t>
              </m:r>
            </m:sub>
            <m:sup>
              <m:r>
                <w:rPr>
                  <w:rFonts w:ascii="Cambria Math" w:eastAsia="Cambria Math" w:hAnsi="Cambria Math"/>
                  <w:sz w:val="24"/>
                </w:rPr>
                <m:t>max</m:t>
              </m:r>
            </m:sup>
          </m:sSubSup>
        </m:oMath>
      </m:oMathPara>
    </w:p>
    <w:p w14:paraId="2B9DC6A0" w14:textId="2A17DF38" w:rsidR="000A7BDC" w:rsidRDefault="000A7BDC" w:rsidP="000A7BDC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>Гд</w:t>
      </w:r>
      <w:r w:rsidR="00B258A6">
        <w:rPr>
          <w:rFonts w:ascii="Times New Roman" w:eastAsia="Times New Roman" w:hAnsi="Times New Roman"/>
          <w:sz w:val="28"/>
          <w:lang w:val="ru-RU"/>
        </w:rPr>
        <w:t>е</w:t>
      </w:r>
      <w:r>
        <w:rPr>
          <w:rFonts w:ascii="Times New Roman" w:eastAsia="Times New Roman" w:hAnsi="Times New Roman"/>
          <w:sz w:val="28"/>
          <w:lang w:val="ru-RU"/>
        </w:rPr>
        <w:t>:</w:t>
      </w:r>
    </w:p>
    <w:p w14:paraId="24BB6231" w14:textId="4F248FCC" w:rsidR="000A7BDC" w:rsidRPr="00B258A6" w:rsidRDefault="000A7BDC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x</m:t>
            </m:r>
            <m:ctrlPr>
              <w:rPr>
                <w:rFonts w:ascii="Cambria Math" w:eastAsia="Cambria Math" w:hAnsi="Cambria Math"/>
                <w:sz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I</m:t>
            </m:r>
            <m:ctrlPr>
              <w:rPr>
                <w:rFonts w:ascii="Cambria Math" w:eastAsia="Cambria Math" w:hAnsi="Cambria Math"/>
                <w:i/>
                <w:sz w:val="24"/>
              </w:rPr>
            </m:ctrlP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2</m:t>
            </m:r>
          </m:sub>
        </m:sSub>
      </m:oMath>
      <w:r w:rsidRPr="00B258A6">
        <w:rPr>
          <w:rFonts w:ascii="Times New Roman" w:eastAsia="Times New Roman" w:hAnsi="Times New Roman"/>
          <w:sz w:val="24"/>
          <w:lang w:val="ru-RU"/>
        </w:rPr>
        <w:t xml:space="preserve">  - </w:t>
      </w:r>
      <w:r w:rsidRPr="00B258A6">
        <w:rPr>
          <w:rFonts w:ascii="Times New Roman" w:eastAsia="Times New Roman" w:hAnsi="Times New Roman"/>
          <w:sz w:val="28"/>
          <w:lang w:val="ru-RU"/>
        </w:rPr>
        <w:t>о</w:t>
      </w:r>
      <w:r w:rsidR="00000000" w:rsidRPr="00B258A6">
        <w:rPr>
          <w:rFonts w:ascii="Times New Roman" w:eastAsia="Times New Roman" w:hAnsi="Times New Roman"/>
          <w:sz w:val="28"/>
          <w:lang w:val="ru-RU"/>
        </w:rPr>
        <w:t>бщий объём капитальных вложений в портово‑логистический кластер;</w:t>
      </w:r>
    </w:p>
    <w:p w14:paraId="3D150DFA" w14:textId="75A11043" w:rsidR="000A7BDC" w:rsidRPr="00B258A6" w:rsidRDefault="000A7BDC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m:oMath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I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B258A6">
        <w:rPr>
          <w:rFonts w:ascii="Times New Roman" w:eastAsia="Times New Roman" w:hAnsi="Times New Roman"/>
          <w:sz w:val="28"/>
          <w:lang w:val="ru-RU"/>
        </w:rPr>
        <w:t xml:space="preserve">максимально допустимый объём инвестиций (по проектной модели порядка 2,20 млрд </w:t>
      </w:r>
      <w:r w:rsidR="00000000" w:rsidRPr="00B258A6">
        <w:rPr>
          <w:rFonts w:ascii="Times New Roman" w:eastAsia="Times New Roman" w:hAnsi="Times New Roman"/>
          <w:sz w:val="28"/>
        </w:rPr>
        <w:t>USD</w:t>
      </w:r>
      <w:r w:rsidR="00000000" w:rsidRPr="00B258A6">
        <w:rPr>
          <w:rFonts w:ascii="Times New Roman" w:eastAsia="Times New Roman" w:hAnsi="Times New Roman"/>
          <w:sz w:val="28"/>
          <w:lang w:val="ru-RU"/>
        </w:rPr>
        <w:t>);</w:t>
      </w:r>
    </w:p>
    <w:p w14:paraId="274DCB7E" w14:textId="62DC3D94" w:rsidR="000A7BDC" w:rsidRPr="00B258A6" w:rsidRDefault="000A7BDC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Lan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d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</m:oMath>
      <w:r w:rsidR="00000000" w:rsidRPr="00B258A6">
        <w:rPr>
          <w:rFonts w:ascii="Times New Roman" w:eastAsia="Times New Roman" w:hAnsi="Times New Roman"/>
          <w:sz w:val="28"/>
          <w:lang w:val="ru-RU"/>
        </w:rPr>
        <w:t xml:space="preserve"> – площадь портовых и припортовых земель, занятых объектами кластера;</w:t>
      </w:r>
    </w:p>
    <w:p w14:paraId="669DE18A" w14:textId="78B46DF4" w:rsidR="000A7BDC" w:rsidRPr="00B258A6" w:rsidRDefault="000A7BDC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Lan</m:t>
        </m:r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d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B258A6">
        <w:rPr>
          <w:rFonts w:ascii="Times New Roman" w:eastAsia="Times New Roman" w:hAnsi="Times New Roman"/>
          <w:sz w:val="28"/>
          <w:lang w:val="ru-RU"/>
        </w:rPr>
        <w:t>доступный земельный ресурс (территория терминалов и припортовых индустриальных зон);</w:t>
      </w:r>
    </w:p>
    <w:p w14:paraId="7396326F" w14:textId="59DE1D85" w:rsidR="000A7BDC" w:rsidRPr="00B258A6" w:rsidRDefault="000A7BDC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E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n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</m:oMath>
      <w:r w:rsidR="00000000" w:rsidRPr="00B258A6">
        <w:rPr>
          <w:rFonts w:ascii="Times New Roman" w:eastAsia="Times New Roman" w:hAnsi="Times New Roman"/>
          <w:sz w:val="28"/>
          <w:lang w:val="ru-RU"/>
        </w:rPr>
        <w:t xml:space="preserve"> – потребление энергоресурсов кластером </w:t>
      </w:r>
      <w:r w:rsidR="00000000" w:rsidRPr="00B258A6">
        <w:rPr>
          <w:rFonts w:ascii="Times New Roman" w:eastAsia="Times New Roman" w:hAnsi="Times New Roman"/>
          <w:sz w:val="28"/>
        </w:rPr>
        <w:t>II</w:t>
      </w:r>
      <w:r w:rsidR="00000000" w:rsidRPr="00B258A6">
        <w:rPr>
          <w:rFonts w:ascii="Times New Roman" w:eastAsia="Times New Roman" w:hAnsi="Times New Roman"/>
          <w:sz w:val="28"/>
          <w:lang w:val="ru-RU"/>
        </w:rPr>
        <w:t>;</w:t>
      </w:r>
    </w:p>
    <w:p w14:paraId="48FC9480" w14:textId="2313DF46" w:rsidR="000A7BDC" w:rsidRPr="00B258A6" w:rsidRDefault="000A7BDC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E</m:t>
        </m:r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n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B258A6">
        <w:rPr>
          <w:rFonts w:ascii="Times New Roman" w:eastAsia="Times New Roman" w:hAnsi="Times New Roman"/>
          <w:sz w:val="28"/>
          <w:lang w:val="ru-RU"/>
        </w:rPr>
        <w:t>доступный объём энергоснабжения с учётом ограничений энергетического кластера;</w:t>
      </w:r>
    </w:p>
    <w:p w14:paraId="6D413797" w14:textId="6C7F6B42" w:rsidR="000A7BDC" w:rsidRPr="00B258A6" w:rsidRDefault="000A7BDC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H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R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</m:oMath>
      <w:r w:rsidR="00000000" w:rsidRPr="00B258A6">
        <w:rPr>
          <w:rFonts w:ascii="Times New Roman" w:eastAsia="Times New Roman" w:hAnsi="Times New Roman"/>
          <w:sz w:val="28"/>
          <w:lang w:val="ru-RU"/>
        </w:rPr>
        <w:t xml:space="preserve"> – потребность кластера во всех категориях персонала; </w:t>
      </w:r>
    </w:p>
    <w:p w14:paraId="35CFF321" w14:textId="77777777" w:rsidR="000A7BDC" w:rsidRPr="00B258A6" w:rsidRDefault="000A7BDC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H</m:t>
        </m:r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R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B258A6">
        <w:rPr>
          <w:rFonts w:ascii="Times New Roman" w:eastAsia="Times New Roman" w:hAnsi="Times New Roman"/>
          <w:sz w:val="28"/>
          <w:lang w:val="ru-RU"/>
        </w:rPr>
        <w:t>доступная численность и квалификация кадров;</w:t>
      </w:r>
    </w:p>
    <w:p w14:paraId="259DC148" w14:textId="13D984BE" w:rsidR="000A7BDC" w:rsidRPr="00B258A6" w:rsidRDefault="000A7BDC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Q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lang w:val="ru-RU"/>
                  </w:rPr>
                  <m:t>2</m:t>
                </m:r>
              </m:sub>
            </m:sSub>
          </m:e>
        </m:d>
      </m:oMath>
      <w:r w:rsidR="00000000" w:rsidRPr="00B258A6">
        <w:rPr>
          <w:rFonts w:ascii="Times New Roman" w:eastAsia="Times New Roman" w:hAnsi="Times New Roman"/>
          <w:sz w:val="28"/>
          <w:lang w:val="ru-RU"/>
        </w:rPr>
        <w:t xml:space="preserve"> – фактический грузооборот порта Абиджана при реализации кластера на уровне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x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</m:oMath>
      <w:r w:rsidR="00000000" w:rsidRPr="00B258A6">
        <w:rPr>
          <w:rFonts w:ascii="Times New Roman" w:eastAsia="Times New Roman" w:hAnsi="Times New Roman"/>
          <w:sz w:val="28"/>
          <w:lang w:val="ru-RU"/>
        </w:rPr>
        <w:t>;</w:t>
      </w:r>
    </w:p>
    <w:p w14:paraId="2DCDC1CA" w14:textId="34393A79" w:rsidR="0002468C" w:rsidRPr="00B258A6" w:rsidRDefault="000A7BDC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m:oMath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Q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B258A6">
        <w:rPr>
          <w:rFonts w:ascii="Times New Roman" w:eastAsia="Times New Roman" w:hAnsi="Times New Roman"/>
          <w:sz w:val="28"/>
          <w:lang w:val="ru-RU"/>
        </w:rPr>
        <w:t>целевой грузооборот порта (около 52 млн т/год).</w:t>
      </w:r>
    </w:p>
    <w:p w14:paraId="499039D3" w14:textId="77777777" w:rsidR="0002468C" w:rsidRPr="000A7BDC" w:rsidRDefault="00000000" w:rsidP="000A7BDC">
      <w:pPr>
        <w:spacing w:line="360" w:lineRule="auto"/>
        <w:ind w:firstLine="709"/>
        <w:jc w:val="both"/>
        <w:rPr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Формула (3.3.5). Инвестиционный мультипликатор кластера </w:t>
      </w:r>
      <w:r>
        <w:rPr>
          <w:rFonts w:ascii="Times New Roman" w:eastAsia="Times New Roman" w:hAnsi="Times New Roman"/>
          <w:sz w:val="28"/>
        </w:rPr>
        <w:t>II</w:t>
      </w:r>
      <w:r w:rsidRPr="000A7BDC">
        <w:rPr>
          <w:rFonts w:ascii="Times New Roman" w:eastAsia="Times New Roman" w:hAnsi="Times New Roman"/>
          <w:sz w:val="28"/>
          <w:lang w:val="ru-RU"/>
        </w:rPr>
        <w:t>:</w:t>
      </w:r>
    </w:p>
    <w:p w14:paraId="3D072C85" w14:textId="6164B33D" w:rsidR="0002468C" w:rsidRPr="000A7BDC" w:rsidRDefault="00853A87" w:rsidP="00B258A6">
      <w:pPr>
        <w:ind w:firstLine="709"/>
        <w:jc w:val="center"/>
        <w:rPr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 w:val="32"/>
                <w:szCs w:val="28"/>
                <w:lang w:val="en-GB"/>
              </w:rPr>
            </m:ctrlPr>
          </m:sSubPr>
          <m:e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k</m:t>
            </m:r>
          </m:e>
          <m:sub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2</m:t>
            </m:r>
          </m:sub>
        </m:sSub>
        <m:r>
          <w:rPr>
            <w:rFonts w:ascii="Cambria Math" w:eastAsia="Cambria Math" w:hAnsi="Cambria Math"/>
            <w:sz w:val="32"/>
            <w:szCs w:val="28"/>
            <w:lang w:val="ru-RU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fPr>
          <m:num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ΔV</m:t>
            </m:r>
            <m:sSup>
              <m:sSupPr>
                <m:ctrlPr>
                  <w:rPr>
                    <w:rFonts w:ascii="Cambria Math" w:eastAsia="Cambria Math" w:hAnsi="Cambria Math"/>
                    <w:i/>
                    <w:sz w:val="32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="Cambria Math" w:hAnsi="Cambria Math"/>
                    <w:sz w:val="32"/>
                    <w:szCs w:val="28"/>
                    <w:lang w:val="ru-RU"/>
                  </w:rPr>
                  <m:t>A</m:t>
                </m:r>
              </m:e>
              <m:sup>
                <m:r>
                  <w:rPr>
                    <w:rFonts w:ascii="Cambria Math" w:eastAsia="Cambria Math" w:hAnsi="Cambria Math"/>
                    <w:sz w:val="32"/>
                    <w:szCs w:val="28"/>
                    <w:lang w:val="ru-RU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eastAsia="Cambria Math" w:hAnsi="Cambria Math"/>
                    <w:i/>
                    <w:sz w:val="32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32"/>
                    <w:szCs w:val="28"/>
                    <w:lang w:val="ru-RU"/>
                  </w:rPr>
                  <m:t>I</m:t>
                </m:r>
              </m:e>
              <m:sub>
                <m:r>
                  <w:rPr>
                    <w:rFonts w:ascii="Cambria Math" w:eastAsia="Cambria Math" w:hAnsi="Cambria Math"/>
                    <w:sz w:val="32"/>
                    <w:szCs w:val="28"/>
                    <w:lang w:val="ru-RU"/>
                  </w:rPr>
                  <m:t>2</m:t>
                </m:r>
              </m:sub>
            </m:sSub>
          </m:den>
        </m:f>
      </m:oMath>
      <w:r>
        <w:rPr>
          <w:sz w:val="32"/>
          <w:szCs w:val="28"/>
          <w:lang w:val="ru-RU"/>
        </w:rPr>
        <w:t xml:space="preserve"> </w:t>
      </w:r>
      <w:r>
        <w:rPr>
          <w:sz w:val="32"/>
          <w:szCs w:val="28"/>
          <w:lang w:val="ru-RU"/>
        </w:rPr>
        <w:tab/>
      </w:r>
      <w:r>
        <w:rPr>
          <w:sz w:val="32"/>
          <w:szCs w:val="28"/>
          <w:lang w:val="ru-RU"/>
        </w:rPr>
        <w:tab/>
      </w:r>
      <w:r>
        <w:rPr>
          <w:sz w:val="32"/>
          <w:szCs w:val="28"/>
          <w:lang w:val="ru-RU"/>
        </w:rPr>
        <w:tab/>
      </w:r>
      <w:r>
        <w:rPr>
          <w:sz w:val="32"/>
          <w:szCs w:val="28"/>
          <w:lang w:val="ru-RU"/>
        </w:rPr>
        <w:tab/>
        <w:t>(3.3.5)</w:t>
      </w:r>
    </w:p>
    <w:p w14:paraId="0011ACA5" w14:textId="77777777" w:rsidR="00B258A6" w:rsidRDefault="00000000" w:rsidP="00B258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853A87">
        <w:rPr>
          <w:rFonts w:ascii="Times New Roman" w:eastAsia="Times New Roman" w:hAnsi="Times New Roman"/>
          <w:sz w:val="28"/>
          <w:lang w:val="ru-RU"/>
        </w:rPr>
        <w:t>где:</w:t>
      </w:r>
    </w:p>
    <w:p w14:paraId="7391819C" w14:textId="77777777" w:rsidR="00B258A6" w:rsidRDefault="00000000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</m:oMath>
      <w:r w:rsidRPr="000A7BDC">
        <w:rPr>
          <w:rFonts w:ascii="Times New Roman" w:eastAsia="Times New Roman" w:hAnsi="Times New Roman"/>
          <w:sz w:val="28"/>
          <w:lang w:val="ru-RU"/>
        </w:rPr>
        <w:t xml:space="preserve"> – инвестиционный мультипликатор портово‑логистического кластера;</w:t>
      </w:r>
    </w:p>
    <w:p w14:paraId="467C87FC" w14:textId="77777777" w:rsidR="00B258A6" w:rsidRDefault="00000000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r>
          <w:rPr>
            <w:rFonts w:ascii="Cambria Math" w:eastAsia="Times New Roman" w:hAnsi="Cambria Math"/>
            <w:sz w:val="28"/>
            <w:lang w:val="ru-RU"/>
          </w:rPr>
          <m:t>V</m:t>
        </m:r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</m:oMath>
      <w:r w:rsidRPr="000A7BDC">
        <w:rPr>
          <w:rFonts w:ascii="Times New Roman" w:eastAsia="Times New Roman" w:hAnsi="Times New Roman"/>
          <w:sz w:val="28"/>
          <w:lang w:val="ru-RU"/>
        </w:rPr>
        <w:t xml:space="preserve"> – прирост валовой добавленной стоимости (</w:t>
      </w:r>
      <w:r w:rsidRPr="00B258A6">
        <w:rPr>
          <w:rFonts w:ascii="Times New Roman" w:eastAsia="Times New Roman" w:hAnsi="Times New Roman"/>
          <w:sz w:val="28"/>
          <w:lang w:val="ru-RU"/>
        </w:rPr>
        <w:t>value</w:t>
      </w:r>
      <w:r w:rsidRPr="000A7BDC">
        <w:rPr>
          <w:rFonts w:ascii="Times New Roman" w:eastAsia="Times New Roman" w:hAnsi="Times New Roman"/>
          <w:sz w:val="28"/>
          <w:lang w:val="ru-RU"/>
        </w:rPr>
        <w:t xml:space="preserve"> </w:t>
      </w:r>
      <w:r w:rsidRPr="00B258A6">
        <w:rPr>
          <w:rFonts w:ascii="Times New Roman" w:eastAsia="Times New Roman" w:hAnsi="Times New Roman"/>
          <w:sz w:val="28"/>
          <w:lang w:val="ru-RU"/>
        </w:rPr>
        <w:t>added</w:t>
      </w:r>
      <w:r w:rsidRPr="000A7BDC">
        <w:rPr>
          <w:rFonts w:ascii="Times New Roman" w:eastAsia="Times New Roman" w:hAnsi="Times New Roman"/>
          <w:sz w:val="28"/>
          <w:lang w:val="ru-RU"/>
        </w:rPr>
        <w:t xml:space="preserve">), обеспечиваемый кластером </w:t>
      </w:r>
      <w:r w:rsidRPr="00B258A6">
        <w:rPr>
          <w:rFonts w:ascii="Times New Roman" w:eastAsia="Times New Roman" w:hAnsi="Times New Roman"/>
          <w:sz w:val="28"/>
          <w:lang w:val="ru-RU"/>
        </w:rPr>
        <w:t>II</w:t>
      </w:r>
      <w:r w:rsidRPr="000A7BDC">
        <w:rPr>
          <w:rFonts w:ascii="Times New Roman" w:eastAsia="Times New Roman" w:hAnsi="Times New Roman"/>
          <w:sz w:val="28"/>
          <w:lang w:val="ru-RU"/>
        </w:rPr>
        <w:t xml:space="preserve"> при реализации инвестиционной программы (по оценке порядка 2,5 млрд </w:t>
      </w:r>
      <w:r w:rsidRPr="00B258A6">
        <w:rPr>
          <w:rFonts w:ascii="Times New Roman" w:eastAsia="Times New Roman" w:hAnsi="Times New Roman"/>
          <w:sz w:val="28"/>
          <w:lang w:val="ru-RU"/>
        </w:rPr>
        <w:t>USD</w:t>
      </w:r>
      <w:r w:rsidRPr="000A7BDC">
        <w:rPr>
          <w:rFonts w:ascii="Times New Roman" w:eastAsia="Times New Roman" w:hAnsi="Times New Roman"/>
          <w:sz w:val="28"/>
          <w:lang w:val="ru-RU"/>
        </w:rPr>
        <w:t>);</w:t>
      </w:r>
    </w:p>
    <w:p w14:paraId="45113EB4" w14:textId="77777777" w:rsidR="00B258A6" w:rsidRDefault="00000000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lastRenderedPageBreak/>
        <w:t xml:space="preserve"> </w:t>
      </w:r>
      <m:oMath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</m:oMath>
      <w:r w:rsidRPr="000A7BDC">
        <w:rPr>
          <w:rFonts w:ascii="Times New Roman" w:eastAsia="Times New Roman" w:hAnsi="Times New Roman"/>
          <w:sz w:val="28"/>
          <w:lang w:val="ru-RU"/>
        </w:rPr>
        <w:t xml:space="preserve"> – объём капитальных вложений в кластер </w:t>
      </w:r>
      <w:r w:rsidRPr="00B258A6">
        <w:rPr>
          <w:rFonts w:ascii="Times New Roman" w:eastAsia="Times New Roman" w:hAnsi="Times New Roman"/>
          <w:sz w:val="28"/>
          <w:lang w:val="ru-RU"/>
        </w:rPr>
        <w:t>II</w:t>
      </w:r>
      <w:r w:rsidRPr="000A7BDC">
        <w:rPr>
          <w:rFonts w:ascii="Times New Roman" w:eastAsia="Times New Roman" w:hAnsi="Times New Roman"/>
          <w:sz w:val="28"/>
          <w:lang w:val="ru-RU"/>
        </w:rPr>
        <w:t xml:space="preserve"> (около 2,20 млрд </w:t>
      </w:r>
      <w:r w:rsidRPr="00B258A6">
        <w:rPr>
          <w:rFonts w:ascii="Times New Roman" w:eastAsia="Times New Roman" w:hAnsi="Times New Roman"/>
          <w:sz w:val="28"/>
          <w:lang w:val="ru-RU"/>
        </w:rPr>
        <w:t>USD</w:t>
      </w:r>
      <w:r w:rsidRPr="000A7BDC">
        <w:rPr>
          <w:rFonts w:ascii="Times New Roman" w:eastAsia="Times New Roman" w:hAnsi="Times New Roman"/>
          <w:sz w:val="28"/>
          <w:lang w:val="ru-RU"/>
        </w:rPr>
        <w:t xml:space="preserve">). </w:t>
      </w:r>
    </w:p>
    <w:p w14:paraId="5743AE20" w14:textId="16770D7F" w:rsidR="0002468C" w:rsidRPr="00B258A6" w:rsidRDefault="00000000" w:rsidP="00B258A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Величина </w:t>
      </w:r>
      <m:oMath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</m:oMath>
      <w:r w:rsidR="00B258A6">
        <w:rPr>
          <w:rFonts w:ascii="Times New Roman" w:eastAsia="Times New Roman" w:hAnsi="Times New Roman"/>
          <w:sz w:val="28"/>
          <w:lang w:val="ru-RU"/>
        </w:rPr>
        <w:t>=</w:t>
      </w:r>
      <w:r w:rsidRPr="000A7BDC">
        <w:rPr>
          <w:rFonts w:ascii="Times New Roman" w:eastAsia="Times New Roman" w:hAnsi="Times New Roman"/>
          <w:sz w:val="28"/>
          <w:lang w:val="ru-RU"/>
        </w:rPr>
        <w:t xml:space="preserve"> 1,78, приведённая в разделе 3.3.2, означает, что каждый вложенный доллар капитала генерирует порядка 1,78 доллара прироста добавленной стоимости.</w:t>
      </w:r>
    </w:p>
    <w:p w14:paraId="5A7BEA39" w14:textId="77777777" w:rsidR="0002468C" w:rsidRPr="000A7BDC" w:rsidRDefault="00000000" w:rsidP="000A7BDC">
      <w:pPr>
        <w:spacing w:line="360" w:lineRule="auto"/>
        <w:ind w:firstLine="709"/>
        <w:jc w:val="both"/>
        <w:rPr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Формула (3.3.6). Дополнительный годовой доход кластера </w:t>
      </w:r>
      <w:r>
        <w:rPr>
          <w:rFonts w:ascii="Times New Roman" w:eastAsia="Times New Roman" w:hAnsi="Times New Roman"/>
          <w:sz w:val="28"/>
        </w:rPr>
        <w:t>II</w:t>
      </w:r>
      <w:r w:rsidRPr="000A7BDC">
        <w:rPr>
          <w:rFonts w:ascii="Times New Roman" w:eastAsia="Times New Roman" w:hAnsi="Times New Roman"/>
          <w:sz w:val="28"/>
          <w:lang w:val="ru-RU"/>
        </w:rPr>
        <w:t xml:space="preserve"> от роста грузооборота:</w:t>
      </w:r>
    </w:p>
    <w:p w14:paraId="5ED57C6C" w14:textId="7E3A889E" w:rsidR="0002468C" w:rsidRPr="000A7BDC" w:rsidRDefault="000A7BDC" w:rsidP="000A7BDC">
      <w:pPr>
        <w:ind w:firstLine="709"/>
        <w:jc w:val="both"/>
        <w:rPr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32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32"/>
                  <w:szCs w:val="28"/>
                </w:rPr>
                <m:t>R</m:t>
              </m:r>
              <m:ctrlPr>
                <w:rPr>
                  <w:rFonts w:ascii="Cambria Math" w:eastAsia="Cambria Math" w:hAnsi="Cambria Math"/>
                  <w:i/>
                  <w:sz w:val="32"/>
                  <w:szCs w:val="28"/>
                </w:rPr>
              </m:ctrlPr>
            </m:e>
            <m:sub>
              <m:r>
                <w:rPr>
                  <w:rFonts w:ascii="Cambria Math" w:eastAsia="Cambria Math" w:hAnsi="Cambria Math"/>
                  <w:sz w:val="32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eastAsia="Cambria Math" w:hAnsi="Cambria Math"/>
              <w:sz w:val="32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  <w:sz w:val="32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32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Cambria Math" w:hAnsi="Cambria Math"/>
                  <w:sz w:val="32"/>
                  <w:szCs w:val="28"/>
                </w:rPr>
                <m:t>tr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32"/>
              <w:szCs w:val="28"/>
              <w:lang w:val="ru-RU"/>
            </w:rPr>
            <m:t>⋅Δ</m:t>
          </m:r>
          <m:sSub>
            <m:sSubPr>
              <m:ctrlPr>
                <w:rPr>
                  <w:rFonts w:ascii="Cambria Math" w:eastAsia="Cambria Math" w:hAnsi="Cambria Math"/>
                  <w:i/>
                  <w:sz w:val="32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32"/>
                  <w:szCs w:val="28"/>
                </w:rPr>
                <m:t>Q</m:t>
              </m:r>
              <m:ctrlPr>
                <w:rPr>
                  <w:rFonts w:ascii="Cambria Math" w:eastAsia="Cambria Math" w:hAnsi="Cambria Math"/>
                  <w:i/>
                  <w:sz w:val="32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ascii="Cambria Math" w:eastAsia="Cambria Math" w:hAnsi="Cambria Math"/>
                  <w:sz w:val="32"/>
                  <w:szCs w:val="28"/>
                </w:rPr>
                <m:t>tr</m:t>
              </m:r>
            </m:sub>
          </m:sSub>
          <m:r>
            <w:rPr>
              <w:rFonts w:ascii="Cambria Math" w:eastAsia="Cambria Math" w:hAnsi="Cambria Math"/>
              <w:sz w:val="32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Cambria Math" w:hAnsi="Cambria Math"/>
                  <w:i/>
                  <w:sz w:val="32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32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Cambria Math" w:hAnsi="Cambria Math"/>
                  <w:sz w:val="32"/>
                  <w:szCs w:val="28"/>
                </w:rPr>
                <m:t>loc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32"/>
              <w:szCs w:val="28"/>
              <w:lang w:val="ru-RU"/>
            </w:rPr>
            <m:t>⋅Δ</m:t>
          </m:r>
          <m:sSub>
            <m:sSubPr>
              <m:ctrlPr>
                <w:rPr>
                  <w:rFonts w:ascii="Cambria Math" w:eastAsia="Cambria Math" w:hAnsi="Cambria Math"/>
                  <w:i/>
                  <w:sz w:val="32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32"/>
                  <w:szCs w:val="28"/>
                </w:rPr>
                <m:t>Q</m:t>
              </m:r>
              <m:ctrlPr>
                <w:rPr>
                  <w:rFonts w:ascii="Cambria Math" w:eastAsia="Cambria Math" w:hAnsi="Cambria Math"/>
                  <w:i/>
                  <w:sz w:val="32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ascii="Cambria Math" w:eastAsia="Cambria Math" w:hAnsi="Cambria Math"/>
                  <w:sz w:val="32"/>
                  <w:szCs w:val="28"/>
                </w:rPr>
                <m:t>loc</m:t>
              </m:r>
            </m:sub>
          </m:sSub>
          <m:r>
            <w:rPr>
              <w:rFonts w:ascii="Cambria Math" w:eastAsia="Cambria Math" w:hAnsi="Cambria Math"/>
              <w:sz w:val="32"/>
              <w:szCs w:val="28"/>
              <w:lang w:val="ru-RU"/>
            </w:rPr>
            <m:t>.</m:t>
          </m:r>
        </m:oMath>
      </m:oMathPara>
    </w:p>
    <w:p w14:paraId="409D340C" w14:textId="77777777" w:rsidR="00B258A6" w:rsidRDefault="00000000" w:rsidP="000A7BDC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>где:</w:t>
      </w:r>
    </w:p>
    <w:p w14:paraId="33F36BA8" w14:textId="77777777" w:rsidR="00B258A6" w:rsidRDefault="00000000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lang w:val="ru-RU"/>
              </w:rPr>
              <m:t>2</m:t>
            </m:r>
          </m:sub>
        </m:sSub>
      </m:oMath>
      <w:r w:rsidRPr="000A7BDC">
        <w:rPr>
          <w:rFonts w:ascii="Times New Roman" w:eastAsia="Times New Roman" w:hAnsi="Times New Roman"/>
          <w:sz w:val="28"/>
          <w:lang w:val="ru-RU"/>
        </w:rPr>
        <w:t xml:space="preserve"> – дополнительный годовой доход портово‑логистического кластера при достижении целевых параметров грузооборота;</w:t>
      </w:r>
    </w:p>
    <w:p w14:paraId="6F852A43" w14:textId="77777777" w:rsidR="00B258A6" w:rsidRDefault="00000000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/>
                <w:sz w:val="28"/>
                <w:lang w:val="ru-RU"/>
              </w:rPr>
              <m:t>tr</m:t>
            </m:r>
          </m:sub>
        </m:sSub>
      </m:oMath>
      <w:r w:rsidRPr="000A7BDC">
        <w:rPr>
          <w:rFonts w:ascii="Times New Roman" w:eastAsia="Times New Roman" w:hAnsi="Times New Roman"/>
          <w:sz w:val="28"/>
          <w:lang w:val="ru-RU"/>
        </w:rPr>
        <w:t xml:space="preserve"> – средний тариф (или маржа) на обработку транзитных грузов, оцениваемый на уровне около 28 </w:t>
      </w:r>
      <w:r w:rsidRPr="00B258A6">
        <w:rPr>
          <w:rFonts w:ascii="Times New Roman" w:eastAsia="Times New Roman" w:hAnsi="Times New Roman"/>
          <w:sz w:val="28"/>
          <w:lang w:val="ru-RU"/>
        </w:rPr>
        <w:t>USD</w:t>
      </w:r>
      <w:r w:rsidRPr="000A7BDC">
        <w:rPr>
          <w:rFonts w:ascii="Times New Roman" w:eastAsia="Times New Roman" w:hAnsi="Times New Roman"/>
          <w:sz w:val="28"/>
          <w:lang w:val="ru-RU"/>
        </w:rPr>
        <w:t>/т;</w:t>
      </w:r>
    </w:p>
    <w:p w14:paraId="11FCB426" w14:textId="77777777" w:rsidR="00B258A6" w:rsidRDefault="00000000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Q</m:t>
            </m:r>
          </m:e>
          <m:sub>
            <m:r>
              <m:rPr>
                <m:nor/>
              </m:rPr>
              <w:rPr>
                <w:rFonts w:ascii="Times New Roman" w:eastAsia="Times New Roman" w:hAnsi="Times New Roman"/>
                <w:sz w:val="28"/>
                <w:lang w:val="ru-RU"/>
              </w:rPr>
              <m:t>tr</m:t>
            </m:r>
          </m:sub>
        </m:sSub>
      </m:oMath>
      <w:r w:rsidRPr="000A7BDC">
        <w:rPr>
          <w:rFonts w:ascii="Times New Roman" w:eastAsia="Times New Roman" w:hAnsi="Times New Roman"/>
          <w:sz w:val="28"/>
          <w:lang w:val="ru-RU"/>
        </w:rPr>
        <w:t xml:space="preserve"> – прирост объёма транзитных грузов (в оценках порядка 12 млн т/год);</w:t>
      </w:r>
    </w:p>
    <w:p w14:paraId="279BC622" w14:textId="77777777" w:rsidR="00B258A6" w:rsidRDefault="00000000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/>
                <w:sz w:val="28"/>
                <w:lang w:val="ru-RU"/>
              </w:rPr>
              <m:t>loc</m:t>
            </m:r>
          </m:sub>
        </m:sSub>
      </m:oMath>
      <w:r w:rsidRPr="000A7BDC">
        <w:rPr>
          <w:rFonts w:ascii="Times New Roman" w:eastAsia="Times New Roman" w:hAnsi="Times New Roman"/>
          <w:sz w:val="28"/>
          <w:lang w:val="ru-RU"/>
        </w:rPr>
        <w:t xml:space="preserve"> – средний тариф на обработку локальных грузов (ориентировочно 45 </w:t>
      </w:r>
      <w:r w:rsidRPr="00B258A6">
        <w:rPr>
          <w:rFonts w:ascii="Times New Roman" w:eastAsia="Times New Roman" w:hAnsi="Times New Roman"/>
          <w:sz w:val="28"/>
          <w:lang w:val="ru-RU"/>
        </w:rPr>
        <w:t>USD</w:t>
      </w:r>
      <w:r w:rsidRPr="000A7BDC">
        <w:rPr>
          <w:rFonts w:ascii="Times New Roman" w:eastAsia="Times New Roman" w:hAnsi="Times New Roman"/>
          <w:sz w:val="28"/>
          <w:lang w:val="ru-RU"/>
        </w:rPr>
        <w:t>/т);</w:t>
      </w:r>
    </w:p>
    <w:p w14:paraId="6B8391B1" w14:textId="77777777" w:rsidR="00B258A6" w:rsidRDefault="00000000" w:rsidP="00B258A6">
      <w:pPr>
        <w:pStyle w:val="ae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sSub>
          <m:sSubPr>
            <m:ctrlPr>
              <w:rPr>
                <w:rFonts w:ascii="Cambria Math" w:eastAsia="Times New Roman" w:hAnsi="Cambria Math"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Q</m:t>
            </m:r>
          </m:e>
          <m:sub>
            <m:r>
              <m:rPr>
                <m:nor/>
              </m:rPr>
              <w:rPr>
                <w:rFonts w:ascii="Times New Roman" w:eastAsia="Times New Roman" w:hAnsi="Times New Roman"/>
                <w:sz w:val="28"/>
                <w:lang w:val="ru-RU"/>
              </w:rPr>
              <m:t>loc</m:t>
            </m:r>
          </m:sub>
        </m:sSub>
      </m:oMath>
      <w:r w:rsidRPr="000A7BDC">
        <w:rPr>
          <w:rFonts w:ascii="Times New Roman" w:eastAsia="Times New Roman" w:hAnsi="Times New Roman"/>
          <w:sz w:val="28"/>
          <w:lang w:val="ru-RU"/>
        </w:rPr>
        <w:t xml:space="preserve"> – прирост объёма локальных (национальных) грузов (около 8 млн т/год). </w:t>
      </w:r>
    </w:p>
    <w:p w14:paraId="3F1334C5" w14:textId="1E0CC8E4" w:rsidR="0002468C" w:rsidRPr="000A7BDC" w:rsidRDefault="00000000" w:rsidP="000A7BDC">
      <w:pPr>
        <w:spacing w:line="360" w:lineRule="auto"/>
        <w:ind w:firstLine="709"/>
        <w:jc w:val="both"/>
        <w:rPr>
          <w:lang w:val="ru-RU"/>
        </w:rPr>
      </w:pPr>
      <w:r w:rsidRPr="000A7BDC">
        <w:rPr>
          <w:rFonts w:ascii="Times New Roman" w:eastAsia="Times New Roman" w:hAnsi="Times New Roman"/>
          <w:sz w:val="28"/>
          <w:lang w:val="ru-RU"/>
        </w:rPr>
        <w:t xml:space="preserve">Данная формула используется при оценке денежного потока, формирующего базу для расчёта потребности в оборотном капитале и финансовой устойчивости кластера </w:t>
      </w:r>
      <w:r>
        <w:rPr>
          <w:rFonts w:ascii="Times New Roman" w:eastAsia="Times New Roman" w:hAnsi="Times New Roman"/>
          <w:sz w:val="28"/>
        </w:rPr>
        <w:t>II</w:t>
      </w:r>
      <w:r w:rsidRPr="000A7BDC">
        <w:rPr>
          <w:rFonts w:ascii="Times New Roman" w:eastAsia="Times New Roman" w:hAnsi="Times New Roman"/>
          <w:sz w:val="28"/>
          <w:lang w:val="ru-RU"/>
        </w:rPr>
        <w:t>.</w:t>
      </w:r>
      <w:bookmarkEnd w:id="0"/>
    </w:p>
    <w:sectPr w:rsidR="0002468C" w:rsidRPr="000A7BDC" w:rsidSect="000A7BDC">
      <w:pgSz w:w="12240" w:h="15840"/>
      <w:pgMar w:top="1440" w:right="1325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5585B"/>
    <w:multiLevelType w:val="hybridMultilevel"/>
    <w:tmpl w:val="B3C62554"/>
    <w:lvl w:ilvl="0" w:tplc="0D98F3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20316132">
    <w:abstractNumId w:val="8"/>
  </w:num>
  <w:num w:numId="2" w16cid:durableId="831525516">
    <w:abstractNumId w:val="6"/>
  </w:num>
  <w:num w:numId="3" w16cid:durableId="2050059219">
    <w:abstractNumId w:val="5"/>
  </w:num>
  <w:num w:numId="4" w16cid:durableId="1431773993">
    <w:abstractNumId w:val="4"/>
  </w:num>
  <w:num w:numId="5" w16cid:durableId="638147136">
    <w:abstractNumId w:val="7"/>
  </w:num>
  <w:num w:numId="6" w16cid:durableId="117845587">
    <w:abstractNumId w:val="3"/>
  </w:num>
  <w:num w:numId="7" w16cid:durableId="452402433">
    <w:abstractNumId w:val="2"/>
  </w:num>
  <w:num w:numId="8" w16cid:durableId="617613925">
    <w:abstractNumId w:val="1"/>
  </w:num>
  <w:num w:numId="9" w16cid:durableId="800536282">
    <w:abstractNumId w:val="0"/>
  </w:num>
  <w:num w:numId="10" w16cid:durableId="10526518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68C"/>
    <w:rsid w:val="00034616"/>
    <w:rsid w:val="0006063C"/>
    <w:rsid w:val="000A7BDC"/>
    <w:rsid w:val="0015074B"/>
    <w:rsid w:val="0029639D"/>
    <w:rsid w:val="00326F90"/>
    <w:rsid w:val="00853A87"/>
    <w:rsid w:val="00AA1D8D"/>
    <w:rsid w:val="00B17337"/>
    <w:rsid w:val="00B258A6"/>
    <w:rsid w:val="00B47730"/>
    <w:rsid w:val="00B802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62F906"/>
  <w14:defaultImageDpi w14:val="300"/>
  <w15:docId w15:val="{1A20DFCB-7CDD-4DCB-A3FF-A6E22229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3</cp:revision>
  <dcterms:created xsi:type="dcterms:W3CDTF">2013-12-23T23:15:00Z</dcterms:created>
  <dcterms:modified xsi:type="dcterms:W3CDTF">2026-02-22T22:45:00Z</dcterms:modified>
  <cp:category/>
</cp:coreProperties>
</file>