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5265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УДК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338.2; 330.341; 004.9</w:t>
      </w:r>
    </w:p>
    <w:p w14:paraId="7174BCF0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Роль цифровизации для сбалансированного двухцелевого управления экономикой африканской страны</w:t>
      </w:r>
    </w:p>
    <w:p w14:paraId="268131A2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Аннотация</w:t>
      </w:r>
    </w:p>
    <w:p w14:paraId="4559E3CD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статье рассматривается цифровизация как инструмент государственного управления экономическим развитием в агро-ориентированной африканской стране при наличии двух целевых установок: (1) рост эффективности предпринимательской среды, выражаемый приростом добавленной стоимости (прибавочного продукта) и (2) прирост благосостояния населения. Предложен двухконтурный подход к целеполаганию, в котором цифровая платформа предпринимательства выступает не как ИТ-продукт, а как институциональная инфраструктура, обеспечивающая согласование производственного (экономического) и распределительного (социального) контуров через систему метаданных, мониторинга и управленческих решений. На основе сопоставления практик платформизации поддержки предпринимательства (на примере французских инструментов «путей предпринимателя») и международных рекомендаций по цифровизации МСП и цифровой трансформации в Африке обоснованы требования к архитектуре государственной платформы: правила допустимости роста, социальный контур эффектов, механизмы доверия и репутации, а также принципы минимизации транзакционных издержек и предотвращения «роста без благосостояния».</w:t>
      </w:r>
    </w:p>
    <w:p w14:paraId="2485020C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слова: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цифровизация, государственное управление, платформа предпринимательства, добавленная стоимость, благосостояние, агро-экономика, метаданные, доверие, репутация, инклюзивное развитие.</w:t>
      </w:r>
    </w:p>
    <w:p w14:paraId="742ACD4A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Введение</w:t>
      </w:r>
    </w:p>
    <w:p w14:paraId="2912867F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Проблематика экономического роста в странах с агро-ориентированной структурой экономики и ограниченной институциональной ёмкостью традиционно описывается дилеммой: ускорение накопления и производительности может сопровождаться слабой трансляцией результатов роста в повышение благосостояния широких слоёв населения. При этом государство часто вынуждено действовать в условиях ограниченных бюджетных ресурсов, высокой доли неформального сектора и дефицита управленческой информации о деятельности хозяйствующих субъектов.</w:t>
      </w:r>
    </w:p>
    <w:p w14:paraId="46BE7E4B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Цифровизация в таких условиях нередко трактуется упрощённо — как внедрение электронных сервисов или развитие цифровой инфраструктуры. Однако международные обзоры подчёркивают, что ключевой эффект цифровой трансформации проявляется тогда, когда цифровые инструменты снижают барьеры и издержки, повышают производительность, расширяют доступ к рынкам и финансированию, а также улучшают государственную способность к таргетированию и контролю политик поддержки [1–3]. Для стран Африки в фокусе находится задача «цифрового включения» индивидов, бизнеса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 государства к горизонту 2030 г., что закреплено в программах цифровой трансформации и диагностических подходах международных институтов [4].</w:t>
      </w:r>
    </w:p>
    <w:p w14:paraId="14FFDA04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настоящей статьи — сформулировать методологический каркас двухцелевого управления экономикой африканской страны через цифровизацию, где цифровая платформа предпринимательства выступает системным механизмом (i) роста эффективности предпринимательской среды (прироста добавленной стоимости) и одновременно (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ii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роста благосостояния населения. Научная новизна состоит в явном выделении двухконтурной целевой функции государства и в определении платформы как институционального «узла согласования» контуров на основе метаданных и правил допустимости.</w:t>
      </w:r>
    </w:p>
    <w:p w14:paraId="71156BA1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Теоретические основания: рост, институты и цифровая платформа как инфраструктура управления</w:t>
      </w:r>
    </w:p>
    <w:p w14:paraId="5DCEE4B7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1.1. </w:t>
      </w:r>
      <w:proofErr w:type="spellStart"/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Двухцелевое</w:t>
      </w:r>
      <w:proofErr w:type="spellEnd"/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управление: от «роста ВВП» к «росту благосостояния»</w:t>
      </w:r>
    </w:p>
    <w:p w14:paraId="6529299A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Классические подходы к развитию связывают рост с инновациями, предпринимательством и структурными сдвигами (логика «созидательного разрушения») [5]. Однако в странах с высокой долей агросектора и фрагментированной предпринимательской базой рост добавленной стоимости может концентрироваться в отдельных звеньях цепочек (логистика, экспортные каналы, посредники), не обеспечивая сопоставимого роста доходов домохозяйств. Отсюда вытекает необходимость государственного управления, в котором экономическая эффективность рассматривается не как самоцель, а как ресурс для повышения качества жизни населения.</w:t>
      </w:r>
    </w:p>
    <w:p w14:paraId="772DF313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целеполагание рационально задавать двумя связанными целями: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A (экономическая):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максимизация прироста добавленной стоимости в предпринимательской среде;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B (социальная):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максимизация прироста благосостояния населения (доходы, занятость, устойчивость потребления), при ограничениях устойчивости и справедливости.</w:t>
      </w:r>
    </w:p>
    <w:p w14:paraId="38D322F4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1.2. Платформизация поддержки предпринимательства как институциональная практика</w:t>
      </w:r>
    </w:p>
    <w:p w14:paraId="16F0B8A5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 развитых экономик показывает, что государственная поддержка предпринимательства всё чаще реализуется через платформенные решения, которые стандартизируют «путь предпринимателя» (последовательность действий от идеи до запуска и масштабирования), предоставляют инструменты планирования и обеспечивают сопряжение с сетью сопровождения и финансирования [6–7]. Важным является не сам цифровой интерфейс, а институциональный эффект: снижение неопределённости, типизация процедур, концентрация знаний и соединение предпринимателя с экосистемой сопровождения.</w:t>
      </w:r>
    </w:p>
    <w:p w14:paraId="2BE848CA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Международные аналитические обзоры подчеркивают, что цифровизация МСП повышает продуктивность и устойчивость, но сталкивается с барьерами ресурсов, навыков и финансирования; поэтому государственная политика должна сочетать цифровые сервисы, инструменты сопровождения и меры по снижению барьеров [1–2]. В африканском контексте это усиливается «цифровым разрывом» и проблемой участия наименее развитых стран в данных и цифровой экономике [3].</w:t>
      </w:r>
    </w:p>
    <w:p w14:paraId="0EA8A9F8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Методология исследования</w:t>
      </w:r>
    </w:p>
    <w:p w14:paraId="778D47D0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Исследование выполнено на основе:</w:t>
      </w:r>
    </w:p>
    <w:p w14:paraId="0208E3AA" w14:textId="77777777" w:rsidR="005B09AC" w:rsidRPr="005B09AC" w:rsidRDefault="005B09AC" w:rsidP="005B0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институционального анализа платформизации как формы организации государственной поддержки предпринимательства;</w:t>
      </w:r>
    </w:p>
    <w:p w14:paraId="2A128FDB" w14:textId="77777777" w:rsidR="005B09AC" w:rsidRPr="005B09AC" w:rsidRDefault="005B09AC" w:rsidP="005B0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системного подхода к целеполаганию и проектированию управленческих контуров;</w:t>
      </w:r>
    </w:p>
    <w:p w14:paraId="252586A6" w14:textId="77777777" w:rsidR="005B09AC" w:rsidRPr="005B09AC" w:rsidRDefault="005B09AC" w:rsidP="005B0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сравнительного анализа международных рекомендаций по цифровизации МСП и цифровой трансформации в Африке [1–4] и практик стандартизации «путей предпринимателя» в развитых экономиках [6–7].</w:t>
      </w:r>
    </w:p>
    <w:p w14:paraId="2BAB60BA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Используемая логика формализуется через двухконтурную схему управления:</w:t>
      </w:r>
    </w:p>
    <w:p w14:paraId="68AA91EA" w14:textId="77777777" w:rsidR="005B09AC" w:rsidRPr="005B09AC" w:rsidRDefault="005B09AC" w:rsidP="005B0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Контур A (экономический):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метрики предпринимательской эффективности (добавленная стоимость, производительность, выживаемость, формализация).</w:t>
      </w:r>
    </w:p>
    <w:p w14:paraId="72ACAFBF" w14:textId="77777777" w:rsidR="005B09AC" w:rsidRPr="005B09AC" w:rsidRDefault="005B09AC" w:rsidP="005B0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Контур B (социальный):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метрики благосостояния (доходы домохозяйств, занятость, продовольственная доступность, территориальное неравенство).</w:t>
      </w:r>
    </w:p>
    <w:p w14:paraId="65DF283F" w14:textId="77777777" w:rsidR="005B09AC" w:rsidRPr="005B09AC" w:rsidRDefault="005B09AC" w:rsidP="005B0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Узел согласования: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правило допустимости — экономический рост поддерживается при неухудшении социального контура либо при наличии компенсирующих мер.</w:t>
      </w:r>
    </w:p>
    <w:p w14:paraId="5A238B64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Результаты: архитектура двухконтурного управления и требования к платформе</w:t>
      </w:r>
    </w:p>
    <w:p w14:paraId="20A75E76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Двухконтурная целевая функция государства</w:t>
      </w:r>
    </w:p>
    <w:p w14:paraId="4FDF9442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Предлагается рассматривать цифровую платформу предпринимательства как «орган чувств» государства: механизм, обеспечивающий сбор и стандартизацию метаданных, мониторинг эффектов и поддержку принятия решений. В отличие от модели, где платформа обслуживает предпринимателя как клиента, здесь платформа служит государству как субъекту политики развития.</w:t>
      </w:r>
    </w:p>
    <w:p w14:paraId="4F477514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Формулировка целевой функции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быть выражена в виде оптимизационной постановки:</w:t>
      </w:r>
    </w:p>
    <w:p w14:paraId="03635696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Максимизировать ( \Delta VA ) — прирост добавленной стоимости предпринимательского сектора (в первую очередь в агро-цепочках),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 ограничениях по ( \Delta W ) — параметрам благосостояния (неухудшение/рост), а также по устойчивости (экологические и фискальные ограничения).</w:t>
      </w:r>
    </w:p>
    <w:p w14:paraId="683CA1FE" w14:textId="19B2C3AD" w:rsid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Ключевой вывод: без явного социального контура платформа рискует стать усилителем «эффективности без благосостояния», когда цифровые инструменты ускоряют концентрацию выгод, но не расширяют доходы и занятость.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Схематически двухконтурная целевая функция государства и роль цифровой платформы как узла согласования экономического и социального контуров представлены на рис. 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1C5259" w14:textId="5882D699" w:rsidR="005B09AC" w:rsidRDefault="00495A60" w:rsidP="005B09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5A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2E6F98C1" wp14:editId="5312F797">
            <wp:extent cx="5940425" cy="3469640"/>
            <wp:effectExtent l="0" t="0" r="3175" b="0"/>
            <wp:docPr id="76046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4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5501" w14:textId="742295FD" w:rsid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Рисунок 1 -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Двухконтурная целевая функция государства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 примере Кот-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Девуар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A7CC987" w14:textId="6B3DF692" w:rsidR="005B09AC" w:rsidRPr="005B09AC" w:rsidRDefault="00495A60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рисунке представлена концепция развития цифровой платформы для </w:t>
      </w:r>
      <w:r w:rsidRPr="00495A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Агро-ориентированная страна: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где </w:t>
      </w:r>
      <w:r w:rsidRPr="00495A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эффективности предпринимательской среды и рост благосостояния населения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сбалансированно уравновешиваются.</w:t>
      </w:r>
    </w:p>
    <w:p w14:paraId="5A93CA36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Функции платформы в контуре A: рост эффективности предпринимательской среды</w:t>
      </w:r>
    </w:p>
    <w:p w14:paraId="72C15C98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контуре A платформа обеспечивает:</w:t>
      </w:r>
    </w:p>
    <w:p w14:paraId="7F0A3165" w14:textId="77777777" w:rsidR="005B09AC" w:rsidRPr="005B09AC" w:rsidRDefault="005B09AC" w:rsidP="005B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 транзакционных издержек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(доступ к знаниям, типовые процедуры, цифровые инструменты планирования);</w:t>
      </w:r>
    </w:p>
    <w:p w14:paraId="4515EB66" w14:textId="77777777" w:rsidR="005B09AC" w:rsidRPr="005B09AC" w:rsidRDefault="005B09AC" w:rsidP="005B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увеличение производительности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(доступ к рынкам, более точное планирование, сервисы в цепочках поставок);</w:t>
      </w:r>
    </w:p>
    <w:p w14:paraId="74F47DB2" w14:textId="77777777" w:rsidR="005B09AC" w:rsidRPr="005B09AC" w:rsidRDefault="005B09AC" w:rsidP="005B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расширение доступа к финансированию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формирование цифровой истории и параметров риска;</w:t>
      </w:r>
    </w:p>
    <w:p w14:paraId="6287071B" w14:textId="77777777" w:rsidR="005B09AC" w:rsidRPr="005B09AC" w:rsidRDefault="005B09AC" w:rsidP="005B09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масштабирование лучших практик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поддержку кооперации (в том числе через стандартизированные модели контрактов и логистики).</w:t>
      </w:r>
    </w:p>
    <w:p w14:paraId="712870F2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Эти эффекты согласуются с логикой международных рекомендаций, которые связывают цифровизацию МСП с ростом производительности, инноваций и конкурентоспособности [1–2].</w:t>
      </w:r>
    </w:p>
    <w:p w14:paraId="3781E176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Функции платформы в контуре B: трансляция роста в благосостояние</w:t>
      </w:r>
    </w:p>
    <w:p w14:paraId="0CB334ED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контуре B платформа должна обеспечивать измеримость и управляемость социального эффекта. Практически это означает введение «социальных метаданных» и правил, при которых поддержка и масштабирование бизнес-практик допускаются только при соблюдении социальных ограничений.</w:t>
      </w:r>
    </w:p>
    <w:p w14:paraId="52021F65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Ключевые элементы контура B:</w:t>
      </w:r>
    </w:p>
    <w:p w14:paraId="367B417B" w14:textId="77777777" w:rsidR="005B09AC" w:rsidRPr="005B09AC" w:rsidRDefault="005B09AC" w:rsidP="005B0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занятость и качество занятости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 том числе сезонность, доля занятых в формальном секторе);</w:t>
      </w:r>
    </w:p>
    <w:p w14:paraId="318BD2B8" w14:textId="77777777" w:rsidR="005B09AC" w:rsidRPr="005B09AC" w:rsidRDefault="005B09AC" w:rsidP="005B0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динамика доходов домохозяйств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регионах присутствия цепочек;</w:t>
      </w:r>
    </w:p>
    <w:p w14:paraId="5C1F97D0" w14:textId="77777777" w:rsidR="005B09AC" w:rsidRPr="005B09AC" w:rsidRDefault="005B09AC" w:rsidP="005B0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продовольственная доступность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(цены, наличие, устойчивость снабжения);</w:t>
      </w:r>
    </w:p>
    <w:p w14:paraId="430FDE87" w14:textId="77777777" w:rsidR="005B09AC" w:rsidRPr="005B09AC" w:rsidRDefault="005B09AC" w:rsidP="005B0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территориальное равновесие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(неравенство между районами, доступ к рынкам);</w:t>
      </w:r>
    </w:p>
    <w:p w14:paraId="52D8C452" w14:textId="77777777" w:rsidR="005B09AC" w:rsidRPr="005B09AC" w:rsidRDefault="005B09AC" w:rsidP="005B09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социальная устойчивость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ограничение политики (риск конфликтов, вытеснение мелких фермеров).</w:t>
      </w:r>
    </w:p>
    <w:p w14:paraId="60F0717A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Связка контуров становится особенно значимой при высокой доле агро-экономики: рост экспорта или эффективности может сопровождаться ростом внутренних цен на продовольствие, если отсутствуют компенсирующие механизмы.</w:t>
      </w:r>
    </w:p>
    <w:p w14:paraId="033E408C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3.4. Узел согласования: правило допустимости и типология государственных решений</w:t>
      </w:r>
    </w:p>
    <w:p w14:paraId="063EEB91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Предлагается формализовать «узел согласования» как набор управленческих действий государства:</w:t>
      </w:r>
    </w:p>
    <w:p w14:paraId="36DFCFB4" w14:textId="77777777" w:rsidR="005B09AC" w:rsidRPr="005B09AC" w:rsidRDefault="005B09AC" w:rsidP="005B0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Разрешение: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поддержка и масштабирование практик при положительной динамике контуров A и B.</w:t>
      </w:r>
    </w:p>
    <w:p w14:paraId="432FF570" w14:textId="77777777" w:rsidR="005B09AC" w:rsidRPr="005B09AC" w:rsidRDefault="005B09AC" w:rsidP="005B0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Коррекция: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изменение условий поддержки (например, требование локальной занятости, кооперации, прозрачности), если контур A растёт, а контур B ухудшается.</w:t>
      </w:r>
    </w:p>
    <w:p w14:paraId="21E79811" w14:textId="77777777" w:rsidR="005B09AC" w:rsidRPr="005B09AC" w:rsidRDefault="005B09AC" w:rsidP="005B0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Ограничение: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отказ в поддержке и перевод в режим мониторинга при рисках социальной эрозии.</w:t>
      </w:r>
    </w:p>
    <w:p w14:paraId="4CC17780" w14:textId="77777777" w:rsidR="005B09AC" w:rsidRPr="005B09AC" w:rsidRDefault="005B09AC" w:rsidP="005B09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Запрет: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остановка разрушительных траекторий (например, монопольные практики, вытеснение мелких производителей, злоупотребления).</w:t>
      </w:r>
    </w:p>
    <w:p w14:paraId="35125399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узел согласования соответствует логике современных рекомендаций о развитии цифровой публичной инфраструктуры и цифровых платформ госуслуг как инструментов повышения качества политики и таргетирования мер [2].</w:t>
      </w:r>
    </w:p>
    <w:p w14:paraId="677B6974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Обсуждение: почему «просто цифровизация» не работает и что должно быть встроено заранее</w:t>
      </w:r>
    </w:p>
    <w:p w14:paraId="0489804E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Риск «цифровой концентрации» и институциональный дефицит</w:t>
      </w:r>
    </w:p>
    <w:p w14:paraId="2A0BD8CD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Доклады международных организаций подчёркивают неравномерность участия стран в цифровой экономике, в том числе по доступу к интернету и данным, что формирует новый слой неравенства [3]. Следовательно, если государственная платформа строится только как сервис для «готовых» предпринимателей, она ускорит преимущественно тех, кто и так ближе к рынкам, инфраструктуре и капиталу.</w:t>
      </w:r>
    </w:p>
    <w:p w14:paraId="2388E73F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условиях институционального дефицита государству необходимо проектировать платформу как механизм наращивания институциональной ёмкости: стандарты, прозрачность, измеримость результатов, типизация процедур и контроль доверия.</w:t>
      </w:r>
    </w:p>
    <w:p w14:paraId="561C2D42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4.2. Механизмы доверия и репутации как экономический актив платформы</w:t>
      </w:r>
    </w:p>
    <w:p w14:paraId="120120DC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африканского контекста доверие — базовый фактор: без него кредитование, кооперация и контрактные отношения становятся дорогими. Поэтому платформе требуется «слой доверия»: верификация субъектов, история операций, минимальные требования к прозрачности и механизмы разрешения споров. В международной практике государственные цифровые инструменты поддержки МСП рассматриваются как канал повышения доступности сервисов и качества исполнения процедур, что снижает издержки и риски [2].</w:t>
      </w:r>
    </w:p>
    <w:p w14:paraId="50565044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4.3. Связь с внешними инвесторами и присутствием иностранных финансовых институтов</w:t>
      </w:r>
    </w:p>
    <w:p w14:paraId="1A523153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наличии представительств внешних стран (банковский и консалтинговый контур) государственная платформа может служить «переводчиком» локальной предпринимательской среды в понятные параметры риска и качества. Однако это требует суверенного определения целевой функции: внешние акторы по умолчанию оптимизируют возврат капитала, а не благосостояние населения. Следовательно, именно узел согласования (правило допустимости) должен быть встроен в архитектуру платформы до масштабирования.</w:t>
      </w:r>
    </w:p>
    <w:p w14:paraId="1636C1C6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Практические импликации для проектирования платформы (политика второго шага роста)</w:t>
      </w:r>
    </w:p>
    <w:p w14:paraId="4DB495F5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 ко «второму шагу» экономического роста целесообразно начинать не с внедрения ИТ-модулей, а с институционального проектирования:</w:t>
      </w:r>
    </w:p>
    <w:p w14:paraId="23E9A75B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Фиксация двухконтурной целевой функции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перечня KPI для обоих контуров.</w:t>
      </w:r>
    </w:p>
    <w:p w14:paraId="55C60F3F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Определение правил допустимости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(социальные ограничения и компенсаторы).</w:t>
      </w:r>
    </w:p>
    <w:p w14:paraId="2A43BEC7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Проектирование метаданных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экономических (для роста эффективности) и социальных (для роста благосостояния).</w:t>
      </w:r>
    </w:p>
    <w:p w14:paraId="03FA9870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Встраивание слоя доверия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идентификация субъектов, прозрачность, репутационные механизмы, минимальные стандарты отчётности.</w:t>
      </w:r>
    </w:p>
    <w:p w14:paraId="3FB6A062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Сеть сопровождения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подготовка и сертификация «сопровождающих» как института (без него платформа превращается в справочник).</w:t>
      </w:r>
    </w:p>
    <w:p w14:paraId="5C33A312" w14:textId="77777777" w:rsidR="005B09AC" w:rsidRPr="005B09AC" w:rsidRDefault="005B09AC" w:rsidP="005B09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Пилотирование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отдельных агро-цепочках с измерением эффектов A и B и последующей корректировкой правил.</w:t>
      </w:r>
    </w:p>
    <w:p w14:paraId="4403D0B7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Такой подход соответствует международной логике развития цифровой трансформации на континенте к 2030 г. и необходимости «не оставить никого позади» в цифровой экономике [3–4].</w:t>
      </w:r>
    </w:p>
    <w:p w14:paraId="5B5C3192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Заключение</w:t>
      </w:r>
    </w:p>
    <w:p w14:paraId="7AE69895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Цифровизация в агро-ориентированной африканской стране может выступать системным инструментом государственного управления «второго шага» экономического роста только при условии явного двухцелевого целеполагания: рост добавленной стоимости предпринимательской среды должен быть связан с ростом благосостояния населения через измеримый социальный контур и правила допустимости. Государственная цифровая платформа предпринимательства в таком подходе является не ИТ-витриной, а институциональной инфраструктурой, обеспечивающей стандартизацию предпринимательских траекторий, снижение транзакционных издержек, формирование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доверия и таргетирование мер поддержки, а также мониторинг и коррекцию социального эффекта роста.</w:t>
      </w:r>
    </w:p>
    <w:p w14:paraId="7B789791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Показано, что ключевой риск «простой цифровизации» — усиление концентрации выгод и формирование «роста без благосостояния». Следовательно, при проектировании платформы приоритетным становится создание узла согласования контуров и внедрение социального измерения эффектов как ограничителя и направляющего механизма государственной политики.</w:t>
      </w:r>
    </w:p>
    <w:p w14:paraId="40C56828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Список литературы (оформление по ГОСТ Р 7.0.5–2008)</w:t>
      </w:r>
    </w:p>
    <w:p w14:paraId="7039A96F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OECD.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Digitalisation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SMEs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OECD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Topic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Page. URL: (ссылка доступна по источнику) (дата обращения: 28.12.2025).</w:t>
      </w:r>
    </w:p>
    <w:p w14:paraId="6F25FE88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OECD.</w:t>
      </w:r>
      <w:r w:rsidRPr="005B09AC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SMEs Going Digital: Policy challenges and recommendations.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Paris: OECD Publishing, 2021. URL: (ссылка доступна по источнику) (дата обращения: 28.12.2025).</w:t>
      </w:r>
    </w:p>
    <w:p w14:paraId="1FA2A750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UNCTAD.</w:t>
      </w:r>
      <w:r w:rsidRPr="005B09AC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Digital Economy Report 2021: Cross-border data flows and development.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Geneva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United Nations, 2021. URL: (ссылка доступна по источнику) (дата обращения: 28.12.2025).</w:t>
      </w:r>
    </w:p>
    <w:p w14:paraId="3DF95DF0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World Bank.</w:t>
      </w:r>
      <w:r w:rsidRPr="005B09AC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The Digital Economy for Africa (DE4A) Initiative: Publications and Program Overview.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Washington, DC: World Bank, 2019–2025. URL: (ссылка доступна по источнику) (дата обращения: 28.12.2025).</w:t>
      </w:r>
    </w:p>
    <w:p w14:paraId="22958AAB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Шумпетер Й.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Теория экономического развития. М.: Прогресс, 1982. 159 с.</w:t>
      </w:r>
    </w:p>
    <w:p w14:paraId="5DF58ABA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val="fr-FR" w:eastAsia="ru-RU"/>
          <w14:ligatures w14:val="none"/>
        </w:rPr>
        <w:t>Bpifrance Création.</w:t>
      </w:r>
      <w:r w:rsidRPr="005B09AC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 xml:space="preserve"> Mon 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>Pass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 xml:space="preserve"> Créa: parcours guidé et boîte à outils pour la création d’entreprise.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URL: (ссылка доступна по источнику) (дата обращения: 28.12.2025).</w:t>
      </w:r>
    </w:p>
    <w:p w14:paraId="2FD7DBC9" w14:textId="77777777" w:rsidR="005B09AC" w:rsidRPr="005B09AC" w:rsidRDefault="005B09AC" w:rsidP="005B09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lang w:val="fr-FR" w:eastAsia="ru-RU"/>
          <w14:ligatures w14:val="none"/>
        </w:rPr>
        <w:t>Bpifrance Création.</w:t>
      </w:r>
      <w:r w:rsidRPr="005B09AC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 xml:space="preserve"> Portail d’accompagnement à la création et au développement d’entreprise. 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URL: (ссылка доступна по источнику) (дата обращения: 28.12.2025).</w:t>
      </w:r>
    </w:p>
    <w:p w14:paraId="07177C2C" w14:textId="77777777" w:rsidR="005B09AC" w:rsidRPr="005B09AC" w:rsidRDefault="005B09AC" w:rsidP="005B09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3DD142A">
          <v:rect id="_x0000_i1033" style="width:0;height:1.5pt" o:hralign="center" o:hrstd="t" o:hr="t" fillcolor="#a0a0a0" stroked="f"/>
        </w:pict>
      </w:r>
    </w:p>
    <w:p w14:paraId="2B0368C5" w14:textId="77777777" w:rsidR="005B09AC" w:rsidRPr="005B09AC" w:rsidRDefault="005B09AC" w:rsidP="005B0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Примечание по ссылкам</w:t>
      </w:r>
    </w:p>
    <w:p w14:paraId="3CD71DAA" w14:textId="77777777" w:rsidR="005B09AC" w:rsidRPr="005B09AC" w:rsidRDefault="005B09AC" w:rsidP="005B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просили ссылки в тексте в формате [</w:t>
      </w:r>
      <w:proofErr w:type="spellStart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xx</w:t>
      </w:r>
      <w:proofErr w:type="spellEnd"/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] — они расставлены. Если вы назовёте </w:t>
      </w:r>
      <w:r w:rsidRPr="005B09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конкретный ВАК-журнал</w:t>
      </w: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(экономика/госуправление/региональная экономика) и требуемый объём в знаках, я за один проход подгоню статью под:</w:t>
      </w:r>
    </w:p>
    <w:p w14:paraId="2399E344" w14:textId="77777777" w:rsidR="005B09AC" w:rsidRPr="005B09AC" w:rsidRDefault="005B09AC" w:rsidP="005B0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структуру рубрикации журнала,</w:t>
      </w:r>
    </w:p>
    <w:p w14:paraId="61B07FBE" w14:textId="77777777" w:rsidR="005B09AC" w:rsidRPr="005B09AC" w:rsidRDefault="005B09AC" w:rsidP="005B0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аннотации/ключевым словам,</w:t>
      </w:r>
    </w:p>
    <w:p w14:paraId="4B218645" w14:textId="77777777" w:rsidR="005B09AC" w:rsidRPr="005B09AC" w:rsidRDefault="005B09AC" w:rsidP="005B0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09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норму процента цитирования и список источников (обычно 15–25).</w:t>
      </w:r>
    </w:p>
    <w:p w14:paraId="0CFDF7B2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AF1"/>
    <w:multiLevelType w:val="multilevel"/>
    <w:tmpl w:val="A50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5453"/>
    <w:multiLevelType w:val="multilevel"/>
    <w:tmpl w:val="706C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46D2C"/>
    <w:multiLevelType w:val="multilevel"/>
    <w:tmpl w:val="ED0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103D4"/>
    <w:multiLevelType w:val="multilevel"/>
    <w:tmpl w:val="2730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106C2"/>
    <w:multiLevelType w:val="multilevel"/>
    <w:tmpl w:val="E592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23333"/>
    <w:multiLevelType w:val="multilevel"/>
    <w:tmpl w:val="E35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30BF9"/>
    <w:multiLevelType w:val="multilevel"/>
    <w:tmpl w:val="F13E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02C53"/>
    <w:multiLevelType w:val="multilevel"/>
    <w:tmpl w:val="434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06092">
    <w:abstractNumId w:val="6"/>
  </w:num>
  <w:num w:numId="2" w16cid:durableId="944381807">
    <w:abstractNumId w:val="5"/>
  </w:num>
  <w:num w:numId="3" w16cid:durableId="725839916">
    <w:abstractNumId w:val="2"/>
  </w:num>
  <w:num w:numId="4" w16cid:durableId="1017658560">
    <w:abstractNumId w:val="0"/>
  </w:num>
  <w:num w:numId="5" w16cid:durableId="440615701">
    <w:abstractNumId w:val="4"/>
  </w:num>
  <w:num w:numId="6" w16cid:durableId="639847152">
    <w:abstractNumId w:val="3"/>
  </w:num>
  <w:num w:numId="7" w16cid:durableId="747576287">
    <w:abstractNumId w:val="1"/>
  </w:num>
  <w:num w:numId="8" w16cid:durableId="1210649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AC"/>
    <w:rsid w:val="00067452"/>
    <w:rsid w:val="000F7186"/>
    <w:rsid w:val="00113C0A"/>
    <w:rsid w:val="001A6471"/>
    <w:rsid w:val="00272B96"/>
    <w:rsid w:val="00495A60"/>
    <w:rsid w:val="005B09AC"/>
    <w:rsid w:val="005F7960"/>
    <w:rsid w:val="008A7A44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6E28C"/>
  <w15:chartTrackingRefBased/>
  <w15:docId w15:val="{96B77B8C-BC30-43C5-BA46-8D53DB96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9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9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9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9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0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2364</Words>
  <Characters>13475</Characters>
  <Application>Microsoft Office Word</Application>
  <DocSecurity>0</DocSecurity>
  <Lines>112</Lines>
  <Paragraphs>31</Paragraphs>
  <ScaleCrop>false</ScaleCrop>
  <Company/>
  <LinksUpToDate>false</LinksUpToDate>
  <CharactersWithSpaces>15808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3</cp:revision>
  <dcterms:created xsi:type="dcterms:W3CDTF">2025-12-27T21:38:00Z</dcterms:created>
  <dcterms:modified xsi:type="dcterms:W3CDTF">2025-12-27T21:48:00Z</dcterms:modified>
</cp:coreProperties>
</file>