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12DB" w14:textId="507C12A4" w:rsidR="00AD6036" w:rsidRDefault="00AD6036" w:rsidP="00AD6036">
      <w:pPr>
        <w:spacing w:after="0"/>
        <w:ind w:firstLine="70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1.2 </w:t>
      </w:r>
      <w:r w:rsidRPr="00AD6036">
        <w:rPr>
          <w:rFonts w:ascii="Times New Roman" w:hAnsi="Times New Roman" w:cs="Times New Roman"/>
          <w:b/>
          <w:bCs/>
        </w:rPr>
        <w:t xml:space="preserve">СОЦИАЛЬНО-ЭКОНОМИЧЕСКОЕ ПОЛОЖЕНИЕ РЕСПУБЛИКИ </w:t>
      </w:r>
      <w:r>
        <w:rPr>
          <w:rFonts w:ascii="Times New Roman" w:hAnsi="Times New Roman" w:cs="Times New Roman"/>
          <w:b/>
          <w:bCs/>
        </w:rPr>
        <w:br/>
      </w:r>
      <w:r w:rsidRPr="00AD6036">
        <w:rPr>
          <w:rFonts w:ascii="Times New Roman" w:hAnsi="Times New Roman" w:cs="Times New Roman"/>
          <w:b/>
          <w:bCs/>
        </w:rPr>
        <w:t xml:space="preserve">КОТ-Д'ИВУАР: АНАЛИЗ ПРИБРЕЖНОЙ ЗОНЫ И </w:t>
      </w:r>
      <w:r>
        <w:rPr>
          <w:rFonts w:ascii="Times New Roman" w:hAnsi="Times New Roman" w:cs="Times New Roman"/>
          <w:b/>
          <w:bCs/>
        </w:rPr>
        <w:br/>
      </w:r>
      <w:r w:rsidRPr="00AD6036">
        <w:rPr>
          <w:rFonts w:ascii="Times New Roman" w:hAnsi="Times New Roman" w:cs="Times New Roman"/>
          <w:b/>
          <w:bCs/>
        </w:rPr>
        <w:t>ГОТОВНОСТЬ К ЦИФРОВОЙ ТРАНСФОРМАЦИИ</w:t>
      </w:r>
    </w:p>
    <w:p w14:paraId="581FA255" w14:textId="77777777" w:rsidR="00AD6036" w:rsidRPr="00AD6036" w:rsidRDefault="00AD6036" w:rsidP="00AD6036">
      <w:pPr>
        <w:spacing w:after="0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060E27AA" w14:textId="77777777" w:rsidR="00AD6036" w:rsidRP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Республика Кот-д'Ивуар за последнее десятилетие продемонстрировала устойчивые темпы экономического роста, утвердившись в качестве одной из наиболее динамично развивающихся экономик Западной Африки. Согласно данным Банка африканского развития, среднегодовые темпы роста ВВП в период 2012–2024 гг. составили 6,5%, что позволило стране преодолеть последствия постэлекторального кризиса 2010–2011 гг. и вернуться на траекторию устойчивого развития [1]. Особое значение в этом процессе приобретает прибрежная зона страны, сосредоточившая основные экономические, административные и инфраструктурные активы национальной экономики.</w:t>
      </w:r>
    </w:p>
    <w:p w14:paraId="681459BB" w14:textId="77777777" w:rsidR="00AD6036" w:rsidRP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Настоящий отчет посвящен комплексному анализу социально-экономического положения Кот-д'Ивуара с акцентом на прибрежные регионы (дистрикты Абиджана, Лагунов и прилегающие территории), а также оценке готовности к внедрению масштабных цифровых платформ в контексте национальной стратегии «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Эмержанс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émergence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 xml:space="preserve"> — выход на новый уровень развития). В работе рассматриваются макроэкономические показатели, состояние человеческого капитала, цифровая инфраструктура, кадровый потенциал и системные риски, сопутствующие цифровой трансформации прибрежных территорий.</w:t>
      </w:r>
    </w:p>
    <w:p w14:paraId="313665CC" w14:textId="2061BA66" w:rsidR="00AD6036" w:rsidRP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Pr="00AD6036">
        <w:rPr>
          <w:rFonts w:ascii="Times New Roman" w:hAnsi="Times New Roman" w:cs="Times New Roman"/>
          <w:b/>
          <w:bCs/>
          <w:sz w:val="28"/>
          <w:szCs w:val="28"/>
        </w:rPr>
        <w:t xml:space="preserve"> Географо-демографические особенности прибрежной зоны Кот-д'Ивуара</w:t>
      </w:r>
    </w:p>
    <w:p w14:paraId="5BDF9396" w14:textId="77777777" w:rsid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 xml:space="preserve">Прибрежная зона Кот-д'Ивуара протяженностью около 550 км вдоль Гвинейского залива представляет собой ключевой экономический кластер страны. </w:t>
      </w:r>
    </w:p>
    <w:p w14:paraId="0EEC18E8" w14:textId="31F0B0D9" w:rsidR="00AD6036" w:rsidRP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 xml:space="preserve">В нее входят 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дист</w:t>
      </w:r>
      <w:r>
        <w:rPr>
          <w:rFonts w:ascii="Times New Roman" w:hAnsi="Times New Roman" w:cs="Times New Roman"/>
          <w:sz w:val="28"/>
          <w:szCs w:val="28"/>
        </w:rPr>
        <w:t>тинации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 xml:space="preserve"> Абиджана (бывшая столица и экономическая столица государства), а также прибрежные регионы Лагунов, Суд-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Комоэ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 xml:space="preserve"> и части 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Гбо-Клебе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 xml:space="preserve">. Эта территория характеризуется высокой концентрацией </w:t>
      </w:r>
      <w:r w:rsidRPr="00AD6036">
        <w:rPr>
          <w:rFonts w:ascii="Times New Roman" w:hAnsi="Times New Roman" w:cs="Times New Roman"/>
          <w:sz w:val="28"/>
          <w:szCs w:val="28"/>
        </w:rPr>
        <w:lastRenderedPageBreak/>
        <w:t>населения: по данным Агентства национальной статистики (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AnStat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>), в дистрикте Абиджана проживает свыше 6,3 млн человек (2024), что составляет около 20% от общей численности населения страны [3].</w:t>
      </w:r>
    </w:p>
    <w:p w14:paraId="12842EF0" w14:textId="77777777" w:rsidR="00AD6036" w:rsidRP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Таблица 1. Демографические показатели прибрежных регионов Кот-д'Ивуара (2024)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721"/>
        <w:gridCol w:w="1661"/>
        <w:gridCol w:w="1494"/>
        <w:gridCol w:w="1641"/>
      </w:tblGrid>
      <w:tr w:rsidR="00AD6036" w:rsidRPr="00AD6036" w14:paraId="0CD2976C" w14:textId="77777777" w:rsidTr="00AD6036">
        <w:trPr>
          <w:jc w:val="center"/>
        </w:trPr>
        <w:tc>
          <w:tcPr>
            <w:tcW w:w="0" w:type="auto"/>
            <w:hideMark/>
          </w:tcPr>
          <w:p w14:paraId="74095891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1661" w:type="dxa"/>
            <w:hideMark/>
          </w:tcPr>
          <w:p w14:paraId="2597B966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Дистрикт Абиджана</w:t>
            </w:r>
          </w:p>
        </w:tc>
        <w:tc>
          <w:tcPr>
            <w:tcW w:w="1494" w:type="dxa"/>
            <w:hideMark/>
          </w:tcPr>
          <w:p w14:paraId="48B0484F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Регион Лагунов</w:t>
            </w:r>
          </w:p>
        </w:tc>
        <w:tc>
          <w:tcPr>
            <w:tcW w:w="1641" w:type="dxa"/>
            <w:hideMark/>
          </w:tcPr>
          <w:p w14:paraId="2DD2D8C4" w14:textId="34E165C0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 xml:space="preserve">Средний показатель 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 w:rsidRPr="00AD6036">
              <w:rPr>
                <w:rFonts w:ascii="Times New Roman" w:hAnsi="Times New Roman" w:cs="Times New Roman"/>
                <w:b/>
                <w:bCs/>
              </w:rPr>
              <w:t>по стране</w:t>
            </w:r>
          </w:p>
        </w:tc>
      </w:tr>
      <w:tr w:rsidR="00AD6036" w:rsidRPr="00AD6036" w14:paraId="5E504DED" w14:textId="77777777" w:rsidTr="00AD6036">
        <w:trPr>
          <w:jc w:val="center"/>
        </w:trPr>
        <w:tc>
          <w:tcPr>
            <w:tcW w:w="0" w:type="auto"/>
            <w:hideMark/>
          </w:tcPr>
          <w:p w14:paraId="0607B0E7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Население, млн чел.</w:t>
            </w:r>
          </w:p>
        </w:tc>
        <w:tc>
          <w:tcPr>
            <w:tcW w:w="1661" w:type="dxa"/>
            <w:hideMark/>
          </w:tcPr>
          <w:p w14:paraId="701A36E7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6,3</w:t>
            </w:r>
          </w:p>
        </w:tc>
        <w:tc>
          <w:tcPr>
            <w:tcW w:w="1494" w:type="dxa"/>
            <w:hideMark/>
          </w:tcPr>
          <w:p w14:paraId="38B92378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1641" w:type="dxa"/>
            <w:hideMark/>
          </w:tcPr>
          <w:p w14:paraId="31928DA2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32,5</w:t>
            </w:r>
          </w:p>
        </w:tc>
      </w:tr>
      <w:tr w:rsidR="00AD6036" w:rsidRPr="00AD6036" w14:paraId="3036D16E" w14:textId="77777777" w:rsidTr="00AD6036">
        <w:trPr>
          <w:jc w:val="center"/>
        </w:trPr>
        <w:tc>
          <w:tcPr>
            <w:tcW w:w="0" w:type="auto"/>
            <w:hideMark/>
          </w:tcPr>
          <w:p w14:paraId="49CA6147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Плотность населения, чел./км²</w:t>
            </w:r>
          </w:p>
        </w:tc>
        <w:tc>
          <w:tcPr>
            <w:tcW w:w="1661" w:type="dxa"/>
            <w:hideMark/>
          </w:tcPr>
          <w:p w14:paraId="7402B502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2 850</w:t>
            </w:r>
          </w:p>
        </w:tc>
        <w:tc>
          <w:tcPr>
            <w:tcW w:w="1494" w:type="dxa"/>
            <w:hideMark/>
          </w:tcPr>
          <w:p w14:paraId="26E7143A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185</w:t>
            </w:r>
          </w:p>
        </w:tc>
        <w:tc>
          <w:tcPr>
            <w:tcW w:w="1641" w:type="dxa"/>
            <w:hideMark/>
          </w:tcPr>
          <w:p w14:paraId="09FFAA59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105</w:t>
            </w:r>
          </w:p>
        </w:tc>
      </w:tr>
      <w:tr w:rsidR="00AD6036" w:rsidRPr="00AD6036" w14:paraId="096A41A1" w14:textId="77777777" w:rsidTr="00AD6036">
        <w:trPr>
          <w:jc w:val="center"/>
        </w:trPr>
        <w:tc>
          <w:tcPr>
            <w:tcW w:w="0" w:type="auto"/>
            <w:hideMark/>
          </w:tcPr>
          <w:p w14:paraId="420D2C2C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Доля городского населения, %</w:t>
            </w:r>
          </w:p>
        </w:tc>
        <w:tc>
          <w:tcPr>
            <w:tcW w:w="1661" w:type="dxa"/>
            <w:hideMark/>
          </w:tcPr>
          <w:p w14:paraId="0E646B34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98,5</w:t>
            </w:r>
          </w:p>
        </w:tc>
        <w:tc>
          <w:tcPr>
            <w:tcW w:w="1494" w:type="dxa"/>
            <w:hideMark/>
          </w:tcPr>
          <w:p w14:paraId="3D716DDA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42,3</w:t>
            </w:r>
          </w:p>
        </w:tc>
        <w:tc>
          <w:tcPr>
            <w:tcW w:w="1641" w:type="dxa"/>
            <w:hideMark/>
          </w:tcPr>
          <w:p w14:paraId="4390145E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52,8</w:t>
            </w:r>
          </w:p>
        </w:tc>
      </w:tr>
      <w:tr w:rsidR="00AD6036" w:rsidRPr="00AD6036" w14:paraId="1E857334" w14:textId="77777777" w:rsidTr="00AD6036">
        <w:trPr>
          <w:jc w:val="center"/>
        </w:trPr>
        <w:tc>
          <w:tcPr>
            <w:tcW w:w="0" w:type="auto"/>
            <w:hideMark/>
          </w:tcPr>
          <w:p w14:paraId="4C646B0B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Средний возраст, лет</w:t>
            </w:r>
          </w:p>
        </w:tc>
        <w:tc>
          <w:tcPr>
            <w:tcW w:w="1661" w:type="dxa"/>
            <w:hideMark/>
          </w:tcPr>
          <w:p w14:paraId="436B6F9F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24,7</w:t>
            </w:r>
          </w:p>
        </w:tc>
        <w:tc>
          <w:tcPr>
            <w:tcW w:w="1494" w:type="dxa"/>
            <w:hideMark/>
          </w:tcPr>
          <w:p w14:paraId="0BA5EC73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26,1</w:t>
            </w:r>
          </w:p>
        </w:tc>
        <w:tc>
          <w:tcPr>
            <w:tcW w:w="1641" w:type="dxa"/>
            <w:hideMark/>
          </w:tcPr>
          <w:p w14:paraId="776CA867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27,3</w:t>
            </w:r>
          </w:p>
        </w:tc>
      </w:tr>
      <w:tr w:rsidR="00AD6036" w:rsidRPr="00AD6036" w14:paraId="21FCD804" w14:textId="77777777" w:rsidTr="00AD6036">
        <w:trPr>
          <w:jc w:val="center"/>
        </w:trPr>
        <w:tc>
          <w:tcPr>
            <w:tcW w:w="0" w:type="auto"/>
            <w:hideMark/>
          </w:tcPr>
          <w:p w14:paraId="00A14811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Уровень грамотности (15+ лет), %</w:t>
            </w:r>
          </w:p>
        </w:tc>
        <w:tc>
          <w:tcPr>
            <w:tcW w:w="1661" w:type="dxa"/>
            <w:hideMark/>
          </w:tcPr>
          <w:p w14:paraId="4656742A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78,4</w:t>
            </w:r>
          </w:p>
        </w:tc>
        <w:tc>
          <w:tcPr>
            <w:tcW w:w="1494" w:type="dxa"/>
            <w:hideMark/>
          </w:tcPr>
          <w:p w14:paraId="7DB34DBD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61,2</w:t>
            </w:r>
          </w:p>
        </w:tc>
        <w:tc>
          <w:tcPr>
            <w:tcW w:w="1641" w:type="dxa"/>
            <w:hideMark/>
          </w:tcPr>
          <w:p w14:paraId="62BA5933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52,3</w:t>
            </w:r>
          </w:p>
        </w:tc>
      </w:tr>
    </w:tbl>
    <w:p w14:paraId="7BF7C6CC" w14:textId="77777777" w:rsidR="00AD6036" w:rsidRP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 xml:space="preserve">Источник: составлено по данным 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AnStat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 xml:space="preserve"> (2024) и переписи населения RGPH 2021 [3, 5]</w:t>
      </w:r>
    </w:p>
    <w:p w14:paraId="6B928CE6" w14:textId="77777777" w:rsidR="00AD6036" w:rsidRP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Прибрежная зона характеризуется значительной миграционной привлекательностью: ежегодный приток населения в дистрикт Абиджана оценивается в 3,8%, что создает как возможности для экономического роста, так и вызовы в области урбанистики, жилищного строительства и социальной инфраструктуры [5]. Высокая плотность населения и концентрация экономической активности определяют прибрежную зону как приоритетный регион для внедрения цифровых решений.</w:t>
      </w:r>
    </w:p>
    <w:p w14:paraId="1E7EB944" w14:textId="660EDF66" w:rsidR="00AD6036" w:rsidRP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1.2.</w:t>
      </w:r>
      <w:r w:rsidRPr="00AD6036">
        <w:rPr>
          <w:rFonts w:ascii="Times New Roman" w:hAnsi="Times New Roman" w:cs="Times New Roman"/>
          <w:b/>
          <w:bCs/>
          <w:sz w:val="28"/>
          <w:szCs w:val="28"/>
        </w:rPr>
        <w:t>2. Макроэкономические показатели и секторальная структура экономики</w:t>
      </w:r>
    </w:p>
    <w:p w14:paraId="77C952F2" w14:textId="77777777" w:rsid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 xml:space="preserve">Экономика Кот-д'Ивуара демонстрирует устойчивую динамику роста после кризиса 2011 года. ВВП страны увеличился с 22,2 трлн франков КФА (около 34 млрд евро) в 2011 г. до 57,6 трлн франков КФА (около 88 млрд евро) в 2025 г. [3]. </w:t>
      </w:r>
    </w:p>
    <w:p w14:paraId="7E96290F" w14:textId="3308E86C" w:rsidR="00AD6036" w:rsidRP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При этом прибрежная зона генерирует более 65% ВВП страны, концентрируя ключевые отрасли:</w:t>
      </w:r>
    </w:p>
    <w:p w14:paraId="61B22FF7" w14:textId="77777777" w:rsidR="00AD6036" w:rsidRPr="00AD6036" w:rsidRDefault="00AD6036" w:rsidP="00AD603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 xml:space="preserve">Портовая и логистическая инфраструктура: порт Абиджана обрабатывает 80% морских грузопотоков страны и является </w:t>
      </w:r>
      <w:r w:rsidRPr="00AD6036">
        <w:rPr>
          <w:rFonts w:ascii="Times New Roman" w:hAnsi="Times New Roman" w:cs="Times New Roman"/>
          <w:sz w:val="28"/>
          <w:szCs w:val="28"/>
        </w:rPr>
        <w:lastRenderedPageBreak/>
        <w:t>важнейшим хабом для стран Западной Африки без выхода к морю (Буркина-Фасо, Мали, Нигер) [3].</w:t>
      </w:r>
    </w:p>
    <w:p w14:paraId="0BE6F8F7" w14:textId="77777777" w:rsidR="00AD6036" w:rsidRPr="00AD6036" w:rsidRDefault="00AD6036" w:rsidP="00AD603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Финансовый сектор: Абиджан является штаб-квартирой Центрального банка стран Западной Африки (BCEAO) и концентрирует 92% банковских активов региона УЕМОА [1].</w:t>
      </w:r>
    </w:p>
    <w:p w14:paraId="36E9D43A" w14:textId="77777777" w:rsidR="00AD6036" w:rsidRPr="00AD6036" w:rsidRDefault="00AD6036" w:rsidP="00AD603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Промышленность: в прибрежных регионах расположены 78% обрабатывающих предприятий страны, включая пищевую, химическую и нефтеперерабатывающую промышленность [3].</w:t>
      </w:r>
    </w:p>
    <w:p w14:paraId="437F8D43" w14:textId="77777777" w:rsidR="00AD6036" w:rsidRPr="00AD6036" w:rsidRDefault="00AD6036" w:rsidP="00AD603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Услуги: доля сектора услуг в экономике прибрежных регионов достигает 69% против 57% в среднем по стране [3].</w:t>
      </w:r>
    </w:p>
    <w:p w14:paraId="0F5B152A" w14:textId="77777777" w:rsidR="00AD6036" w:rsidRP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Таблица 2. Основные макроэкономические показатели Кот-д'Ивуара (2011–2025)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735"/>
        <w:gridCol w:w="683"/>
        <w:gridCol w:w="756"/>
        <w:gridCol w:w="756"/>
        <w:gridCol w:w="816"/>
      </w:tblGrid>
      <w:tr w:rsidR="00AD6036" w:rsidRPr="00AD6036" w14:paraId="12A7F137" w14:textId="77777777" w:rsidTr="00AD6036">
        <w:trPr>
          <w:jc w:val="center"/>
        </w:trPr>
        <w:tc>
          <w:tcPr>
            <w:tcW w:w="0" w:type="auto"/>
            <w:hideMark/>
          </w:tcPr>
          <w:p w14:paraId="3447AD39" w14:textId="77777777" w:rsidR="00AD6036" w:rsidRPr="00AD6036" w:rsidRDefault="00AD6036" w:rsidP="00AD60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0" w:type="auto"/>
            <w:hideMark/>
          </w:tcPr>
          <w:p w14:paraId="3CCD29B1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2011</w:t>
            </w:r>
          </w:p>
        </w:tc>
        <w:tc>
          <w:tcPr>
            <w:tcW w:w="0" w:type="auto"/>
            <w:hideMark/>
          </w:tcPr>
          <w:p w14:paraId="25C537CE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2021</w:t>
            </w:r>
          </w:p>
        </w:tc>
        <w:tc>
          <w:tcPr>
            <w:tcW w:w="0" w:type="auto"/>
            <w:hideMark/>
          </w:tcPr>
          <w:p w14:paraId="19FA9EC6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3EA9C99A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2025*</w:t>
            </w:r>
          </w:p>
        </w:tc>
      </w:tr>
      <w:tr w:rsidR="00AD6036" w:rsidRPr="00AD6036" w14:paraId="177CB4AD" w14:textId="77777777" w:rsidTr="00AD6036">
        <w:trPr>
          <w:jc w:val="center"/>
        </w:trPr>
        <w:tc>
          <w:tcPr>
            <w:tcW w:w="0" w:type="auto"/>
            <w:hideMark/>
          </w:tcPr>
          <w:p w14:paraId="4FDD7D68" w14:textId="23918CD2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ВВП, трлн</w:t>
            </w:r>
            <w:r>
              <w:rPr>
                <w:rFonts w:ascii="Times New Roman" w:hAnsi="Times New Roman" w:cs="Times New Roman"/>
              </w:rPr>
              <w:t>.</w:t>
            </w:r>
            <w:r w:rsidRPr="00AD6036">
              <w:rPr>
                <w:rFonts w:ascii="Times New Roman" w:hAnsi="Times New Roman" w:cs="Times New Roman"/>
              </w:rPr>
              <w:t xml:space="preserve"> франков КФА</w:t>
            </w:r>
          </w:p>
        </w:tc>
        <w:tc>
          <w:tcPr>
            <w:tcW w:w="0" w:type="auto"/>
            <w:hideMark/>
          </w:tcPr>
          <w:p w14:paraId="7F20E1FC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22,2</w:t>
            </w:r>
          </w:p>
        </w:tc>
        <w:tc>
          <w:tcPr>
            <w:tcW w:w="0" w:type="auto"/>
            <w:hideMark/>
          </w:tcPr>
          <w:p w14:paraId="2B8A6D45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42,4</w:t>
            </w:r>
          </w:p>
        </w:tc>
        <w:tc>
          <w:tcPr>
            <w:tcW w:w="0" w:type="auto"/>
            <w:hideMark/>
          </w:tcPr>
          <w:p w14:paraId="788EB91E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55,4</w:t>
            </w:r>
          </w:p>
        </w:tc>
        <w:tc>
          <w:tcPr>
            <w:tcW w:w="0" w:type="auto"/>
            <w:hideMark/>
          </w:tcPr>
          <w:p w14:paraId="1660B7ED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57,6</w:t>
            </w:r>
          </w:p>
        </w:tc>
      </w:tr>
      <w:tr w:rsidR="00AD6036" w:rsidRPr="00AD6036" w14:paraId="2A752913" w14:textId="77777777" w:rsidTr="00AD6036">
        <w:trPr>
          <w:jc w:val="center"/>
        </w:trPr>
        <w:tc>
          <w:tcPr>
            <w:tcW w:w="0" w:type="auto"/>
            <w:hideMark/>
          </w:tcPr>
          <w:p w14:paraId="262BFF74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Темпы роста ВВП, %</w:t>
            </w:r>
          </w:p>
        </w:tc>
        <w:tc>
          <w:tcPr>
            <w:tcW w:w="0" w:type="auto"/>
            <w:hideMark/>
          </w:tcPr>
          <w:p w14:paraId="00F3DE3C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-6,6</w:t>
            </w:r>
          </w:p>
        </w:tc>
        <w:tc>
          <w:tcPr>
            <w:tcW w:w="0" w:type="auto"/>
            <w:hideMark/>
          </w:tcPr>
          <w:p w14:paraId="26A15627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7,1</w:t>
            </w:r>
          </w:p>
        </w:tc>
        <w:tc>
          <w:tcPr>
            <w:tcW w:w="0" w:type="auto"/>
            <w:hideMark/>
          </w:tcPr>
          <w:p w14:paraId="1672CC0C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0" w:type="auto"/>
            <w:hideMark/>
          </w:tcPr>
          <w:p w14:paraId="4D0A97FA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6,5</w:t>
            </w:r>
          </w:p>
        </w:tc>
      </w:tr>
      <w:tr w:rsidR="00AD6036" w:rsidRPr="00AD6036" w14:paraId="70BE2826" w14:textId="77777777" w:rsidTr="00AD6036">
        <w:trPr>
          <w:jc w:val="center"/>
        </w:trPr>
        <w:tc>
          <w:tcPr>
            <w:tcW w:w="0" w:type="auto"/>
            <w:hideMark/>
          </w:tcPr>
          <w:p w14:paraId="6BB59890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ВВП на душу населения, тыс. франков КФА</w:t>
            </w:r>
          </w:p>
        </w:tc>
        <w:tc>
          <w:tcPr>
            <w:tcW w:w="0" w:type="auto"/>
            <w:hideMark/>
          </w:tcPr>
          <w:p w14:paraId="30AAC446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817</w:t>
            </w:r>
          </w:p>
        </w:tc>
        <w:tc>
          <w:tcPr>
            <w:tcW w:w="0" w:type="auto"/>
            <w:hideMark/>
          </w:tcPr>
          <w:p w14:paraId="223883EE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1 556</w:t>
            </w:r>
          </w:p>
        </w:tc>
        <w:tc>
          <w:tcPr>
            <w:tcW w:w="0" w:type="auto"/>
            <w:hideMark/>
          </w:tcPr>
          <w:p w14:paraId="6D29F469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1 663</w:t>
            </w:r>
          </w:p>
        </w:tc>
        <w:tc>
          <w:tcPr>
            <w:tcW w:w="0" w:type="auto"/>
            <w:hideMark/>
          </w:tcPr>
          <w:p w14:paraId="7D924DC3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1 772</w:t>
            </w:r>
          </w:p>
        </w:tc>
      </w:tr>
      <w:tr w:rsidR="00AD6036" w:rsidRPr="00AD6036" w14:paraId="2FA6B4FD" w14:textId="77777777" w:rsidTr="00AD6036">
        <w:trPr>
          <w:jc w:val="center"/>
        </w:trPr>
        <w:tc>
          <w:tcPr>
            <w:tcW w:w="0" w:type="auto"/>
            <w:hideMark/>
          </w:tcPr>
          <w:p w14:paraId="4A1732D0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Инфляция, %</w:t>
            </w:r>
          </w:p>
        </w:tc>
        <w:tc>
          <w:tcPr>
            <w:tcW w:w="0" w:type="auto"/>
            <w:hideMark/>
          </w:tcPr>
          <w:p w14:paraId="77053CE3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4,9</w:t>
            </w:r>
          </w:p>
        </w:tc>
        <w:tc>
          <w:tcPr>
            <w:tcW w:w="0" w:type="auto"/>
            <w:hideMark/>
          </w:tcPr>
          <w:p w14:paraId="1EFDBCD0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0" w:type="auto"/>
            <w:hideMark/>
          </w:tcPr>
          <w:p w14:paraId="07414438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0" w:type="auto"/>
            <w:hideMark/>
          </w:tcPr>
          <w:p w14:paraId="6DE2C4D9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3,0</w:t>
            </w:r>
          </w:p>
        </w:tc>
      </w:tr>
      <w:tr w:rsidR="00AD6036" w:rsidRPr="00AD6036" w14:paraId="692524B0" w14:textId="77777777" w:rsidTr="00AD6036">
        <w:trPr>
          <w:jc w:val="center"/>
        </w:trPr>
        <w:tc>
          <w:tcPr>
            <w:tcW w:w="0" w:type="auto"/>
            <w:hideMark/>
          </w:tcPr>
          <w:p w14:paraId="297A2700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Инвестиции (% ВВП)</w:t>
            </w:r>
          </w:p>
        </w:tc>
        <w:tc>
          <w:tcPr>
            <w:tcW w:w="0" w:type="auto"/>
            <w:hideMark/>
          </w:tcPr>
          <w:p w14:paraId="4E3703B7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14,1</w:t>
            </w:r>
          </w:p>
        </w:tc>
        <w:tc>
          <w:tcPr>
            <w:tcW w:w="0" w:type="auto"/>
            <w:hideMark/>
          </w:tcPr>
          <w:p w14:paraId="2F965FB8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21,1</w:t>
            </w:r>
          </w:p>
        </w:tc>
        <w:tc>
          <w:tcPr>
            <w:tcW w:w="0" w:type="auto"/>
            <w:hideMark/>
          </w:tcPr>
          <w:p w14:paraId="36E2E053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23,1</w:t>
            </w:r>
          </w:p>
        </w:tc>
        <w:tc>
          <w:tcPr>
            <w:tcW w:w="0" w:type="auto"/>
            <w:hideMark/>
          </w:tcPr>
          <w:p w14:paraId="38C498C2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23,7</w:t>
            </w:r>
          </w:p>
        </w:tc>
      </w:tr>
      <w:tr w:rsidR="00AD6036" w:rsidRPr="00AD6036" w14:paraId="6F7224ED" w14:textId="77777777" w:rsidTr="00AD6036">
        <w:trPr>
          <w:jc w:val="center"/>
        </w:trPr>
        <w:tc>
          <w:tcPr>
            <w:tcW w:w="0" w:type="auto"/>
            <w:hideMark/>
          </w:tcPr>
          <w:p w14:paraId="50FD6873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Государственный долг (% ВВП)</w:t>
            </w:r>
          </w:p>
        </w:tc>
        <w:tc>
          <w:tcPr>
            <w:tcW w:w="0" w:type="auto"/>
            <w:hideMark/>
          </w:tcPr>
          <w:p w14:paraId="249CEEED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69,0</w:t>
            </w:r>
          </w:p>
        </w:tc>
        <w:tc>
          <w:tcPr>
            <w:tcW w:w="0" w:type="auto"/>
            <w:hideMark/>
          </w:tcPr>
          <w:p w14:paraId="3386CA32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61,0</w:t>
            </w:r>
          </w:p>
        </w:tc>
        <w:tc>
          <w:tcPr>
            <w:tcW w:w="0" w:type="auto"/>
            <w:hideMark/>
          </w:tcPr>
          <w:p w14:paraId="5507C0AC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59,5</w:t>
            </w:r>
          </w:p>
        </w:tc>
        <w:tc>
          <w:tcPr>
            <w:tcW w:w="0" w:type="auto"/>
            <w:hideMark/>
          </w:tcPr>
          <w:p w14:paraId="25775E87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57,0</w:t>
            </w:r>
          </w:p>
        </w:tc>
      </w:tr>
      <w:tr w:rsidR="00AD6036" w:rsidRPr="00AD6036" w14:paraId="351D526E" w14:textId="77777777" w:rsidTr="00AD6036">
        <w:trPr>
          <w:jc w:val="center"/>
        </w:trPr>
        <w:tc>
          <w:tcPr>
            <w:tcW w:w="0" w:type="auto"/>
            <w:hideMark/>
          </w:tcPr>
          <w:p w14:paraId="08FF87AB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Налоговое бремя (% ВВП)</w:t>
            </w:r>
          </w:p>
        </w:tc>
        <w:tc>
          <w:tcPr>
            <w:tcW w:w="0" w:type="auto"/>
            <w:hideMark/>
          </w:tcPr>
          <w:p w14:paraId="4E04706E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0" w:type="auto"/>
            <w:hideMark/>
          </w:tcPr>
          <w:p w14:paraId="1B5A067A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13,4</w:t>
            </w:r>
          </w:p>
        </w:tc>
        <w:tc>
          <w:tcPr>
            <w:tcW w:w="0" w:type="auto"/>
            <w:hideMark/>
          </w:tcPr>
          <w:p w14:paraId="67B739FA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13,8</w:t>
            </w:r>
          </w:p>
        </w:tc>
        <w:tc>
          <w:tcPr>
            <w:tcW w:w="0" w:type="auto"/>
            <w:hideMark/>
          </w:tcPr>
          <w:p w14:paraId="7B382CD8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15,0</w:t>
            </w:r>
          </w:p>
        </w:tc>
      </w:tr>
    </w:tbl>
    <w:p w14:paraId="40F01875" w14:textId="1607E7BE" w:rsidR="00AD6036" w:rsidRP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Прогнозные данные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D6036">
        <w:rPr>
          <w:rFonts w:ascii="Times New Roman" w:hAnsi="Times New Roman" w:cs="Times New Roman"/>
          <w:sz w:val="28"/>
          <w:szCs w:val="28"/>
        </w:rPr>
        <w:t>Источник: Министерство экономики и финансов (2025), Дирекция экономики и планирования [3]</w:t>
      </w:r>
    </w:p>
    <w:p w14:paraId="55E719D1" w14:textId="77777777" w:rsidR="00AD6036" w:rsidRPr="00AD6036" w:rsidRDefault="00AD6036" w:rsidP="00AD60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Важно отметить, что несмотря на впечатляющие макроэкономические результаты, экономика страны сохраняет зависимость от сырьевого экспорта: какао, нефть и каучук обеспечивают 45% экспортных поступлений [1]. Прибрежная зона, будучи центром переработки и экспорта этих товаров, особенно уязвима к колебаниям мировых цен.</w:t>
      </w:r>
    </w:p>
    <w:p w14:paraId="42764EBC" w14:textId="425C1CB9" w:rsidR="00AD6036" w:rsidRPr="00AD6036" w:rsidRDefault="00D73201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1.2.</w:t>
      </w:r>
      <w:r w:rsidR="00AD6036" w:rsidRPr="00AD6036">
        <w:rPr>
          <w:rFonts w:ascii="Times New Roman" w:hAnsi="Times New Roman" w:cs="Times New Roman"/>
          <w:b/>
          <w:bCs/>
          <w:sz w:val="28"/>
          <w:szCs w:val="28"/>
        </w:rPr>
        <w:t>3. Инфраструктурное развитие прибрежной зоны</w:t>
      </w:r>
    </w:p>
    <w:p w14:paraId="4FB74DE6" w14:textId="2BB20F11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Транспортная и энергетическая инфраструктура</w:t>
      </w:r>
    </w:p>
    <w:p w14:paraId="463454F5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 xml:space="preserve">Прибрежные регионы обладают наиболее развитой инфраструктурой страны. К 2024 г. завершено строительство 3207 км оптоволоконной сети Национальной магистрали высокоскоростной связи (RNHD), из которых 1840 км проходят по территории прибрежных дистриктов [3]. Порт Абиджана </w:t>
      </w:r>
      <w:r w:rsidRPr="00AD6036">
        <w:rPr>
          <w:rFonts w:ascii="Times New Roman" w:hAnsi="Times New Roman" w:cs="Times New Roman"/>
          <w:sz w:val="28"/>
          <w:szCs w:val="28"/>
        </w:rPr>
        <w:lastRenderedPageBreak/>
        <w:t xml:space="preserve">модернизирован с увеличением пропускной способности до 40 млн тонн грузов в год, а международный аэропорт Феликса 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Уфуэ-Буаньи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 xml:space="preserve"> обрабатывает 3,2 млн пассажиров ежегодно [3].</w:t>
      </w:r>
    </w:p>
    <w:p w14:paraId="60AC2420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В энергетическом секторе прибрежная зона обеспечена на 98% (против 42% в сельских районах внутренних регионов). Установленная мощность электрогенерации в прибрежных регионах достигает 1850 МВт, что составляет 72% от общего объема производства электроэнергии в стране [3].</w:t>
      </w:r>
    </w:p>
    <w:p w14:paraId="46F2D9C2" w14:textId="6392A165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Цифровая инфраструктура</w:t>
      </w:r>
    </w:p>
    <w:p w14:paraId="6D98C429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Цифровизация представляет собой приоритетное направление развития прибрежных территорий. По состоянию на 2024 г.:</w:t>
      </w:r>
    </w:p>
    <w:p w14:paraId="18AA4D30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Количество абонентов мобильной связи в прибрежных регионах достигло 14,8 млн (95% покрытия населения) [3].</w:t>
      </w:r>
    </w:p>
    <w:p w14:paraId="585FDA51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Количество абонентов мобильного интернета составило 12,3 млн человек (78% населения прибрежной зоны) [3].</w:t>
      </w:r>
    </w:p>
    <w:p w14:paraId="704731E2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Внедрение сервисов Mobile Money охватывает 89% взрослого населения прибрежных районов против 54% в среднем по стране [3].</w:t>
      </w:r>
    </w:p>
    <w:p w14:paraId="7651B0D8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Построено 263 общественных точки доступа к интернету (включая 232 муниципальных центра занятости и 31 региональное отделение Агентства по трудоустройству молодежи) [3].</w:t>
      </w:r>
    </w:p>
    <w:p w14:paraId="36FA5783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Таблица 3. Показатели цифровой инфраструктуры по регионам (2024)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37"/>
        <w:gridCol w:w="1662"/>
        <w:gridCol w:w="1713"/>
        <w:gridCol w:w="1333"/>
      </w:tblGrid>
      <w:tr w:rsidR="00AD6036" w:rsidRPr="00AD6036" w14:paraId="1F88C892" w14:textId="77777777" w:rsidTr="00D73201">
        <w:tc>
          <w:tcPr>
            <w:tcW w:w="0" w:type="auto"/>
            <w:hideMark/>
          </w:tcPr>
          <w:p w14:paraId="3CFC1EF9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1662" w:type="dxa"/>
            <w:hideMark/>
          </w:tcPr>
          <w:p w14:paraId="2F3CFCE4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Прибрежные регионы</w:t>
            </w:r>
          </w:p>
        </w:tc>
        <w:tc>
          <w:tcPr>
            <w:tcW w:w="1713" w:type="dxa"/>
            <w:hideMark/>
          </w:tcPr>
          <w:p w14:paraId="51BE86C7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Внутренние регионы</w:t>
            </w:r>
          </w:p>
        </w:tc>
        <w:tc>
          <w:tcPr>
            <w:tcW w:w="1333" w:type="dxa"/>
            <w:hideMark/>
          </w:tcPr>
          <w:p w14:paraId="154552DE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Средний по стране</w:t>
            </w:r>
          </w:p>
        </w:tc>
      </w:tr>
      <w:tr w:rsidR="00AD6036" w:rsidRPr="00AD6036" w14:paraId="61A1A695" w14:textId="77777777" w:rsidTr="00D73201">
        <w:tc>
          <w:tcPr>
            <w:tcW w:w="0" w:type="auto"/>
            <w:hideMark/>
          </w:tcPr>
          <w:p w14:paraId="5D834C2C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Покрытие 4G, % территории</w:t>
            </w:r>
          </w:p>
        </w:tc>
        <w:tc>
          <w:tcPr>
            <w:tcW w:w="1662" w:type="dxa"/>
            <w:hideMark/>
          </w:tcPr>
          <w:p w14:paraId="110E2A99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96,2</w:t>
            </w:r>
          </w:p>
        </w:tc>
        <w:tc>
          <w:tcPr>
            <w:tcW w:w="1713" w:type="dxa"/>
            <w:hideMark/>
          </w:tcPr>
          <w:p w14:paraId="6784F7A9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68,7</w:t>
            </w:r>
          </w:p>
        </w:tc>
        <w:tc>
          <w:tcPr>
            <w:tcW w:w="1333" w:type="dxa"/>
            <w:hideMark/>
          </w:tcPr>
          <w:p w14:paraId="731E048E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82,4</w:t>
            </w:r>
          </w:p>
        </w:tc>
      </w:tr>
      <w:tr w:rsidR="00AD6036" w:rsidRPr="00AD6036" w14:paraId="6A3F307D" w14:textId="77777777" w:rsidTr="00D73201">
        <w:tc>
          <w:tcPr>
            <w:tcW w:w="0" w:type="auto"/>
            <w:hideMark/>
          </w:tcPr>
          <w:p w14:paraId="11808AA8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Абоненты мобильного интернета на 100 жителей</w:t>
            </w:r>
          </w:p>
        </w:tc>
        <w:tc>
          <w:tcPr>
            <w:tcW w:w="1662" w:type="dxa"/>
            <w:hideMark/>
          </w:tcPr>
          <w:p w14:paraId="0B54116C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78,3</w:t>
            </w:r>
          </w:p>
        </w:tc>
        <w:tc>
          <w:tcPr>
            <w:tcW w:w="1713" w:type="dxa"/>
            <w:hideMark/>
          </w:tcPr>
          <w:p w14:paraId="332D0D2A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34,1</w:t>
            </w:r>
          </w:p>
        </w:tc>
        <w:tc>
          <w:tcPr>
            <w:tcW w:w="1333" w:type="dxa"/>
            <w:hideMark/>
          </w:tcPr>
          <w:p w14:paraId="625ECF2F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51,7</w:t>
            </w:r>
          </w:p>
        </w:tc>
      </w:tr>
      <w:tr w:rsidR="00AD6036" w:rsidRPr="00AD6036" w14:paraId="7D66A9F2" w14:textId="77777777" w:rsidTr="00D73201">
        <w:tc>
          <w:tcPr>
            <w:tcW w:w="0" w:type="auto"/>
            <w:hideMark/>
          </w:tcPr>
          <w:p w14:paraId="15341344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 xml:space="preserve">Проникновение </w:t>
            </w:r>
            <w:r w:rsidRPr="00AD6036">
              <w:rPr>
                <w:rFonts w:ascii="Times New Roman" w:hAnsi="Times New Roman" w:cs="Times New Roman"/>
                <w:i/>
                <w:iCs/>
              </w:rPr>
              <w:t>Mobile Money</w:t>
            </w:r>
            <w:r w:rsidRPr="00AD6036">
              <w:rPr>
                <w:rFonts w:ascii="Times New Roman" w:hAnsi="Times New Roman" w:cs="Times New Roman"/>
              </w:rPr>
              <w:t>, % взрослых</w:t>
            </w:r>
          </w:p>
        </w:tc>
        <w:tc>
          <w:tcPr>
            <w:tcW w:w="1662" w:type="dxa"/>
            <w:hideMark/>
          </w:tcPr>
          <w:p w14:paraId="09D3C1BE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89,0</w:t>
            </w:r>
          </w:p>
        </w:tc>
        <w:tc>
          <w:tcPr>
            <w:tcW w:w="1713" w:type="dxa"/>
            <w:hideMark/>
          </w:tcPr>
          <w:p w14:paraId="1BBC45AE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54,0</w:t>
            </w:r>
          </w:p>
        </w:tc>
        <w:tc>
          <w:tcPr>
            <w:tcW w:w="1333" w:type="dxa"/>
            <w:hideMark/>
          </w:tcPr>
          <w:p w14:paraId="20C9EBC5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67,5</w:t>
            </w:r>
          </w:p>
        </w:tc>
      </w:tr>
      <w:tr w:rsidR="00AD6036" w:rsidRPr="00AD6036" w14:paraId="0A3D9209" w14:textId="77777777" w:rsidTr="00D73201">
        <w:tc>
          <w:tcPr>
            <w:tcW w:w="0" w:type="auto"/>
            <w:hideMark/>
          </w:tcPr>
          <w:p w14:paraId="6692B0C2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Количество точек доступа к интернету на 100 тыс. жителей</w:t>
            </w:r>
          </w:p>
        </w:tc>
        <w:tc>
          <w:tcPr>
            <w:tcW w:w="1662" w:type="dxa"/>
            <w:hideMark/>
          </w:tcPr>
          <w:p w14:paraId="2493E875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4,2</w:t>
            </w:r>
          </w:p>
        </w:tc>
        <w:tc>
          <w:tcPr>
            <w:tcW w:w="1713" w:type="dxa"/>
            <w:hideMark/>
          </w:tcPr>
          <w:p w14:paraId="59498C25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1333" w:type="dxa"/>
            <w:hideMark/>
          </w:tcPr>
          <w:p w14:paraId="759257C2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2,3</w:t>
            </w:r>
          </w:p>
        </w:tc>
      </w:tr>
      <w:tr w:rsidR="00AD6036" w:rsidRPr="00AD6036" w14:paraId="6CB07900" w14:textId="77777777" w:rsidTr="00D73201">
        <w:tc>
          <w:tcPr>
            <w:tcW w:w="0" w:type="auto"/>
            <w:hideMark/>
          </w:tcPr>
          <w:p w14:paraId="77180DC0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Скорость мобильного интернета, Мбит/с</w:t>
            </w:r>
          </w:p>
        </w:tc>
        <w:tc>
          <w:tcPr>
            <w:tcW w:w="1662" w:type="dxa"/>
            <w:hideMark/>
          </w:tcPr>
          <w:p w14:paraId="70D47E93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28,4</w:t>
            </w:r>
          </w:p>
        </w:tc>
        <w:tc>
          <w:tcPr>
            <w:tcW w:w="1713" w:type="dxa"/>
            <w:hideMark/>
          </w:tcPr>
          <w:p w14:paraId="2308C91C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14,2</w:t>
            </w:r>
          </w:p>
        </w:tc>
        <w:tc>
          <w:tcPr>
            <w:tcW w:w="1333" w:type="dxa"/>
            <w:hideMark/>
          </w:tcPr>
          <w:p w14:paraId="23180CD1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19,8</w:t>
            </w:r>
          </w:p>
        </w:tc>
      </w:tr>
    </w:tbl>
    <w:p w14:paraId="43B75D61" w14:textId="6E7DC385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Источник: составлено по данным Министерства цифровизации и почты (2024) [3]</w:t>
      </w:r>
      <w:r w:rsidR="00D73201">
        <w:rPr>
          <w:rFonts w:ascii="Times New Roman" w:hAnsi="Times New Roman" w:cs="Times New Roman"/>
          <w:sz w:val="28"/>
          <w:szCs w:val="28"/>
        </w:rPr>
        <w:t xml:space="preserve">. </w:t>
      </w:r>
      <w:r w:rsidRPr="00AD6036">
        <w:rPr>
          <w:rFonts w:ascii="Times New Roman" w:hAnsi="Times New Roman" w:cs="Times New Roman"/>
          <w:sz w:val="28"/>
          <w:szCs w:val="28"/>
        </w:rPr>
        <w:t xml:space="preserve">Несмотря на прогресс, сохраняются значительные разрывы в качестве цифровой инфраструктуры даже внутри прибрежной зоны: в центральных районах Абиджана средняя скорость интернета достигает 45 </w:t>
      </w:r>
      <w:r w:rsidRPr="00AD6036">
        <w:rPr>
          <w:rFonts w:ascii="Times New Roman" w:hAnsi="Times New Roman" w:cs="Times New Roman"/>
          <w:sz w:val="28"/>
          <w:szCs w:val="28"/>
        </w:rPr>
        <w:lastRenderedPageBreak/>
        <w:t xml:space="preserve">Мбит/с, тогда как в периферийных прибрежных коммунах (Гранд-Лагун, 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Ассинье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>) этот показатель не превышает 12 Мбит/с [3].</w:t>
      </w:r>
    </w:p>
    <w:p w14:paraId="7213AFE9" w14:textId="6CB67860" w:rsidR="00AD6036" w:rsidRPr="00AD6036" w:rsidRDefault="00D73201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1.2.4</w:t>
      </w:r>
      <w:r w:rsidR="00AD6036" w:rsidRPr="00AD6036">
        <w:rPr>
          <w:rFonts w:ascii="Times New Roman" w:hAnsi="Times New Roman" w:cs="Times New Roman"/>
          <w:b/>
          <w:bCs/>
          <w:sz w:val="28"/>
          <w:szCs w:val="28"/>
        </w:rPr>
        <w:t>. Человеческий капитал и кадровый потенциал для цифровой трансформации</w:t>
      </w:r>
    </w:p>
    <w:p w14:paraId="7850692A" w14:textId="39BE8FC0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Образовательный уровень и цифровая грамотность</w:t>
      </w:r>
    </w:p>
    <w:p w14:paraId="3FDF6346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Ключевым фактором готовности к внедрению цифровых платформ является уровень человеческого капитала. В прибрежных регионах наблюдается заметное преимущество по образовательным показателям:</w:t>
      </w:r>
    </w:p>
    <w:p w14:paraId="77F0475F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Доля населения с высшим образованием составляет 24,7% против 8,3% в среднем по стране [5].</w:t>
      </w:r>
    </w:p>
    <w:p w14:paraId="57EF0AA3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Уровень грамотности молодежи (15–24 года) достигает 79,3% в прибрежных регионах против 66,8% в целом по стране [1].</w:t>
      </w:r>
    </w:p>
    <w:p w14:paraId="0877E443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Доступ к цифровому образованию: 68% школ в прибрежных районах оснащены компьютерными классами против 23% в сельских районах внутренних регионов [5].</w:t>
      </w:r>
    </w:p>
    <w:p w14:paraId="7A7C9808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Однако существуют структурные дисбалансы. Несмотря на высокий общий уровень образования, наблюдается дефицит специалистов в области информационных технологий. По оценкам Министерства профессиональной подготовки, ежегодная потребность экономики в ИТ-специалистах составляет 15 000 человек, тогда как выпуск профильных вузов и колледжей не превышает 4 200 человек в год [3]. Особенно остро ощущается нехватка специалистов по кибербезопасности, анализу данных и разработке программного обеспечения.</w:t>
      </w:r>
    </w:p>
    <w:p w14:paraId="18E165DE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Таблица 4. Кадровый потенциал в сфере ИКТ (2024)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52"/>
        <w:gridCol w:w="1774"/>
        <w:gridCol w:w="1703"/>
        <w:gridCol w:w="1193"/>
      </w:tblGrid>
      <w:tr w:rsidR="00AD6036" w:rsidRPr="00AD6036" w14:paraId="146739D9" w14:textId="77777777" w:rsidTr="00D73201">
        <w:tc>
          <w:tcPr>
            <w:tcW w:w="0" w:type="auto"/>
            <w:hideMark/>
          </w:tcPr>
          <w:p w14:paraId="1A0DABF9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Категория специалистов</w:t>
            </w:r>
          </w:p>
        </w:tc>
        <w:tc>
          <w:tcPr>
            <w:tcW w:w="1774" w:type="dxa"/>
            <w:hideMark/>
          </w:tcPr>
          <w:p w14:paraId="198B3D63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Требуемое количество в год</w:t>
            </w:r>
          </w:p>
        </w:tc>
        <w:tc>
          <w:tcPr>
            <w:tcW w:w="1699" w:type="dxa"/>
            <w:hideMark/>
          </w:tcPr>
          <w:p w14:paraId="0DBEAED9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Фактический выпуск</w:t>
            </w:r>
          </w:p>
        </w:tc>
        <w:tc>
          <w:tcPr>
            <w:tcW w:w="0" w:type="auto"/>
            <w:hideMark/>
          </w:tcPr>
          <w:p w14:paraId="674670EE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Дефицит</w:t>
            </w:r>
          </w:p>
        </w:tc>
      </w:tr>
      <w:tr w:rsidR="00AD6036" w:rsidRPr="00AD6036" w14:paraId="123B031C" w14:textId="77777777" w:rsidTr="00D73201">
        <w:tc>
          <w:tcPr>
            <w:tcW w:w="0" w:type="auto"/>
            <w:hideMark/>
          </w:tcPr>
          <w:p w14:paraId="5722F613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Программисты/разработчики</w:t>
            </w:r>
          </w:p>
        </w:tc>
        <w:tc>
          <w:tcPr>
            <w:tcW w:w="1774" w:type="dxa"/>
            <w:hideMark/>
          </w:tcPr>
          <w:p w14:paraId="7347123D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6 500</w:t>
            </w:r>
          </w:p>
        </w:tc>
        <w:tc>
          <w:tcPr>
            <w:tcW w:w="1699" w:type="dxa"/>
            <w:hideMark/>
          </w:tcPr>
          <w:p w14:paraId="0893981D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1 800</w:t>
            </w:r>
          </w:p>
        </w:tc>
        <w:tc>
          <w:tcPr>
            <w:tcW w:w="0" w:type="auto"/>
            <w:hideMark/>
          </w:tcPr>
          <w:p w14:paraId="213F3E05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4 700</w:t>
            </w:r>
          </w:p>
        </w:tc>
      </w:tr>
      <w:tr w:rsidR="00AD6036" w:rsidRPr="00AD6036" w14:paraId="15561056" w14:textId="77777777" w:rsidTr="00D73201">
        <w:tc>
          <w:tcPr>
            <w:tcW w:w="0" w:type="auto"/>
            <w:hideMark/>
          </w:tcPr>
          <w:p w14:paraId="7CF312F9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Специалисты по кибербезопасности</w:t>
            </w:r>
          </w:p>
        </w:tc>
        <w:tc>
          <w:tcPr>
            <w:tcW w:w="1774" w:type="dxa"/>
            <w:hideMark/>
          </w:tcPr>
          <w:p w14:paraId="142BD771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2 800</w:t>
            </w:r>
          </w:p>
        </w:tc>
        <w:tc>
          <w:tcPr>
            <w:tcW w:w="1699" w:type="dxa"/>
            <w:hideMark/>
          </w:tcPr>
          <w:p w14:paraId="70F4BCA0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0" w:type="auto"/>
            <w:hideMark/>
          </w:tcPr>
          <w:p w14:paraId="77F53743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2 350</w:t>
            </w:r>
          </w:p>
        </w:tc>
      </w:tr>
      <w:tr w:rsidR="00AD6036" w:rsidRPr="00AD6036" w14:paraId="19B48475" w14:textId="77777777" w:rsidTr="00D73201">
        <w:tc>
          <w:tcPr>
            <w:tcW w:w="0" w:type="auto"/>
            <w:hideMark/>
          </w:tcPr>
          <w:p w14:paraId="21BD649F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Аналитики данных</w:t>
            </w:r>
          </w:p>
        </w:tc>
        <w:tc>
          <w:tcPr>
            <w:tcW w:w="1774" w:type="dxa"/>
            <w:hideMark/>
          </w:tcPr>
          <w:p w14:paraId="79C9F622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3 200</w:t>
            </w:r>
          </w:p>
        </w:tc>
        <w:tc>
          <w:tcPr>
            <w:tcW w:w="1699" w:type="dxa"/>
            <w:hideMark/>
          </w:tcPr>
          <w:p w14:paraId="53F47667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950</w:t>
            </w:r>
          </w:p>
        </w:tc>
        <w:tc>
          <w:tcPr>
            <w:tcW w:w="0" w:type="auto"/>
            <w:hideMark/>
          </w:tcPr>
          <w:p w14:paraId="646F3797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2 250</w:t>
            </w:r>
          </w:p>
        </w:tc>
      </w:tr>
      <w:tr w:rsidR="00AD6036" w:rsidRPr="00AD6036" w14:paraId="17891F5E" w14:textId="77777777" w:rsidTr="00D73201">
        <w:tc>
          <w:tcPr>
            <w:tcW w:w="0" w:type="auto"/>
            <w:hideMark/>
          </w:tcPr>
          <w:p w14:paraId="3D4A45DC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Специалисты по цифровому маркетингу</w:t>
            </w:r>
          </w:p>
        </w:tc>
        <w:tc>
          <w:tcPr>
            <w:tcW w:w="1774" w:type="dxa"/>
            <w:hideMark/>
          </w:tcPr>
          <w:p w14:paraId="6566DC17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2 500</w:t>
            </w:r>
          </w:p>
        </w:tc>
        <w:tc>
          <w:tcPr>
            <w:tcW w:w="1699" w:type="dxa"/>
            <w:hideMark/>
          </w:tcPr>
          <w:p w14:paraId="36165006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1 000</w:t>
            </w:r>
          </w:p>
        </w:tc>
        <w:tc>
          <w:tcPr>
            <w:tcW w:w="0" w:type="auto"/>
            <w:hideMark/>
          </w:tcPr>
          <w:p w14:paraId="1108BEB7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1 500</w:t>
            </w:r>
          </w:p>
        </w:tc>
      </w:tr>
      <w:tr w:rsidR="00AD6036" w:rsidRPr="00AD6036" w14:paraId="01057D5B" w14:textId="77777777" w:rsidTr="00D73201">
        <w:tc>
          <w:tcPr>
            <w:tcW w:w="0" w:type="auto"/>
            <w:hideMark/>
          </w:tcPr>
          <w:p w14:paraId="0285050F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Итого</w:t>
            </w:r>
          </w:p>
        </w:tc>
        <w:tc>
          <w:tcPr>
            <w:tcW w:w="1774" w:type="dxa"/>
            <w:hideMark/>
          </w:tcPr>
          <w:p w14:paraId="441FD4DC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15 000</w:t>
            </w:r>
          </w:p>
        </w:tc>
        <w:tc>
          <w:tcPr>
            <w:tcW w:w="1699" w:type="dxa"/>
            <w:hideMark/>
          </w:tcPr>
          <w:p w14:paraId="1435CF8C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4 200</w:t>
            </w:r>
          </w:p>
        </w:tc>
        <w:tc>
          <w:tcPr>
            <w:tcW w:w="0" w:type="auto"/>
            <w:hideMark/>
          </w:tcPr>
          <w:p w14:paraId="6F67ED3F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10 800</w:t>
            </w:r>
          </w:p>
        </w:tc>
      </w:tr>
    </w:tbl>
    <w:p w14:paraId="4AA6BC16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Источник: Агентство национальной профессиональной подготовки (AGEFOP), 2024 [3]</w:t>
      </w:r>
    </w:p>
    <w:p w14:paraId="798A8263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lastRenderedPageBreak/>
        <w:t>Важным ресурсом для цифровой трансформации является молодежь: 62% населения прибрежных регионов моложе 25 лет [5]. Эта демографическая группа демонстрирует высокую адаптивность к цифровым технологиям, однако требует целенаправленной подготовки для перехода от потребления цифровых сервисов к их созданию и управлению.</w:t>
      </w:r>
    </w:p>
    <w:p w14:paraId="51B918EF" w14:textId="7C7CAAC1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Гендерный аспект цифровой грамотности</w:t>
      </w:r>
    </w:p>
    <w:p w14:paraId="44FE6429" w14:textId="77777777" w:rsidR="00AD6036" w:rsidRPr="00D73201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Гендерный разрыв в доступе к цифровым технологиям остается существенным вызовом. В прибрежных регионах доля женщин среди пользователей интернета составляет 41%, тогда как среди мужчин — 63% [2]. В секторе ИКТ доля женщин-специалистов не превышает 18% [2]. Это ограничивает потенциал цифровой инклюзии и снижает эффективность цифровых платформ, ориентированных на широкие слои населения.</w:t>
      </w:r>
    </w:p>
    <w:p w14:paraId="4FCD8A73" w14:textId="77777777" w:rsidR="00D73201" w:rsidRPr="00AD6036" w:rsidRDefault="00D73201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BDCC2A" w14:textId="3A28DF41" w:rsidR="00AD6036" w:rsidRPr="00AD6036" w:rsidRDefault="00D73201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1.2.</w:t>
      </w:r>
      <w:r w:rsidR="00AD6036" w:rsidRPr="00AD6036">
        <w:rPr>
          <w:rFonts w:ascii="Times New Roman" w:hAnsi="Times New Roman" w:cs="Times New Roman"/>
          <w:b/>
          <w:bCs/>
          <w:sz w:val="28"/>
          <w:szCs w:val="28"/>
        </w:rPr>
        <w:t>5. Готовность к внедрению цифровых платформ: анализ проекта «Берег Восхода»</w:t>
      </w:r>
    </w:p>
    <w:p w14:paraId="784E3D0C" w14:textId="601CF0E3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Концептуальные основы стратегии цифровой трансформации</w:t>
      </w:r>
    </w:p>
    <w:p w14:paraId="6C88F4BC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В документах стратегического планирования Кот-д'Ивуара (План национального развития 2021–2025, Национальная стратегия развития цифровых технологий 2021) не содержится проекта с названием «Берег Восхода» в буквальном переводе. Вероятно, запрос касается концепции «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Côte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d'Émergence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 xml:space="preserve">» («Прибрежная зона как локомотив 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эмерджанса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>») — элемента национальной стратегии достижения статуса страны со средним уровнем дохода к 2030 году [3, 4].</w:t>
      </w:r>
    </w:p>
    <w:p w14:paraId="5D21C868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В рамках этой концепции прибрежная зона рассматривается как пилотный регион для внедрения цифровых платформ в следующих сферах:</w:t>
      </w:r>
    </w:p>
    <w:p w14:paraId="74121E36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Электронное правительство: к 2025 г. планируется оцифровать 400 административных процедур, 85% из которых уже реализованы в прибрежных регионах [3].</w:t>
      </w:r>
    </w:p>
    <w:p w14:paraId="761DF50D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lastRenderedPageBreak/>
        <w:t>Цифровые финансовые сервисы: платформы Mobile Money обрабатывают транзакции на сумму 48% ВВП страны, при этом 76% операций приходится на прибрежные территории [3].</w:t>
      </w:r>
    </w:p>
    <w:p w14:paraId="764EE23D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 xml:space="preserve">Умные города: в Абиджане реализуется пилотный проект «Умный город» с внедрением систем управления трафиком, освещением и коммунальными услугами на базе 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>-технологий [3].</w:t>
      </w:r>
    </w:p>
    <w:p w14:paraId="4B4A3B5D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Цифровое здравоохранение: телемедицина охватывает 42% медицинских учреждений прибрежных регионов [3].</w:t>
      </w:r>
    </w:p>
    <w:p w14:paraId="79D44CB4" w14:textId="55CE32EC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Оценка готовности инфраструктуры и кадрового потенциала</w:t>
      </w:r>
    </w:p>
    <w:p w14:paraId="608F8123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На основе анализа доступных данных можно выделить следующие уровни готовности прибрежной зоны к масштабному внедрению цифровых платформ:</w:t>
      </w:r>
    </w:p>
    <w:p w14:paraId="7C59FD58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Инфраструктурная готовность: высокая (оценка 8/10). Развитая оптоволоконная сеть, высокое покрытие 4G/5G, наличие дата-центров (национальный дата-центр в Абиджане) создают техническую основу для цифровых платформ [3].</w:t>
      </w:r>
    </w:p>
    <w:p w14:paraId="23590CCF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Кадровая готовность: средняя (оценка 5/10). Несмотря на наличие образованной молодежи, наблюдается структурный дефицит специалистов в ключевых ИТ-направлениях (см. табл. 4). Требуется масштабная программа переподготовки и привлечения иностранных экспертов на начальном этапе [3].</w:t>
      </w:r>
    </w:p>
    <w:p w14:paraId="2A4D3426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Институциональная готовность: средняя (оценка 6/10). Созданы необходимые регуляторные органы (Национальное агентство по информационным технологиям и электронным коммуникациям — ANRTIC), однако правовая база для защиты данных и регулирования цифровых платформ требует совершенствования [3].</w:t>
      </w:r>
    </w:p>
    <w:p w14:paraId="6ED64C33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 xml:space="preserve">Социальная готовность: средняя (оценка 6/10). Высокий уровень проникновения мобильных технологий сочетается с низкой </w:t>
      </w:r>
      <w:r w:rsidRPr="00AD6036">
        <w:rPr>
          <w:rFonts w:ascii="Times New Roman" w:hAnsi="Times New Roman" w:cs="Times New Roman"/>
          <w:sz w:val="28"/>
          <w:szCs w:val="28"/>
        </w:rPr>
        <w:lastRenderedPageBreak/>
        <w:t>цифровой грамотностью среди взрослого населения (особенно старше 45 лет) и значительным гендерным разрывом [2].</w:t>
      </w:r>
    </w:p>
    <w:p w14:paraId="2E363BC9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Таблица 5. Матрица готовности прибрежной зоны Кот-д'Ивуара к внедрению цифровых платформ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8"/>
        <w:gridCol w:w="1133"/>
        <w:gridCol w:w="3109"/>
        <w:gridCol w:w="2835"/>
      </w:tblGrid>
      <w:tr w:rsidR="00D73201" w:rsidRPr="00AD6036" w14:paraId="537CCDAB" w14:textId="77777777" w:rsidTr="00D73201">
        <w:tc>
          <w:tcPr>
            <w:tcW w:w="2268" w:type="dxa"/>
            <w:hideMark/>
          </w:tcPr>
          <w:p w14:paraId="71A06037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Критерий готовности</w:t>
            </w:r>
          </w:p>
        </w:tc>
        <w:tc>
          <w:tcPr>
            <w:tcW w:w="0" w:type="auto"/>
            <w:hideMark/>
          </w:tcPr>
          <w:p w14:paraId="309801C9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Оценка (0–10)</w:t>
            </w:r>
          </w:p>
        </w:tc>
        <w:tc>
          <w:tcPr>
            <w:tcW w:w="0" w:type="auto"/>
            <w:hideMark/>
          </w:tcPr>
          <w:p w14:paraId="528953C2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Сильные стороны</w:t>
            </w:r>
          </w:p>
        </w:tc>
        <w:tc>
          <w:tcPr>
            <w:tcW w:w="2830" w:type="dxa"/>
            <w:hideMark/>
          </w:tcPr>
          <w:p w14:paraId="795F2E36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Слабые стороны</w:t>
            </w:r>
          </w:p>
        </w:tc>
      </w:tr>
      <w:tr w:rsidR="00D73201" w:rsidRPr="00AD6036" w14:paraId="7B9D09F9" w14:textId="77777777" w:rsidTr="00D73201">
        <w:tc>
          <w:tcPr>
            <w:tcW w:w="2268" w:type="dxa"/>
            <w:hideMark/>
          </w:tcPr>
          <w:p w14:paraId="75EB034B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Инфраструктурная база</w:t>
            </w:r>
          </w:p>
        </w:tc>
        <w:tc>
          <w:tcPr>
            <w:tcW w:w="0" w:type="auto"/>
            <w:hideMark/>
          </w:tcPr>
          <w:p w14:paraId="53EA3CD8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C2D1A2F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Развитая оптоволоконная сеть, высокое покрытие 4G/5G, наличие дата-центров</w:t>
            </w:r>
          </w:p>
        </w:tc>
        <w:tc>
          <w:tcPr>
            <w:tcW w:w="2830" w:type="dxa"/>
            <w:hideMark/>
          </w:tcPr>
          <w:p w14:paraId="4952769C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Неравномерное качество связи в периферийных прибрежных районах</w:t>
            </w:r>
          </w:p>
        </w:tc>
      </w:tr>
      <w:tr w:rsidR="00D73201" w:rsidRPr="00AD6036" w14:paraId="3A57266F" w14:textId="77777777" w:rsidTr="00D73201">
        <w:tc>
          <w:tcPr>
            <w:tcW w:w="2268" w:type="dxa"/>
            <w:hideMark/>
          </w:tcPr>
          <w:p w14:paraId="5294845A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Кадровый потенциал</w:t>
            </w:r>
          </w:p>
        </w:tc>
        <w:tc>
          <w:tcPr>
            <w:tcW w:w="0" w:type="auto"/>
            <w:hideMark/>
          </w:tcPr>
          <w:p w14:paraId="26A643F1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38946D2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Высокий уровень образования молодежи, динамичный рынок труда</w:t>
            </w:r>
          </w:p>
        </w:tc>
        <w:tc>
          <w:tcPr>
            <w:tcW w:w="2830" w:type="dxa"/>
            <w:hideMark/>
          </w:tcPr>
          <w:p w14:paraId="546ED110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Дефицит узкоспециализированных ИТ-кадров, низкая доля женщин в ИТ</w:t>
            </w:r>
          </w:p>
        </w:tc>
      </w:tr>
      <w:tr w:rsidR="00D73201" w:rsidRPr="00AD6036" w14:paraId="2C353E61" w14:textId="77777777" w:rsidTr="00D73201">
        <w:tc>
          <w:tcPr>
            <w:tcW w:w="2268" w:type="dxa"/>
            <w:hideMark/>
          </w:tcPr>
          <w:p w14:paraId="3C6A3F13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Институциональная среда</w:t>
            </w:r>
          </w:p>
        </w:tc>
        <w:tc>
          <w:tcPr>
            <w:tcW w:w="0" w:type="auto"/>
            <w:hideMark/>
          </w:tcPr>
          <w:p w14:paraId="53029212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4AA9209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Созданы профильные регуляторы, принят ряд стратегических документов</w:t>
            </w:r>
          </w:p>
        </w:tc>
        <w:tc>
          <w:tcPr>
            <w:tcW w:w="2830" w:type="dxa"/>
            <w:hideMark/>
          </w:tcPr>
          <w:p w14:paraId="3EB12069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Недостаточная правовая база для защиты данных, слабая межведомственная координация</w:t>
            </w:r>
          </w:p>
        </w:tc>
      </w:tr>
      <w:tr w:rsidR="00D73201" w:rsidRPr="00AD6036" w14:paraId="384944D3" w14:textId="77777777" w:rsidTr="00D73201">
        <w:tc>
          <w:tcPr>
            <w:tcW w:w="2268" w:type="dxa"/>
            <w:hideMark/>
          </w:tcPr>
          <w:p w14:paraId="11A6C7BD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46494F7D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57B403C" w14:textId="588EEA78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Высокая проникнов</w:t>
            </w:r>
            <w:r w:rsidR="00D73201">
              <w:rPr>
                <w:rFonts w:ascii="Times New Roman" w:hAnsi="Times New Roman" w:cs="Times New Roman"/>
              </w:rPr>
              <w:t>енн</w:t>
            </w:r>
            <w:r w:rsidRPr="00AD6036">
              <w:rPr>
                <w:rFonts w:ascii="Times New Roman" w:hAnsi="Times New Roman" w:cs="Times New Roman"/>
              </w:rPr>
              <w:t xml:space="preserve">ость мобильных технологий, активное использование </w:t>
            </w:r>
            <w:r w:rsidRPr="00AD6036">
              <w:rPr>
                <w:rFonts w:ascii="Times New Roman" w:hAnsi="Times New Roman" w:cs="Times New Roman"/>
                <w:i/>
                <w:iCs/>
              </w:rPr>
              <w:t>Mobile Money</w:t>
            </w:r>
          </w:p>
        </w:tc>
        <w:tc>
          <w:tcPr>
            <w:tcW w:w="2830" w:type="dxa"/>
            <w:hideMark/>
          </w:tcPr>
          <w:p w14:paraId="645BFEC2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Низкая цифровая грамотность взрослого населения, гендерный разрыв</w:t>
            </w:r>
          </w:p>
        </w:tc>
      </w:tr>
      <w:tr w:rsidR="00D73201" w:rsidRPr="00AD6036" w14:paraId="58CB93E2" w14:textId="77777777" w:rsidTr="00D73201">
        <w:tc>
          <w:tcPr>
            <w:tcW w:w="2268" w:type="dxa"/>
            <w:hideMark/>
          </w:tcPr>
          <w:p w14:paraId="6DE21F27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Финансовая устойчивость</w:t>
            </w:r>
          </w:p>
        </w:tc>
        <w:tc>
          <w:tcPr>
            <w:tcW w:w="0" w:type="auto"/>
            <w:hideMark/>
          </w:tcPr>
          <w:p w14:paraId="16D20678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124EE145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Растущие инвестиции в ИКТ (4–5% ВВП), участие частного сектора</w:t>
            </w:r>
          </w:p>
        </w:tc>
        <w:tc>
          <w:tcPr>
            <w:tcW w:w="2830" w:type="dxa"/>
            <w:hideMark/>
          </w:tcPr>
          <w:p w14:paraId="7724C5F7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Зависимость от внешнего финансирования, ограниченные бюджетные ресурсы на поддержку</w:t>
            </w:r>
          </w:p>
        </w:tc>
      </w:tr>
    </w:tbl>
    <w:p w14:paraId="14F52862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Источник: составлено автором на основе анализа документов [1, 3, 5]</w:t>
      </w:r>
    </w:p>
    <w:p w14:paraId="5398E352" w14:textId="783686AE" w:rsidR="00AD6036" w:rsidRPr="00AD6036" w:rsidRDefault="00D73201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1.2.</w:t>
      </w:r>
      <w:r w:rsidR="00AD6036" w:rsidRPr="00AD6036">
        <w:rPr>
          <w:rFonts w:ascii="Times New Roman" w:hAnsi="Times New Roman" w:cs="Times New Roman"/>
          <w:b/>
          <w:bCs/>
          <w:sz w:val="28"/>
          <w:szCs w:val="28"/>
        </w:rPr>
        <w:t>6. Ключевые риски внедрения цифровых платформ в прибрежной зоне</w:t>
      </w:r>
    </w:p>
    <w:p w14:paraId="2B5597DB" w14:textId="1A948C0C" w:rsid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Технологические и кибербезопасность</w:t>
      </w:r>
    </w:p>
    <w:p w14:paraId="138B3AF4" w14:textId="0849489A" w:rsidR="00D73201" w:rsidRPr="00AD6036" w:rsidRDefault="00D73201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201">
        <w:rPr>
          <w:rFonts w:ascii="Times New Roman" w:hAnsi="Times New Roman" w:cs="Times New Roman"/>
          <w:sz w:val="28"/>
          <w:szCs w:val="28"/>
        </w:rPr>
        <w:t>На основе анализа доступных данных</w:t>
      </w:r>
      <w:r>
        <w:rPr>
          <w:rFonts w:ascii="Times New Roman" w:hAnsi="Times New Roman" w:cs="Times New Roman"/>
          <w:sz w:val="28"/>
          <w:szCs w:val="28"/>
        </w:rPr>
        <w:t xml:space="preserve"> ЦУР (центра управления развитием – республики)</w:t>
      </w:r>
      <w:r w:rsidRPr="00D73201">
        <w:rPr>
          <w:rFonts w:ascii="Times New Roman" w:hAnsi="Times New Roman" w:cs="Times New Roman"/>
          <w:sz w:val="28"/>
          <w:szCs w:val="28"/>
        </w:rPr>
        <w:t xml:space="preserve"> можно выделить следующие </w:t>
      </w:r>
      <w:r>
        <w:rPr>
          <w:rFonts w:ascii="Times New Roman" w:hAnsi="Times New Roman" w:cs="Times New Roman"/>
          <w:sz w:val="28"/>
          <w:szCs w:val="28"/>
        </w:rPr>
        <w:t>типы угроз:</w:t>
      </w:r>
    </w:p>
    <w:p w14:paraId="0DAF88F3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Уязвимость кибератакам: по данным Национального агентства по кибербезопасности, количество зафиксированных кибератак на критическую инфраструктуру прибрежных регионов выросло на 67% в 2023–2024 гг. [3]. Отсутствие специалистов по кибербезопасности (дефицит 84%) создает серьезные риски для функционирования цифровых платформ.</w:t>
      </w:r>
    </w:p>
    <w:p w14:paraId="22258455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lastRenderedPageBreak/>
        <w:t>Зависимость от иностранных технологий: более 90% программного обеспечения и оборудования для цифровой инфраструктуры импортируется, что создает риски технологической зависимости и перебоев в поставках [4].</w:t>
      </w:r>
    </w:p>
    <w:p w14:paraId="1452713F" w14:textId="7EE31E4D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Социально-экономические риски</w:t>
      </w:r>
    </w:p>
    <w:p w14:paraId="39CF327D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Цифровое неравенство: несмотря на общую высокую проникновенность технологий, в прибрежной зоне сохраняются «цифровые пустыни» — бедные кварталы (например, Якопо в Абиджане), где доступ к интернету имеют менее 30% жителей [5]. Массовое внедрение цифровых платформ без учета этого фактора может усилить социальное расслоение.</w:t>
      </w:r>
    </w:p>
    <w:p w14:paraId="5CD0AC84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Потеря рабочих мест: автоматизация административных и логистических процессов может привести к сокращению до 120 000 рабочих мест в прибрежных регионах к 2030 г., особенно среди работников с низкой квалификацией [4].</w:t>
      </w:r>
    </w:p>
    <w:p w14:paraId="4C772C41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Гендерная маргинализация: при сохранении текущих тенденций женщины могут быть вытеснены из формального сектора экономики в результате цифровой трансформации, так как их доля в секторе ИКТ остается низкой [2].</w:t>
      </w:r>
    </w:p>
    <w:p w14:paraId="12E98D76" w14:textId="5838E305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Институциональные и правовые риски</w:t>
      </w:r>
    </w:p>
    <w:p w14:paraId="24E4A529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Слабость регуляторной базы: отсутствие полноценного законодательства о защите персональных данных (проект закона находится на рассмотрении с 2022 г.) создает риски для конфиденциальности пользователей цифровых платформ [3].</w:t>
      </w:r>
    </w:p>
    <w:p w14:paraId="72A0DFB2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Коррупция и неэффективность управления: по индексу восприятия коррупции Transparency International (2024), Кот-д'Ивуар занимает 110-е место из 180 стран. Коррупционные практики могут подорвать эффективность распределения ресурсов на цифровые проекты [1].</w:t>
      </w:r>
    </w:p>
    <w:p w14:paraId="20B2ACA6" w14:textId="77777777" w:rsidR="00AD6036" w:rsidRPr="00AD6036" w:rsidRDefault="00AD6036" w:rsidP="00D73201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lastRenderedPageBreak/>
        <w:t>Политическая нестабильность: несмотря на улучшение ситуации после 2011 г., риск возобновления политических кризисов сохраняется и может привести к срыву долгосрочных цифровых проектов [4].</w:t>
      </w:r>
    </w:p>
    <w:p w14:paraId="01960EE3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Таблица 6. Матрица рисков внедрения цифровых платформ в прибрежной зоне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39"/>
        <w:gridCol w:w="1589"/>
        <w:gridCol w:w="1554"/>
        <w:gridCol w:w="2263"/>
      </w:tblGrid>
      <w:tr w:rsidR="00AD6036" w:rsidRPr="00AD6036" w14:paraId="6AA66B56" w14:textId="77777777" w:rsidTr="00A643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5BEE1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Риск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6138A237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Вероятность</w:t>
            </w:r>
          </w:p>
        </w:tc>
        <w:tc>
          <w:tcPr>
            <w:tcW w:w="0" w:type="auto"/>
            <w:hideMark/>
          </w:tcPr>
          <w:p w14:paraId="54B413B0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Воздействие</w:t>
            </w:r>
          </w:p>
        </w:tc>
        <w:tc>
          <w:tcPr>
            <w:tcW w:w="0" w:type="auto"/>
            <w:hideMark/>
          </w:tcPr>
          <w:p w14:paraId="1B641C82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6036">
              <w:rPr>
                <w:rFonts w:ascii="Times New Roman" w:hAnsi="Times New Roman" w:cs="Times New Roman"/>
                <w:b/>
                <w:bCs/>
              </w:rPr>
              <w:t>Уровень критичности</w:t>
            </w:r>
          </w:p>
        </w:tc>
      </w:tr>
      <w:tr w:rsidR="00AD6036" w:rsidRPr="00AD6036" w14:paraId="670022F3" w14:textId="77777777" w:rsidTr="00A643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0A05B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Кибератаки на критическую инфраструктуру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4C47BEE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0D32E21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Критическое</w:t>
            </w:r>
          </w:p>
        </w:tc>
        <w:tc>
          <w:tcPr>
            <w:tcW w:w="0" w:type="auto"/>
            <w:vAlign w:val="center"/>
            <w:hideMark/>
          </w:tcPr>
          <w:p w14:paraId="709D8B91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Критический</w:t>
            </w:r>
          </w:p>
        </w:tc>
      </w:tr>
      <w:tr w:rsidR="00AD6036" w:rsidRPr="00AD6036" w14:paraId="5765A44D" w14:textId="77777777" w:rsidTr="00A64379">
        <w:trPr>
          <w:trHeight w:val="48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9A610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Усиление цифрового неравенства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37468DD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43E7B0D7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2A77F7AE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AD6036" w:rsidRPr="00AD6036" w14:paraId="3E056DC2" w14:textId="77777777" w:rsidTr="00A643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D12DC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Потеря рабочих мест в традиционных секторах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AA9698D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04301CA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55A88BBB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AD6036" w:rsidRPr="00AD6036" w14:paraId="68ACC97C" w14:textId="77777777" w:rsidTr="00A643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89BC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Утечка персональных данных пользователей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9C0DE78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37236E19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65437A04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AD6036" w:rsidRPr="00AD6036" w14:paraId="208A5233" w14:textId="77777777" w:rsidTr="00A643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A98AD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Зависимость от иностранных технологий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C7FFDA3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3532396C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62D1AA97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AD6036" w:rsidRPr="00AD6036" w14:paraId="1F89DFF2" w14:textId="77777777" w:rsidTr="00A643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04537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Коррупция при распределении ресурсов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4EC5540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98F6546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5D2CECEB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AD6036" w:rsidRPr="00AD6036" w14:paraId="2733EE9C" w14:textId="77777777" w:rsidTr="00A64379">
        <w:trPr>
          <w:trHeight w:val="4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101F6" w14:textId="77777777" w:rsidR="00AD6036" w:rsidRPr="00AD6036" w:rsidRDefault="00AD6036" w:rsidP="00AD6036">
            <w:pPr>
              <w:jc w:val="both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Политическая нестабильность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F94F2F0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0038C05A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Критическое</w:t>
            </w:r>
          </w:p>
        </w:tc>
        <w:tc>
          <w:tcPr>
            <w:tcW w:w="0" w:type="auto"/>
            <w:vAlign w:val="center"/>
            <w:hideMark/>
          </w:tcPr>
          <w:p w14:paraId="1C37E409" w14:textId="77777777" w:rsidR="00AD6036" w:rsidRPr="00AD6036" w:rsidRDefault="00AD6036" w:rsidP="00D73201">
            <w:pPr>
              <w:jc w:val="center"/>
              <w:rPr>
                <w:rFonts w:ascii="Times New Roman" w:hAnsi="Times New Roman" w:cs="Times New Roman"/>
              </w:rPr>
            </w:pPr>
            <w:r w:rsidRPr="00AD6036">
              <w:rPr>
                <w:rFonts w:ascii="Times New Roman" w:hAnsi="Times New Roman" w:cs="Times New Roman"/>
              </w:rPr>
              <w:t>Средний</w:t>
            </w:r>
          </w:p>
        </w:tc>
      </w:tr>
    </w:tbl>
    <w:p w14:paraId="0E55A786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Источник: составлено автором на основе анализа документов [1, 3, 4]</w:t>
      </w:r>
    </w:p>
    <w:p w14:paraId="6A2837D9" w14:textId="2FFA278A" w:rsidR="00AD6036" w:rsidRPr="00AD6036" w:rsidRDefault="00D73201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1.2.7</w:t>
      </w:r>
      <w:r w:rsidR="00AD6036" w:rsidRPr="00AD6036">
        <w:rPr>
          <w:rFonts w:ascii="Times New Roman" w:hAnsi="Times New Roman" w:cs="Times New Roman"/>
          <w:b/>
          <w:bCs/>
          <w:sz w:val="28"/>
          <w:szCs w:val="28"/>
        </w:rPr>
        <w:t>. Рекомендации по снижению рисков и повышению готовности</w:t>
      </w:r>
    </w:p>
    <w:p w14:paraId="23F36DD4" w14:textId="77777777" w:rsidR="00AD6036" w:rsidRPr="00AD6036" w:rsidRDefault="00AD6036" w:rsidP="00D73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На основе проведенного анализа предлагаются следующие меры для повышения готовности прибрежной зоны Кот-д'Ивуара к внедрению цифровых платформ:</w:t>
      </w:r>
    </w:p>
    <w:p w14:paraId="4CC92A5E" w14:textId="77777777" w:rsidR="00AD6036" w:rsidRPr="00AD6036" w:rsidRDefault="00AD6036" w:rsidP="00A64379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Укрепление кадрового потенциала</w:t>
      </w:r>
      <w:r w:rsidRPr="00AD6036">
        <w:rPr>
          <w:rFonts w:ascii="Times New Roman" w:hAnsi="Times New Roman" w:cs="Times New Roman"/>
          <w:sz w:val="28"/>
          <w:szCs w:val="28"/>
        </w:rPr>
        <w:t>:</w:t>
      </w:r>
    </w:p>
    <w:p w14:paraId="5C6B3582" w14:textId="77777777" w:rsidR="00AD6036" w:rsidRPr="00AD6036" w:rsidRDefault="00AD6036" w:rsidP="00A64379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Создание сети региональных ИТ-академий в прибрежных городах с целевым набором 10 000 студентов ежегодно.</w:t>
      </w:r>
    </w:p>
    <w:p w14:paraId="17F0A282" w14:textId="77777777" w:rsidR="00AD6036" w:rsidRPr="00AD6036" w:rsidRDefault="00AD6036" w:rsidP="00A64379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Введение программы «Цифровые наставники» для повышения цифровой грамотности взрослого населения.</w:t>
      </w:r>
    </w:p>
    <w:p w14:paraId="05970662" w14:textId="77777777" w:rsidR="00AD6036" w:rsidRPr="00AD6036" w:rsidRDefault="00AD6036" w:rsidP="00A64379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Квотирование 30% мест в ИТ-образовательных программах для женщин с предоставлением стипендий.</w:t>
      </w:r>
    </w:p>
    <w:p w14:paraId="0DDC9713" w14:textId="77777777" w:rsidR="00AD6036" w:rsidRPr="00AD6036" w:rsidRDefault="00AD6036" w:rsidP="00A64379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Развитие инфраструктуры:</w:t>
      </w:r>
    </w:p>
    <w:p w14:paraId="629C7397" w14:textId="77777777" w:rsidR="00AD6036" w:rsidRPr="00AD6036" w:rsidRDefault="00AD6036" w:rsidP="00A64379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Унификация качества интернет-соединения по всей прибрежной зоне с минимальной скоростью 20 Мбит/с.</w:t>
      </w:r>
    </w:p>
    <w:p w14:paraId="270B50D5" w14:textId="77777777" w:rsidR="00AD6036" w:rsidRPr="00AD6036" w:rsidRDefault="00AD6036" w:rsidP="00A64379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lastRenderedPageBreak/>
        <w:t>Строительство двух дополнительных дата-центров в стратегических точках прибрежной зоны (Сан-Педро, Гран-Бассам).</w:t>
      </w:r>
    </w:p>
    <w:p w14:paraId="7828C135" w14:textId="77777777" w:rsidR="00AD6036" w:rsidRPr="00AD6036" w:rsidRDefault="00AD6036" w:rsidP="00A64379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Внедрение национальной системы кибербезопасности с центром мониторинга в Абиджане.</w:t>
      </w:r>
    </w:p>
    <w:p w14:paraId="4E89198C" w14:textId="77777777" w:rsidR="00AD6036" w:rsidRPr="00AD6036" w:rsidRDefault="00AD6036" w:rsidP="00A64379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Социальная инклюзия:</w:t>
      </w:r>
    </w:p>
    <w:p w14:paraId="7CA5DD1B" w14:textId="77777777" w:rsidR="00AD6036" w:rsidRPr="00AD6036" w:rsidRDefault="00AD6036" w:rsidP="00A64379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Введение субсидий на подключение к интернету для домохозяйств с доходом ниже прожиточного минимума.</w:t>
      </w:r>
    </w:p>
    <w:p w14:paraId="02205F6E" w14:textId="77777777" w:rsidR="00AD6036" w:rsidRPr="00AD6036" w:rsidRDefault="00AD6036" w:rsidP="00A64379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 xml:space="preserve">Разработка многоязычных интерфейсов цифровых платформ (французский, </w:t>
      </w:r>
      <w:proofErr w:type="spellStart"/>
      <w:r w:rsidRPr="00AD6036">
        <w:rPr>
          <w:rFonts w:ascii="Times New Roman" w:hAnsi="Times New Roman" w:cs="Times New Roman"/>
          <w:sz w:val="28"/>
          <w:szCs w:val="28"/>
        </w:rPr>
        <w:t>диула</w:t>
      </w:r>
      <w:proofErr w:type="spellEnd"/>
      <w:r w:rsidRPr="00AD6036">
        <w:rPr>
          <w:rFonts w:ascii="Times New Roman" w:hAnsi="Times New Roman" w:cs="Times New Roman"/>
          <w:sz w:val="28"/>
          <w:szCs w:val="28"/>
        </w:rPr>
        <w:t>, бауле) для преодоления языковых барьеров.</w:t>
      </w:r>
    </w:p>
    <w:p w14:paraId="2EF9B3F0" w14:textId="77777777" w:rsidR="00AD6036" w:rsidRPr="00AD6036" w:rsidRDefault="00AD6036" w:rsidP="00A64379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Создание сети общественных цифровых центров в маргинализированных кварталах прибрежных городов.</w:t>
      </w:r>
    </w:p>
    <w:p w14:paraId="3C78C1C7" w14:textId="77777777" w:rsidR="00AD6036" w:rsidRPr="00AD6036" w:rsidRDefault="00AD6036" w:rsidP="00A64379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Правовое и институциональное обеспечение:</w:t>
      </w:r>
    </w:p>
    <w:p w14:paraId="7FAEB3A0" w14:textId="77777777" w:rsidR="00AD6036" w:rsidRPr="00AD6036" w:rsidRDefault="00AD6036" w:rsidP="00A64379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Ускоренное принятие закона о защите персональных данных в соответствии с международными стандартами.</w:t>
      </w:r>
    </w:p>
    <w:p w14:paraId="6C2DF423" w14:textId="77777777" w:rsidR="00AD6036" w:rsidRPr="00AD6036" w:rsidRDefault="00AD6036" w:rsidP="00A64379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Создание межведомственного комитета по координации цифровой трансформации с участием представителей частного сектора.</w:t>
      </w:r>
    </w:p>
    <w:p w14:paraId="39FBDC06" w14:textId="77777777" w:rsidR="00AD6036" w:rsidRPr="00AD6036" w:rsidRDefault="00AD6036" w:rsidP="00A64379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Внедрение системы прозрачного отслеживания расходования бюджетных средств на цифровые проекты.</w:t>
      </w:r>
    </w:p>
    <w:p w14:paraId="3415CC6E" w14:textId="77777777" w:rsid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4F584" w14:textId="5C9492DD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2648">
        <w:rPr>
          <w:rFonts w:ascii="Times New Roman" w:hAnsi="Times New Roman" w:cs="Times New Roman"/>
          <w:b/>
          <w:bCs/>
          <w:sz w:val="28"/>
          <w:szCs w:val="28"/>
        </w:rPr>
        <w:t>1.2.8. Концептуальная карта прибрежной зоны КОТ-Д'ИВУАРА</w:t>
      </w:r>
    </w:p>
    <w:p w14:paraId="2EAF7285" w14:textId="77777777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1. Географические границы прибрежной зоны</w:t>
      </w:r>
    </w:p>
    <w:p w14:paraId="1BC9353B" w14:textId="2BD4B86D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 xml:space="preserve">Прибрежная зона Кот-д'Ивуара протяжённостью 550 км вдоль Гвинейского залива </w:t>
      </w:r>
      <w:r>
        <w:rPr>
          <w:rFonts w:ascii="Times New Roman" w:hAnsi="Times New Roman" w:cs="Times New Roman"/>
          <w:sz w:val="28"/>
          <w:szCs w:val="28"/>
        </w:rPr>
        <w:t>и прогнозные у</w:t>
      </w:r>
      <w:r w:rsidRPr="00FB2648">
        <w:rPr>
          <w:rFonts w:ascii="Times New Roman" w:hAnsi="Times New Roman" w:cs="Times New Roman"/>
          <w:sz w:val="28"/>
          <w:szCs w:val="28"/>
        </w:rPr>
        <w:t>ровни активности МСБ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Pr="00FB2648">
        <w:rPr>
          <w:rFonts w:ascii="Times New Roman" w:hAnsi="Times New Roman" w:cs="Times New Roman"/>
          <w:sz w:val="28"/>
          <w:szCs w:val="28"/>
        </w:rPr>
        <w:t xml:space="preserve">риски для цифровой </w:t>
      </w:r>
      <w:r>
        <w:rPr>
          <w:rFonts w:ascii="Times New Roman" w:hAnsi="Times New Roman" w:cs="Times New Roman"/>
          <w:sz w:val="28"/>
          <w:szCs w:val="28"/>
        </w:rPr>
        <w:t xml:space="preserve">платформизации проекта «Берег Восхода» </w:t>
      </w:r>
      <w:r w:rsidRPr="00FB2648">
        <w:rPr>
          <w:rFonts w:ascii="Times New Roman" w:hAnsi="Times New Roman" w:cs="Times New Roman"/>
          <w:sz w:val="28"/>
          <w:szCs w:val="28"/>
        </w:rPr>
        <w:t>включает: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69"/>
        <w:gridCol w:w="4510"/>
        <w:gridCol w:w="2466"/>
      </w:tblGrid>
      <w:tr w:rsidR="00FB2648" w:rsidRPr="00FB2648" w14:paraId="6B86D77B" w14:textId="77777777" w:rsidTr="00FB2648">
        <w:tc>
          <w:tcPr>
            <w:tcW w:w="0" w:type="auto"/>
            <w:hideMark/>
          </w:tcPr>
          <w:p w14:paraId="110BD4E7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Регион/Дистрикт</w:t>
            </w:r>
          </w:p>
        </w:tc>
        <w:tc>
          <w:tcPr>
            <w:tcW w:w="0" w:type="auto"/>
            <w:hideMark/>
          </w:tcPr>
          <w:p w14:paraId="0DF36BCD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Ключевые города/коммуны</w:t>
            </w:r>
          </w:p>
        </w:tc>
        <w:tc>
          <w:tcPr>
            <w:tcW w:w="0" w:type="auto"/>
            <w:hideMark/>
          </w:tcPr>
          <w:p w14:paraId="4E7B4EB2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Протяжённость побережья</w:t>
            </w:r>
          </w:p>
        </w:tc>
      </w:tr>
      <w:tr w:rsidR="00FB2648" w:rsidRPr="00FB2648" w14:paraId="46F4472F" w14:textId="77777777" w:rsidTr="00FB2648">
        <w:tc>
          <w:tcPr>
            <w:tcW w:w="0" w:type="auto"/>
            <w:hideMark/>
          </w:tcPr>
          <w:p w14:paraId="2F057B34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Дистрикт Абиджана</w:t>
            </w:r>
          </w:p>
        </w:tc>
        <w:tc>
          <w:tcPr>
            <w:tcW w:w="0" w:type="auto"/>
            <w:hideMark/>
          </w:tcPr>
          <w:p w14:paraId="00543490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 xml:space="preserve">Абиджан (экономическая столица), </w:t>
            </w:r>
            <w:proofErr w:type="spellStart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Бингервиль</w:t>
            </w:r>
            <w:proofErr w:type="spellEnd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Ассинье</w:t>
            </w:r>
            <w:proofErr w:type="spellEnd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 xml:space="preserve">, Гранд-Лагун, </w:t>
            </w:r>
            <w:proofErr w:type="spellStart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Врид</w:t>
            </w:r>
            <w:proofErr w:type="spellEnd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, Якопо</w:t>
            </w:r>
          </w:p>
        </w:tc>
        <w:tc>
          <w:tcPr>
            <w:tcW w:w="0" w:type="auto"/>
            <w:hideMark/>
          </w:tcPr>
          <w:p w14:paraId="39713468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85 км</w:t>
            </w:r>
          </w:p>
        </w:tc>
      </w:tr>
      <w:tr w:rsidR="00FB2648" w:rsidRPr="00FB2648" w14:paraId="33C20C56" w14:textId="77777777" w:rsidTr="00FB2648">
        <w:tc>
          <w:tcPr>
            <w:tcW w:w="0" w:type="auto"/>
            <w:hideMark/>
          </w:tcPr>
          <w:p w14:paraId="245BB04A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Регион Лагунов</w:t>
            </w:r>
          </w:p>
        </w:tc>
        <w:tc>
          <w:tcPr>
            <w:tcW w:w="0" w:type="auto"/>
            <w:hideMark/>
          </w:tcPr>
          <w:p w14:paraId="6C86D508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 xml:space="preserve">Гран-Бассам (Всемирное наследие ЮНЕСКО), </w:t>
            </w:r>
            <w:proofErr w:type="spellStart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Адьяке</w:t>
            </w:r>
            <w:proofErr w:type="spellEnd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Ассинье</w:t>
            </w:r>
            <w:proofErr w:type="spellEnd"/>
          </w:p>
        </w:tc>
        <w:tc>
          <w:tcPr>
            <w:tcW w:w="0" w:type="auto"/>
            <w:hideMark/>
          </w:tcPr>
          <w:p w14:paraId="0BA77F0F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120 км</w:t>
            </w:r>
          </w:p>
        </w:tc>
      </w:tr>
      <w:tr w:rsidR="00FB2648" w:rsidRPr="00FB2648" w14:paraId="144EE0F5" w14:textId="77777777" w:rsidTr="00FB2648">
        <w:tc>
          <w:tcPr>
            <w:tcW w:w="0" w:type="auto"/>
            <w:hideMark/>
          </w:tcPr>
          <w:p w14:paraId="36600753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Регион Суд-</w:t>
            </w:r>
            <w:proofErr w:type="spellStart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Комоэ</w:t>
            </w:r>
            <w:proofErr w:type="spellEnd"/>
          </w:p>
        </w:tc>
        <w:tc>
          <w:tcPr>
            <w:tcW w:w="0" w:type="auto"/>
            <w:hideMark/>
          </w:tcPr>
          <w:p w14:paraId="1D05CAF4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 xml:space="preserve">Сан-Педро (2-й порт страны), </w:t>
            </w:r>
            <w:proofErr w:type="spellStart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Сасандра</w:t>
            </w:r>
            <w:proofErr w:type="spellEnd"/>
          </w:p>
        </w:tc>
        <w:tc>
          <w:tcPr>
            <w:tcW w:w="0" w:type="auto"/>
            <w:hideMark/>
          </w:tcPr>
          <w:p w14:paraId="0247B747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180 км</w:t>
            </w:r>
          </w:p>
        </w:tc>
      </w:tr>
      <w:tr w:rsidR="00FB2648" w:rsidRPr="00FB2648" w14:paraId="1FFD9CCA" w14:textId="77777777" w:rsidTr="00FB2648">
        <w:tc>
          <w:tcPr>
            <w:tcW w:w="0" w:type="auto"/>
            <w:hideMark/>
          </w:tcPr>
          <w:p w14:paraId="3118D965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 xml:space="preserve">Регион </w:t>
            </w:r>
            <w:proofErr w:type="spellStart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Гбо-Клебе</w:t>
            </w:r>
            <w:proofErr w:type="spellEnd"/>
          </w:p>
        </w:tc>
        <w:tc>
          <w:tcPr>
            <w:tcW w:w="0" w:type="auto"/>
            <w:hideMark/>
          </w:tcPr>
          <w:p w14:paraId="2158BFA0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 xml:space="preserve">Бассам, </w:t>
            </w:r>
            <w:proofErr w:type="spellStart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Абьян</w:t>
            </w:r>
            <w:proofErr w:type="spellEnd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 xml:space="preserve">-Моро, </w:t>
            </w:r>
            <w:proofErr w:type="spellStart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Абьян</w:t>
            </w:r>
            <w:proofErr w:type="spellEnd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-Коте</w:t>
            </w:r>
          </w:p>
        </w:tc>
        <w:tc>
          <w:tcPr>
            <w:tcW w:w="0" w:type="auto"/>
            <w:hideMark/>
          </w:tcPr>
          <w:p w14:paraId="64BC1EFC" w14:textId="77777777" w:rsidR="00FB2648" w:rsidRPr="00FB2648" w:rsidRDefault="00FB2648" w:rsidP="00FB264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165 км</w:t>
            </w:r>
          </w:p>
        </w:tc>
      </w:tr>
    </w:tbl>
    <w:p w14:paraId="03E50F86" w14:textId="77777777" w:rsid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C058B" w14:textId="117A2ED9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Пространственная дифференциация активности МСБ (шкала интенсивности)</w:t>
      </w:r>
    </w:p>
    <w:p w14:paraId="516D5945" w14:textId="6E360FD4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ЗОНА МАКСИМАЛЬНОЙ АКТИВНОСТИ (ярко-красный/оранжевый)</w:t>
      </w:r>
    </w:p>
    <w:p w14:paraId="6B06999C" w14:textId="77777777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i/>
          <w:iCs/>
          <w:sz w:val="28"/>
          <w:szCs w:val="28"/>
        </w:rPr>
        <w:t>Дистрикт Абиджана — центральная и южная части</w:t>
      </w:r>
    </w:p>
    <w:p w14:paraId="773FE4F0" w14:textId="77777777" w:rsidR="00FB2648" w:rsidRPr="00FB2648" w:rsidRDefault="00FB2648" w:rsidP="00FB264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Концентрация МСБ: 72% от общего числа формальных предприятий страны (&gt;59 000 предприятий) [3]</w:t>
      </w:r>
    </w:p>
    <w:p w14:paraId="693EC159" w14:textId="77777777" w:rsidR="00FB2648" w:rsidRPr="00FB2648" w:rsidRDefault="00FB2648" w:rsidP="00FB264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Структура:</w:t>
      </w:r>
    </w:p>
    <w:p w14:paraId="278C5E68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Торговля: 44% предприятий</w:t>
      </w:r>
    </w:p>
    <w:p w14:paraId="4F0E84E9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Услуги: 31%</w:t>
      </w:r>
    </w:p>
    <w:p w14:paraId="7B0DC345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Промышленность: 18%</w:t>
      </w:r>
    </w:p>
    <w:p w14:paraId="5A092C18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Строительство: 7%</w:t>
      </w:r>
    </w:p>
    <w:p w14:paraId="2CED82A4" w14:textId="77777777" w:rsidR="00FB2648" w:rsidRPr="00FB2648" w:rsidRDefault="00FB2648" w:rsidP="00FB264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Цифровая зрелость:</w:t>
      </w:r>
    </w:p>
    <w:p w14:paraId="2EB992F7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Покрытие 4G: 98%</w:t>
      </w:r>
    </w:p>
    <w:p w14:paraId="2047C8DA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Проникновение Mobile Money: 89%</w:t>
      </w:r>
    </w:p>
    <w:p w14:paraId="7CF112BB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Скорость интернета: 35–45 Мбит/с (центр Абиджана)</w:t>
      </w:r>
    </w:p>
    <w:p w14:paraId="47689156" w14:textId="77777777" w:rsidR="00FB2648" w:rsidRPr="00FB2648" w:rsidRDefault="00FB2648" w:rsidP="00FB264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Риски для цифровых проектов: НИЗКИЕ (оценка 2/10)</w:t>
      </w:r>
    </w:p>
    <w:p w14:paraId="119C5E65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Сильные стороны: развитая инфраструктура, квалифицированная рабочая сила, доступ к финансированию</w:t>
      </w:r>
    </w:p>
    <w:p w14:paraId="36DE0D7A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Слабые стороны: перегруженность инфраструктуры, высокая конкуренция</w:t>
      </w:r>
    </w:p>
    <w:p w14:paraId="7FB7D16A" w14:textId="0728B25C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ЗОНА СРЕДНЕЙ АКТИВНОСТИ (оранжевый/жёлтый)</w:t>
      </w:r>
    </w:p>
    <w:p w14:paraId="49E9D661" w14:textId="77777777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i/>
          <w:iCs/>
          <w:sz w:val="28"/>
          <w:szCs w:val="28"/>
        </w:rPr>
        <w:t>Периферийные районы Абиджана + Гран-Бассам</w:t>
      </w:r>
    </w:p>
    <w:p w14:paraId="2AD21F48" w14:textId="77777777" w:rsidR="00FB2648" w:rsidRPr="00FB2648" w:rsidRDefault="00FB2648" w:rsidP="00FB2648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Концентрация МСБ: 15–18% предприятий прибрежной зоны</w:t>
      </w:r>
    </w:p>
    <w:p w14:paraId="5A06D10A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528E5C33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Туристический сектор (Гран-Бассам): 120 гостиниц, 45 ресторанов</w:t>
      </w:r>
    </w:p>
    <w:p w14:paraId="3A73FC20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Рыболовство и переработка (</w:t>
      </w:r>
      <w:proofErr w:type="spellStart"/>
      <w:r w:rsidRPr="00FB2648">
        <w:rPr>
          <w:rFonts w:ascii="Times New Roman" w:hAnsi="Times New Roman" w:cs="Times New Roman"/>
          <w:sz w:val="28"/>
          <w:szCs w:val="28"/>
        </w:rPr>
        <w:t>Ассинье</w:t>
      </w:r>
      <w:proofErr w:type="spellEnd"/>
      <w:r w:rsidRPr="00FB26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648">
        <w:rPr>
          <w:rFonts w:ascii="Times New Roman" w:hAnsi="Times New Roman" w:cs="Times New Roman"/>
          <w:sz w:val="28"/>
          <w:szCs w:val="28"/>
        </w:rPr>
        <w:t>Адьяке</w:t>
      </w:r>
      <w:proofErr w:type="spellEnd"/>
      <w:r w:rsidRPr="00FB2648">
        <w:rPr>
          <w:rFonts w:ascii="Times New Roman" w:hAnsi="Times New Roman" w:cs="Times New Roman"/>
          <w:sz w:val="28"/>
          <w:szCs w:val="28"/>
        </w:rPr>
        <w:t>)</w:t>
      </w:r>
    </w:p>
    <w:p w14:paraId="0E9C2B2C" w14:textId="77777777" w:rsidR="00FB2648" w:rsidRPr="00FB2648" w:rsidRDefault="00FB2648" w:rsidP="00FB2648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lastRenderedPageBreak/>
        <w:t>Мелкая торговля вдоль лагун</w:t>
      </w:r>
    </w:p>
    <w:p w14:paraId="1830FEC5" w14:textId="77777777" w:rsidR="00FB2648" w:rsidRPr="00FB2648" w:rsidRDefault="00FB2648" w:rsidP="00FB2648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Цифровая зрелость:</w:t>
      </w:r>
    </w:p>
    <w:p w14:paraId="2AAA7F7E" w14:textId="77777777" w:rsidR="00FB2648" w:rsidRPr="00FB2648" w:rsidRDefault="00FB2648" w:rsidP="00FB2648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Покрытие 4G: 85–92%</w:t>
      </w:r>
    </w:p>
    <w:p w14:paraId="69E9D9E4" w14:textId="77777777" w:rsidR="00FB2648" w:rsidRPr="00FB2648" w:rsidRDefault="00FB2648" w:rsidP="00FB2648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Скорость интернета: 18–25 Мбит/с</w:t>
      </w:r>
    </w:p>
    <w:p w14:paraId="4B58E6DB" w14:textId="77777777" w:rsidR="00FB2648" w:rsidRPr="00FB2648" w:rsidRDefault="00FB2648" w:rsidP="00FB2648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Риски для цифровых проектов: СРЕДНИЕ (оценка 5/10)</w:t>
      </w:r>
    </w:p>
    <w:p w14:paraId="2C9D3008" w14:textId="77777777" w:rsidR="00FB2648" w:rsidRPr="00FB2648" w:rsidRDefault="00FB2648" w:rsidP="00FB2648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Проблемы: сезонность туризма, неравномерное качество связи, дефицит ИТ-кадров вне Абиджана</w:t>
      </w:r>
    </w:p>
    <w:p w14:paraId="25487FE5" w14:textId="1B949962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ЗОНА НИЗКОЙ АКТИВНОСТИ (бледно-жёлтый)</w:t>
      </w:r>
    </w:p>
    <w:p w14:paraId="695F37A0" w14:textId="77777777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i/>
          <w:iCs/>
          <w:sz w:val="28"/>
          <w:szCs w:val="28"/>
        </w:rPr>
        <w:t>Сан-Педро и прилегающие прибрежные коммуны</w:t>
      </w:r>
    </w:p>
    <w:p w14:paraId="04E5E140" w14:textId="77777777" w:rsidR="00FB2648" w:rsidRPr="00FB2648" w:rsidRDefault="00FB2648" w:rsidP="00FB264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Концентрация МСБ: 8–10% предприятий прибрежной зоны</w:t>
      </w:r>
    </w:p>
    <w:p w14:paraId="01FF0BDA" w14:textId="77777777" w:rsidR="00FB2648" w:rsidRPr="00FB2648" w:rsidRDefault="00FB2648" w:rsidP="00FB264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30765521" w14:textId="77777777" w:rsidR="00FB2648" w:rsidRPr="00FB2648" w:rsidRDefault="00FB2648" w:rsidP="00FB2648">
      <w:pPr>
        <w:numPr>
          <w:ilvl w:val="1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Портовая логистика (Сан-Педро — 2-й порт Западной Африки)</w:t>
      </w:r>
    </w:p>
    <w:p w14:paraId="46ACAFE7" w14:textId="77777777" w:rsidR="00FB2648" w:rsidRPr="00FB2648" w:rsidRDefault="00FB2648" w:rsidP="00FB2648">
      <w:pPr>
        <w:numPr>
          <w:ilvl w:val="1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Сельскохозяйственная переработка (какао, кешью)</w:t>
      </w:r>
    </w:p>
    <w:p w14:paraId="69E50463" w14:textId="77777777" w:rsidR="00FB2648" w:rsidRPr="00FB2648" w:rsidRDefault="00FB2648" w:rsidP="00FB2648">
      <w:pPr>
        <w:numPr>
          <w:ilvl w:val="1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Неформальный сектор: &gt;65% экономической активности</w:t>
      </w:r>
    </w:p>
    <w:p w14:paraId="11E63125" w14:textId="77777777" w:rsidR="00FB2648" w:rsidRPr="00FB2648" w:rsidRDefault="00FB2648" w:rsidP="00FB264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Цифровая зрелость:</w:t>
      </w:r>
    </w:p>
    <w:p w14:paraId="46F8107D" w14:textId="77777777" w:rsidR="00FB2648" w:rsidRPr="00FB2648" w:rsidRDefault="00FB2648" w:rsidP="00FB2648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Покрытие 4G: 76%</w:t>
      </w:r>
    </w:p>
    <w:p w14:paraId="359D6028" w14:textId="77777777" w:rsidR="00FB2648" w:rsidRPr="00FB2648" w:rsidRDefault="00FB2648" w:rsidP="00FB2648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Скорость интернета: 12–18 Мбит/с</w:t>
      </w:r>
    </w:p>
    <w:p w14:paraId="717EA2B7" w14:textId="77777777" w:rsidR="00FB2648" w:rsidRPr="00FB2648" w:rsidRDefault="00FB2648" w:rsidP="00FB2648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 xml:space="preserve">Проникновение </w:t>
      </w:r>
      <w:r w:rsidRPr="00FB2648">
        <w:rPr>
          <w:rFonts w:ascii="Times New Roman" w:hAnsi="Times New Roman" w:cs="Times New Roman"/>
          <w:i/>
          <w:iCs/>
          <w:sz w:val="28"/>
          <w:szCs w:val="28"/>
        </w:rPr>
        <w:t>Mobile Money</w:t>
      </w:r>
      <w:r w:rsidRPr="00FB2648">
        <w:rPr>
          <w:rFonts w:ascii="Times New Roman" w:hAnsi="Times New Roman" w:cs="Times New Roman"/>
          <w:sz w:val="28"/>
          <w:szCs w:val="28"/>
        </w:rPr>
        <w:t>: 62%</w:t>
      </w:r>
    </w:p>
    <w:p w14:paraId="22352B90" w14:textId="77777777" w:rsidR="00FB2648" w:rsidRPr="00FB2648" w:rsidRDefault="00FB2648" w:rsidP="00FB264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Риски для цифровых проектов: ВЫСОКИЕ (оценка 7/10)</w:t>
      </w:r>
    </w:p>
    <w:p w14:paraId="6CD4E822" w14:textId="77777777" w:rsidR="00FB2648" w:rsidRPr="00FB2648" w:rsidRDefault="00FB2648" w:rsidP="00FB264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Критические риски:</w:t>
      </w:r>
    </w:p>
    <w:p w14:paraId="3EDA62BA" w14:textId="77777777" w:rsidR="00FB2648" w:rsidRPr="00FB2648" w:rsidRDefault="00FB2648" w:rsidP="00FB2648">
      <w:pPr>
        <w:numPr>
          <w:ilvl w:val="2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Кибербезопасность (дефицит специалистов 84%)</w:t>
      </w:r>
    </w:p>
    <w:p w14:paraId="5B0A5582" w14:textId="77777777" w:rsidR="00FB2648" w:rsidRPr="00FB2648" w:rsidRDefault="00FB2648" w:rsidP="00FB2648">
      <w:pPr>
        <w:numPr>
          <w:ilvl w:val="2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Цифровое неравенство (только 38% женщин используют цифровые сервисы)</w:t>
      </w:r>
    </w:p>
    <w:p w14:paraId="367F3132" w14:textId="77777777" w:rsidR="00FB2648" w:rsidRPr="00FB2648" w:rsidRDefault="00FB2648" w:rsidP="00FB2648">
      <w:pPr>
        <w:numPr>
          <w:ilvl w:val="2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Зависимость от единого подводного кабеля</w:t>
      </w:r>
    </w:p>
    <w:p w14:paraId="488F2441" w14:textId="5332FD24" w:rsidR="00FB2648" w:rsidRPr="00FB2648" w:rsidRDefault="00FB2648" w:rsidP="00FB2648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ЗОНА ДЕФИЦИТА / ВЫСОКИХ РИСКОВ (бледно-серый/голубой)</w:t>
      </w:r>
    </w:p>
    <w:p w14:paraId="366EAA54" w14:textId="77777777" w:rsidR="00FB2648" w:rsidRPr="00FB2648" w:rsidRDefault="00FB2648" w:rsidP="00FB2648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i/>
          <w:iCs/>
          <w:sz w:val="28"/>
          <w:szCs w:val="28"/>
        </w:rPr>
        <w:t xml:space="preserve">Периферийные прибрежные коммуны: Гранд-Лагун (отдалённые кварталы), </w:t>
      </w:r>
      <w:proofErr w:type="spellStart"/>
      <w:r w:rsidRPr="00FB2648">
        <w:rPr>
          <w:rFonts w:ascii="Times New Roman" w:hAnsi="Times New Roman" w:cs="Times New Roman"/>
          <w:i/>
          <w:iCs/>
          <w:sz w:val="28"/>
          <w:szCs w:val="28"/>
        </w:rPr>
        <w:t>Абьян</w:t>
      </w:r>
      <w:proofErr w:type="spellEnd"/>
      <w:r w:rsidRPr="00FB2648">
        <w:rPr>
          <w:rFonts w:ascii="Times New Roman" w:hAnsi="Times New Roman" w:cs="Times New Roman"/>
          <w:i/>
          <w:iCs/>
          <w:sz w:val="28"/>
          <w:szCs w:val="28"/>
        </w:rPr>
        <w:t>-Моро, прибрежные деревни Суд-</w:t>
      </w:r>
      <w:proofErr w:type="spellStart"/>
      <w:r w:rsidRPr="00FB2648">
        <w:rPr>
          <w:rFonts w:ascii="Times New Roman" w:hAnsi="Times New Roman" w:cs="Times New Roman"/>
          <w:i/>
          <w:iCs/>
          <w:sz w:val="28"/>
          <w:szCs w:val="28"/>
        </w:rPr>
        <w:t>Комоэ</w:t>
      </w:r>
      <w:proofErr w:type="spellEnd"/>
    </w:p>
    <w:p w14:paraId="4E8934C0" w14:textId="77777777" w:rsidR="00FB2648" w:rsidRPr="00FB2648" w:rsidRDefault="00FB2648" w:rsidP="00FB264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Концентрация МСБ: &lt;5% предприятий прибрежной зоны</w:t>
      </w:r>
    </w:p>
    <w:p w14:paraId="00B99A99" w14:textId="77777777" w:rsidR="00FB2648" w:rsidRPr="00FB2648" w:rsidRDefault="00FB2648" w:rsidP="00FB264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6B6C81D2" w14:textId="77777777" w:rsidR="00FB2648" w:rsidRPr="00FB2648" w:rsidRDefault="00FB2648" w:rsidP="00FB264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lastRenderedPageBreak/>
        <w:t>Преобладание неформального сектора (&gt;90% занятости)</w:t>
      </w:r>
    </w:p>
    <w:p w14:paraId="3CBD55DE" w14:textId="77777777" w:rsidR="00FB2648" w:rsidRPr="00FB2648" w:rsidRDefault="00FB2648" w:rsidP="00FB264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Рыболовство на уровне промысла</w:t>
      </w:r>
    </w:p>
    <w:p w14:paraId="4693FF56" w14:textId="77777777" w:rsidR="00FB2648" w:rsidRPr="00FB2648" w:rsidRDefault="00FB2648" w:rsidP="00FB264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Отсутствие формальных кооперативов</w:t>
      </w:r>
    </w:p>
    <w:p w14:paraId="36B77057" w14:textId="77777777" w:rsidR="00FB2648" w:rsidRPr="00FB2648" w:rsidRDefault="00FB2648" w:rsidP="00FB264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Цифровая зрелость:</w:t>
      </w:r>
    </w:p>
    <w:p w14:paraId="365D9B3D" w14:textId="77777777" w:rsidR="00FB2648" w:rsidRPr="00FB2648" w:rsidRDefault="00FB2648" w:rsidP="00FB264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Покрытие 4G: 45–60%</w:t>
      </w:r>
    </w:p>
    <w:p w14:paraId="401940A3" w14:textId="77777777" w:rsidR="00FB2648" w:rsidRPr="00FB2648" w:rsidRDefault="00FB2648" w:rsidP="00FB264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Скорость интернета: 5–12 Мбит/с</w:t>
      </w:r>
    </w:p>
    <w:p w14:paraId="23D18003" w14:textId="77777777" w:rsidR="00FB2648" w:rsidRPr="00FB2648" w:rsidRDefault="00FB2648" w:rsidP="00FB264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Доступ к электричеству: 68%</w:t>
      </w:r>
    </w:p>
    <w:p w14:paraId="3728C1EA" w14:textId="77777777" w:rsidR="00FB2648" w:rsidRPr="00FB2648" w:rsidRDefault="00FB2648" w:rsidP="00FB264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Риски для цифровых проектов: КРИТИЧЕСКИЕ (оценка 9/10)</w:t>
      </w:r>
    </w:p>
    <w:p w14:paraId="31A40B25" w14:textId="77777777" w:rsidR="00FB2648" w:rsidRPr="00FB2648" w:rsidRDefault="00FB2648" w:rsidP="00FB264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Системные барьеры:</w:t>
      </w:r>
    </w:p>
    <w:p w14:paraId="7D4C5BCF" w14:textId="77777777" w:rsidR="00FB2648" w:rsidRPr="00FB2648" w:rsidRDefault="00FB2648" w:rsidP="00FB264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Отсутствие цифровой грамотности (только 22% взрослого населения)</w:t>
      </w:r>
    </w:p>
    <w:p w14:paraId="756B1E70" w14:textId="77777777" w:rsidR="00FB2648" w:rsidRPr="00FB2648" w:rsidRDefault="00FB2648" w:rsidP="00FB264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Эрозия побережья (до 2 м в год в некоторых районах) угрожает инфраструктуре</w:t>
      </w:r>
    </w:p>
    <w:p w14:paraId="297BB3D6" w14:textId="77777777" w:rsidR="00FB2648" w:rsidRPr="00FB2648" w:rsidRDefault="00FB2648" w:rsidP="00FB264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Низкая плотность населения (&lt;50 чел./км²) делает развёртывание инфраструктуры экономически невыгодным</w:t>
      </w:r>
    </w:p>
    <w:p w14:paraId="5C728BD7" w14:textId="77777777" w:rsid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55E8C" w14:textId="316B9AC3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Методология визуализации карты</w:t>
      </w:r>
    </w:p>
    <w:p w14:paraId="6418DD53" w14:textId="77777777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 xml:space="preserve">Для создания такой карты рекомендуется использовать ГИС-платформу (QGIS или </w:t>
      </w:r>
      <w:proofErr w:type="spellStart"/>
      <w:r w:rsidRPr="00FB2648">
        <w:rPr>
          <w:rFonts w:ascii="Times New Roman" w:hAnsi="Times New Roman" w:cs="Times New Roman"/>
          <w:sz w:val="28"/>
          <w:szCs w:val="28"/>
        </w:rPr>
        <w:t>ArcGIS</w:t>
      </w:r>
      <w:proofErr w:type="spellEnd"/>
      <w:r w:rsidRPr="00FB2648">
        <w:rPr>
          <w:rFonts w:ascii="Times New Roman" w:hAnsi="Times New Roman" w:cs="Times New Roman"/>
          <w:sz w:val="28"/>
          <w:szCs w:val="28"/>
        </w:rPr>
        <w:t>) со следующими слоями: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4"/>
        <w:gridCol w:w="2855"/>
        <w:gridCol w:w="3726"/>
      </w:tblGrid>
      <w:tr w:rsidR="00FB2648" w:rsidRPr="00FB2648" w14:paraId="372D3730" w14:textId="77777777" w:rsidTr="00FB2648">
        <w:tc>
          <w:tcPr>
            <w:tcW w:w="0" w:type="auto"/>
            <w:hideMark/>
          </w:tcPr>
          <w:p w14:paraId="28EFA966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Слой</w:t>
            </w:r>
          </w:p>
        </w:tc>
        <w:tc>
          <w:tcPr>
            <w:tcW w:w="0" w:type="auto"/>
            <w:hideMark/>
          </w:tcPr>
          <w:p w14:paraId="0D426548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Источник данных</w:t>
            </w:r>
          </w:p>
        </w:tc>
        <w:tc>
          <w:tcPr>
            <w:tcW w:w="0" w:type="auto"/>
            <w:hideMark/>
          </w:tcPr>
          <w:p w14:paraId="4734299D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Визуализация</w:t>
            </w:r>
          </w:p>
        </w:tc>
      </w:tr>
      <w:tr w:rsidR="00FB2648" w:rsidRPr="00FB2648" w14:paraId="7C42963F" w14:textId="77777777" w:rsidTr="00FB2648">
        <w:tc>
          <w:tcPr>
            <w:tcW w:w="0" w:type="auto"/>
            <w:hideMark/>
          </w:tcPr>
          <w:p w14:paraId="5CAB0D65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Административные границы</w:t>
            </w:r>
          </w:p>
        </w:tc>
        <w:tc>
          <w:tcPr>
            <w:tcW w:w="0" w:type="auto"/>
            <w:hideMark/>
          </w:tcPr>
          <w:p w14:paraId="292DB72E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 xml:space="preserve">IGN </w:t>
            </w:r>
            <w:proofErr w:type="spellStart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Côte</w:t>
            </w:r>
            <w:proofErr w:type="spellEnd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d'Ivoire</w:t>
            </w:r>
            <w:proofErr w:type="spellEnd"/>
            <w:r w:rsidRPr="00FB2648">
              <w:rPr>
                <w:rFonts w:ascii="Times New Roman" w:hAnsi="Times New Roman" w:cs="Times New Roman"/>
                <w:sz w:val="28"/>
                <w:szCs w:val="28"/>
              </w:rPr>
              <w:t xml:space="preserve"> (2023)</w:t>
            </w:r>
          </w:p>
        </w:tc>
        <w:tc>
          <w:tcPr>
            <w:tcW w:w="0" w:type="auto"/>
            <w:hideMark/>
          </w:tcPr>
          <w:p w14:paraId="59D9313B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Полигоны коммун</w:t>
            </w:r>
          </w:p>
        </w:tc>
      </w:tr>
      <w:tr w:rsidR="00FB2648" w:rsidRPr="00FB2648" w14:paraId="74C599B4" w14:textId="77777777" w:rsidTr="00FB2648">
        <w:tc>
          <w:tcPr>
            <w:tcW w:w="0" w:type="auto"/>
            <w:hideMark/>
          </w:tcPr>
          <w:p w14:paraId="218AEBB8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Концентрация МСБ</w:t>
            </w:r>
          </w:p>
        </w:tc>
        <w:tc>
          <w:tcPr>
            <w:tcW w:w="0" w:type="auto"/>
            <w:hideMark/>
          </w:tcPr>
          <w:p w14:paraId="6981BCFF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AGEFOP, RGPH 2021</w:t>
            </w:r>
          </w:p>
        </w:tc>
        <w:tc>
          <w:tcPr>
            <w:tcW w:w="0" w:type="auto"/>
            <w:hideMark/>
          </w:tcPr>
          <w:p w14:paraId="313C6398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Градиент от бледно-жёлтого (низкая) до ярко-оранжевого (высокая)</w:t>
            </w:r>
          </w:p>
        </w:tc>
      </w:tr>
      <w:tr w:rsidR="00FB2648" w:rsidRPr="00FB2648" w14:paraId="7905FE0F" w14:textId="77777777" w:rsidTr="00FB2648">
        <w:tc>
          <w:tcPr>
            <w:tcW w:w="0" w:type="auto"/>
            <w:hideMark/>
          </w:tcPr>
          <w:p w14:paraId="5BA68646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Цифровая инфраструктура</w:t>
            </w:r>
          </w:p>
        </w:tc>
        <w:tc>
          <w:tcPr>
            <w:tcW w:w="0" w:type="auto"/>
            <w:hideMark/>
          </w:tcPr>
          <w:p w14:paraId="1E7A1D40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Министерство цифровизации (2024)</w:t>
            </w:r>
          </w:p>
        </w:tc>
        <w:tc>
          <w:tcPr>
            <w:tcW w:w="0" w:type="auto"/>
            <w:hideMark/>
          </w:tcPr>
          <w:p w14:paraId="4DC0D05A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Изолинии скорости интернета</w:t>
            </w:r>
          </w:p>
        </w:tc>
      </w:tr>
      <w:tr w:rsidR="00FB2648" w:rsidRPr="00FB2648" w14:paraId="5CD1AD48" w14:textId="77777777" w:rsidTr="00FB2648">
        <w:tc>
          <w:tcPr>
            <w:tcW w:w="0" w:type="auto"/>
            <w:hideMark/>
          </w:tcPr>
          <w:p w14:paraId="75F07ED5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Зоны риска</w:t>
            </w:r>
          </w:p>
        </w:tc>
        <w:tc>
          <w:tcPr>
            <w:tcW w:w="0" w:type="auto"/>
            <w:hideMark/>
          </w:tcPr>
          <w:p w14:paraId="263E951C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Отчёт о климатической уязвимости (PNUD, 2022)</w:t>
            </w:r>
          </w:p>
        </w:tc>
        <w:tc>
          <w:tcPr>
            <w:tcW w:w="0" w:type="auto"/>
            <w:hideMark/>
          </w:tcPr>
          <w:p w14:paraId="49EB2405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Штриховка для зон эрозии побережья</w:t>
            </w:r>
          </w:p>
        </w:tc>
      </w:tr>
      <w:tr w:rsidR="00FB2648" w:rsidRPr="00FB2648" w14:paraId="6C3D7802" w14:textId="77777777" w:rsidTr="00FB2648">
        <w:tc>
          <w:tcPr>
            <w:tcW w:w="0" w:type="auto"/>
            <w:hideMark/>
          </w:tcPr>
          <w:p w14:paraId="72F17859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Гендерный разрыв</w:t>
            </w:r>
          </w:p>
        </w:tc>
        <w:tc>
          <w:tcPr>
            <w:tcW w:w="0" w:type="auto"/>
            <w:hideMark/>
          </w:tcPr>
          <w:p w14:paraId="34A2DC54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Отчёт ПРООН по гендеру и ОДД (2022)</w:t>
            </w:r>
          </w:p>
        </w:tc>
        <w:tc>
          <w:tcPr>
            <w:tcW w:w="0" w:type="auto"/>
            <w:hideMark/>
          </w:tcPr>
          <w:p w14:paraId="66EB4EDE" w14:textId="77777777" w:rsidR="00FB2648" w:rsidRPr="00FB2648" w:rsidRDefault="00FB2648" w:rsidP="00FB2648">
            <w:pPr>
              <w:ind w:hanging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2648">
              <w:rPr>
                <w:rFonts w:ascii="Times New Roman" w:hAnsi="Times New Roman" w:cs="Times New Roman"/>
                <w:sz w:val="28"/>
                <w:szCs w:val="28"/>
              </w:rPr>
              <w:t>Точечные маркеры с размером, пропорциональным разрыву</w:t>
            </w:r>
          </w:p>
        </w:tc>
      </w:tr>
    </w:tbl>
    <w:p w14:paraId="4A45BCF4" w14:textId="77777777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lastRenderedPageBreak/>
        <w:t>4. Ключевые выводы для проекта «Берег Восхода»</w:t>
      </w:r>
    </w:p>
    <w:p w14:paraId="706EC371" w14:textId="77777777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На основе анализа документов:</w:t>
      </w:r>
    </w:p>
    <w:p w14:paraId="644CA7FB" w14:textId="77777777" w:rsidR="00FB2648" w:rsidRPr="00FB2648" w:rsidRDefault="00FB2648" w:rsidP="00FB2648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Оптимальные локации для пилотного внедрения:</w:t>
      </w:r>
    </w:p>
    <w:p w14:paraId="6BD5319B" w14:textId="77777777" w:rsidR="00FB2648" w:rsidRPr="00FB2648" w:rsidRDefault="00FB2648" w:rsidP="00FB2648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 xml:space="preserve">Центральный Абиджан (Плато, </w:t>
      </w:r>
      <w:proofErr w:type="spellStart"/>
      <w:r w:rsidRPr="00FB2648">
        <w:rPr>
          <w:rFonts w:ascii="Times New Roman" w:hAnsi="Times New Roman" w:cs="Times New Roman"/>
          <w:sz w:val="28"/>
          <w:szCs w:val="28"/>
        </w:rPr>
        <w:t>Кокоди</w:t>
      </w:r>
      <w:proofErr w:type="spellEnd"/>
      <w:r w:rsidRPr="00FB26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648">
        <w:rPr>
          <w:rFonts w:ascii="Times New Roman" w:hAnsi="Times New Roman" w:cs="Times New Roman"/>
          <w:sz w:val="28"/>
          <w:szCs w:val="28"/>
        </w:rPr>
        <w:t>Маркуси</w:t>
      </w:r>
      <w:proofErr w:type="spellEnd"/>
      <w:r w:rsidRPr="00FB2648">
        <w:rPr>
          <w:rFonts w:ascii="Times New Roman" w:hAnsi="Times New Roman" w:cs="Times New Roman"/>
          <w:sz w:val="28"/>
          <w:szCs w:val="28"/>
        </w:rPr>
        <w:t>)</w:t>
      </w:r>
    </w:p>
    <w:p w14:paraId="6CDCF6F3" w14:textId="77777777" w:rsidR="00FB2648" w:rsidRPr="00FB2648" w:rsidRDefault="00FB2648" w:rsidP="00FB2648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Гран-Бассам (туристический кластер)</w:t>
      </w:r>
    </w:p>
    <w:p w14:paraId="73FABAFD" w14:textId="77777777" w:rsidR="00FB2648" w:rsidRPr="00FB2648" w:rsidRDefault="00FB2648" w:rsidP="00FB2648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Портовый комплекс Сан-Педро (логистический хаб)</w:t>
      </w:r>
    </w:p>
    <w:p w14:paraId="74E47FB5" w14:textId="77777777" w:rsidR="00FB2648" w:rsidRPr="00FB2648" w:rsidRDefault="00FB2648" w:rsidP="00FB2648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Зоны, требующие предварительных инвестиций:</w:t>
      </w:r>
    </w:p>
    <w:p w14:paraId="7D043012" w14:textId="77777777" w:rsidR="00FB2648" w:rsidRPr="00FB2648" w:rsidRDefault="00FB2648" w:rsidP="00FB2648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Периферийные районы Абиджана (Якопо, Анике): требуется улучшение цифровой инфраструктуры</w:t>
      </w:r>
    </w:p>
    <w:p w14:paraId="24B52358" w14:textId="77777777" w:rsidR="00FB2648" w:rsidRPr="00FB2648" w:rsidRDefault="00FB2648" w:rsidP="00FB2648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Прибрежные коммуны Суд-</w:t>
      </w:r>
      <w:proofErr w:type="spellStart"/>
      <w:r w:rsidRPr="00FB2648">
        <w:rPr>
          <w:rFonts w:ascii="Times New Roman" w:hAnsi="Times New Roman" w:cs="Times New Roman"/>
          <w:sz w:val="28"/>
          <w:szCs w:val="28"/>
        </w:rPr>
        <w:t>Комоэ</w:t>
      </w:r>
      <w:proofErr w:type="spellEnd"/>
      <w:r w:rsidRPr="00FB2648">
        <w:rPr>
          <w:rFonts w:ascii="Times New Roman" w:hAnsi="Times New Roman" w:cs="Times New Roman"/>
          <w:sz w:val="28"/>
          <w:szCs w:val="28"/>
        </w:rPr>
        <w:t>: необходимы программы цифровой грамотности</w:t>
      </w:r>
    </w:p>
    <w:p w14:paraId="5419A3BC" w14:textId="77777777" w:rsidR="00FB2648" w:rsidRPr="00FB2648" w:rsidRDefault="00FB2648" w:rsidP="00FB2648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Критические риски:</w:t>
      </w:r>
    </w:p>
    <w:p w14:paraId="76AB490C" w14:textId="77777777" w:rsidR="00FB2648" w:rsidRPr="00FB2648" w:rsidRDefault="00FB2648" w:rsidP="00FB2648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Кибербезопасность: дефицит специалистов по кибербезопасности составляет 84% [3]</w:t>
      </w:r>
    </w:p>
    <w:p w14:paraId="241E44D3" w14:textId="77777777" w:rsidR="00FB2648" w:rsidRPr="00FB2648" w:rsidRDefault="00FB2648" w:rsidP="00FB2648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Гендерное неравенство: женщины составляют лишь 18% ИТ-специалистов [2]</w:t>
      </w:r>
    </w:p>
    <w:p w14:paraId="3843290C" w14:textId="77777777" w:rsidR="00FB2648" w:rsidRPr="00FB2648" w:rsidRDefault="00FB2648" w:rsidP="00FB2648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>Климатические угрозы: эрозия побережья угрожает 15% прибрежной инфраструктуры [5]</w:t>
      </w:r>
    </w:p>
    <w:p w14:paraId="038A7566" w14:textId="77777777" w:rsidR="00FB2648" w:rsidRPr="00FB2648" w:rsidRDefault="00FB2648" w:rsidP="00FB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648">
        <w:rPr>
          <w:rFonts w:ascii="Times New Roman" w:hAnsi="Times New Roman" w:cs="Times New Roman"/>
          <w:sz w:val="28"/>
          <w:szCs w:val="28"/>
        </w:rPr>
        <w:t xml:space="preserve">Примечание: В официальных документах Кот-д'Ивуара (ПНР 2021–2025, Стратегия цифровизации) не упоминается проект под названием «Берег Восхода». Вероятно, имеется в виду концепция </w:t>
      </w:r>
      <w:r w:rsidRPr="00FB2648">
        <w:rPr>
          <w:rFonts w:ascii="Times New Roman" w:hAnsi="Times New Roman" w:cs="Times New Roman"/>
          <w:i/>
          <w:iCs/>
          <w:sz w:val="28"/>
          <w:szCs w:val="28"/>
        </w:rPr>
        <w:t>«</w:t>
      </w:r>
      <w:proofErr w:type="spellStart"/>
      <w:r w:rsidRPr="00FB2648">
        <w:rPr>
          <w:rFonts w:ascii="Times New Roman" w:hAnsi="Times New Roman" w:cs="Times New Roman"/>
          <w:i/>
          <w:iCs/>
          <w:sz w:val="28"/>
          <w:szCs w:val="28"/>
        </w:rPr>
        <w:t>Côte</w:t>
      </w:r>
      <w:proofErr w:type="spellEnd"/>
      <w:r w:rsidRPr="00FB264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B2648">
        <w:rPr>
          <w:rFonts w:ascii="Times New Roman" w:hAnsi="Times New Roman" w:cs="Times New Roman"/>
          <w:i/>
          <w:iCs/>
          <w:sz w:val="28"/>
          <w:szCs w:val="28"/>
        </w:rPr>
        <w:t>d'Émergence</w:t>
      </w:r>
      <w:proofErr w:type="spellEnd"/>
      <w:r w:rsidRPr="00FB2648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FB2648">
        <w:rPr>
          <w:rFonts w:ascii="Times New Roman" w:hAnsi="Times New Roman" w:cs="Times New Roman"/>
          <w:sz w:val="28"/>
          <w:szCs w:val="28"/>
        </w:rPr>
        <w:t xml:space="preserve"> — использование прибрежной зоны как локомотива национальной стратегии достижения статуса страны со средним доходом к 2030 году [3, 4].</w:t>
      </w:r>
    </w:p>
    <w:p w14:paraId="1DE8FFD7" w14:textId="77777777" w:rsidR="00FB2648" w:rsidRDefault="00FB2648" w:rsidP="00A643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2B0851" w14:textId="36E8D966" w:rsidR="00AD6036" w:rsidRPr="00AD6036" w:rsidRDefault="00AD6036" w:rsidP="00A6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BEAD96E" w14:textId="77777777" w:rsidR="00AD6036" w:rsidRPr="00AD6036" w:rsidRDefault="00AD6036" w:rsidP="00A6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 xml:space="preserve">Прибрежная зона Кот-д'Ивуара обладает значительным потенциалом для успешной реализации масштабных цифровых платформ в рамках национальной стратегии достижения статуса страны со средним уровнем дохода. Высокий уровень экономического развития, развитая инфраструктура </w:t>
      </w:r>
      <w:r w:rsidRPr="00AD6036">
        <w:rPr>
          <w:rFonts w:ascii="Times New Roman" w:hAnsi="Times New Roman" w:cs="Times New Roman"/>
          <w:sz w:val="28"/>
          <w:szCs w:val="28"/>
        </w:rPr>
        <w:lastRenderedPageBreak/>
        <w:t>и концентрация образованного населения создают благоприятные условия для цифровой трансформации.</w:t>
      </w:r>
    </w:p>
    <w:p w14:paraId="47D546F5" w14:textId="0480CA0B" w:rsidR="00BC577A" w:rsidRDefault="00BC577A" w:rsidP="00BC57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7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3C583" wp14:editId="4787927B">
            <wp:extent cx="5618692" cy="3661910"/>
            <wp:effectExtent l="0" t="0" r="1270" b="0"/>
            <wp:docPr id="817988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88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5412" cy="36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0E17" w14:textId="2377D93A" w:rsidR="00BC577A" w:rsidRDefault="00BC577A" w:rsidP="00BC57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карта зон критичности рисков реализации проекта «Берег Восхода» республики </w:t>
      </w:r>
      <w:r w:rsidRPr="00FB2648">
        <w:rPr>
          <w:rFonts w:ascii="Times New Roman" w:hAnsi="Times New Roman" w:cs="Times New Roman"/>
          <w:sz w:val="28"/>
          <w:szCs w:val="28"/>
        </w:rPr>
        <w:t>Кот-д'Ивуара</w:t>
      </w:r>
      <w:r>
        <w:rPr>
          <w:rFonts w:ascii="Times New Roman" w:hAnsi="Times New Roman" w:cs="Times New Roman"/>
          <w:sz w:val="28"/>
          <w:szCs w:val="28"/>
        </w:rPr>
        <w:t xml:space="preserve"> (разработано автором)</w:t>
      </w:r>
    </w:p>
    <w:p w14:paraId="1C73FD14" w14:textId="12E6A34D" w:rsidR="00E03F8F" w:rsidRDefault="00E03F8F" w:rsidP="00E03F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3F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136D2E" wp14:editId="44602024">
            <wp:extent cx="5508625" cy="3693811"/>
            <wp:effectExtent l="0" t="0" r="0" b="1905"/>
            <wp:docPr id="84138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81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2286" cy="369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8B71" w14:textId="296B3753" w:rsidR="00E03F8F" w:rsidRDefault="00E03F8F" w:rsidP="00E03F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Экономическая </w:t>
      </w:r>
      <w:r>
        <w:rPr>
          <w:rFonts w:ascii="Times New Roman" w:hAnsi="Times New Roman" w:cs="Times New Roman"/>
          <w:sz w:val="28"/>
          <w:szCs w:val="28"/>
        </w:rPr>
        <w:t xml:space="preserve">карта зон критичности рисков реализации проекта «Берег Восхода» республики </w:t>
      </w:r>
      <w:r w:rsidRPr="00FB2648">
        <w:rPr>
          <w:rFonts w:ascii="Times New Roman" w:hAnsi="Times New Roman" w:cs="Times New Roman"/>
          <w:sz w:val="28"/>
          <w:szCs w:val="28"/>
        </w:rPr>
        <w:t>Кот-д'Ивуара</w:t>
      </w:r>
      <w:r>
        <w:rPr>
          <w:rFonts w:ascii="Times New Roman" w:hAnsi="Times New Roman" w:cs="Times New Roman"/>
          <w:sz w:val="28"/>
          <w:szCs w:val="28"/>
        </w:rPr>
        <w:t xml:space="preserve"> (разработано автором)</w:t>
      </w:r>
    </w:p>
    <w:p w14:paraId="04176C2D" w14:textId="77777777" w:rsidR="00E03F8F" w:rsidRDefault="00E03F8F" w:rsidP="00A6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A407CF" w14:textId="28C0B61E" w:rsidR="00AD6036" w:rsidRPr="00AD6036" w:rsidRDefault="00AD6036" w:rsidP="00A6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Однако реализация этого потенциала сдерживается рядом системных ограничений: структурным дефицитом ИТ-специалистов, особенно в области кибербезопасности и анализа данных; сохраняющимся цифровым неравенством внутри прибрежных регионов; недостаточной правовой базой для защиты данных; а также гендерным разрывом в доступе к цифровым технологиям и карьерным возможностям в сфере ИКТ.</w:t>
      </w:r>
    </w:p>
    <w:p w14:paraId="6ECC688A" w14:textId="77777777" w:rsidR="00AD6036" w:rsidRPr="00AD6036" w:rsidRDefault="00AD6036" w:rsidP="00A6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Для преодоления этих ограничений требуется комплексный подход, сочетающий инвестиции в человеческий капитал, модернизацию инфраструктуры, укрепление институциональной среды и обеспечение социальной инклюзии. Особое внимание следует уделить подготовке кадров: без решения проблемы дефицита специалистов любые технологические инвестиции окажутся неэффективными.</w:t>
      </w:r>
    </w:p>
    <w:p w14:paraId="32D355E4" w14:textId="77777777" w:rsidR="00AD6036" w:rsidRPr="00AD6036" w:rsidRDefault="00AD6036" w:rsidP="00A643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036">
        <w:rPr>
          <w:rFonts w:ascii="Times New Roman" w:hAnsi="Times New Roman" w:cs="Times New Roman"/>
          <w:sz w:val="28"/>
          <w:szCs w:val="28"/>
        </w:rPr>
        <w:t>При условии реализации предложенных мер прибрежная зона Кот-д'Ивуара может стать не только локомотивом национальной цифровой трансформации, но и образцом для других стран Западной Африки в области сбалансированного и инклюзивного цифрового развития.</w:t>
      </w:r>
    </w:p>
    <w:p w14:paraId="4F50997B" w14:textId="77777777" w:rsidR="00AD6036" w:rsidRPr="00FB2648" w:rsidRDefault="00AD6036" w:rsidP="00A643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D6036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 w:rsidRPr="00FB2648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 w:rsidRPr="00AD6036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</w:p>
    <w:p w14:paraId="621CE769" w14:textId="77777777" w:rsidR="00AD6036" w:rsidRPr="00AD6036" w:rsidRDefault="00AD6036" w:rsidP="00AD6036">
      <w:pPr>
        <w:spacing w:after="0"/>
        <w:jc w:val="both"/>
        <w:rPr>
          <w:rFonts w:ascii="Times New Roman" w:hAnsi="Times New Roman" w:cs="Times New Roman"/>
          <w:lang w:val="fr-FR"/>
        </w:rPr>
      </w:pPr>
      <w:r w:rsidRPr="00AD6036">
        <w:rPr>
          <w:rFonts w:ascii="Times New Roman" w:hAnsi="Times New Roman" w:cs="Times New Roman"/>
          <w:lang w:val="fr-FR"/>
        </w:rPr>
        <w:t xml:space="preserve">[1] Banque africaine de développement. </w:t>
      </w:r>
      <w:r w:rsidRPr="00AD6036">
        <w:rPr>
          <w:rFonts w:ascii="Times New Roman" w:hAnsi="Times New Roman" w:cs="Times New Roman"/>
          <w:lang w:val="en-GB"/>
        </w:rPr>
        <w:t xml:space="preserve">African Economic Outlook 2025: Rapport Pays 2025 Côte d'Ivoire. Abidjan: BAD, 2025. </w:t>
      </w:r>
      <w:r w:rsidRPr="00AD6036">
        <w:rPr>
          <w:rFonts w:ascii="Times New Roman" w:hAnsi="Times New Roman" w:cs="Times New Roman"/>
          <w:lang w:val="fr-FR"/>
        </w:rPr>
        <w:t>23 p.</w:t>
      </w:r>
    </w:p>
    <w:p w14:paraId="09E69E49" w14:textId="77777777" w:rsidR="00AD6036" w:rsidRPr="00AD6036" w:rsidRDefault="00AD6036" w:rsidP="00AD6036">
      <w:pPr>
        <w:spacing w:after="0"/>
        <w:jc w:val="both"/>
        <w:rPr>
          <w:rFonts w:ascii="Times New Roman" w:hAnsi="Times New Roman" w:cs="Times New Roman"/>
          <w:lang w:val="fr-FR"/>
        </w:rPr>
      </w:pPr>
      <w:r w:rsidRPr="00AD6036">
        <w:rPr>
          <w:rFonts w:ascii="Times New Roman" w:hAnsi="Times New Roman" w:cs="Times New Roman"/>
          <w:lang w:val="fr-FR"/>
        </w:rPr>
        <w:t>[2] Programme des Nations Unies pour le Développement (PNUD). Rapport sur la situation des ODD, prenant en compte les personnes vulnérables et le genre en Côte d'Ivoire, 2017–2020. Abidjan: PNUD Côte d'Ivoire, 2022. 84 p.</w:t>
      </w:r>
    </w:p>
    <w:p w14:paraId="6F5302A6" w14:textId="77777777" w:rsidR="00AD6036" w:rsidRPr="00AD6036" w:rsidRDefault="00AD6036" w:rsidP="00AD6036">
      <w:pPr>
        <w:spacing w:after="0"/>
        <w:jc w:val="both"/>
        <w:rPr>
          <w:rFonts w:ascii="Times New Roman" w:hAnsi="Times New Roman" w:cs="Times New Roman"/>
          <w:lang w:val="fr-FR"/>
        </w:rPr>
      </w:pPr>
      <w:r w:rsidRPr="00AD6036">
        <w:rPr>
          <w:rFonts w:ascii="Times New Roman" w:hAnsi="Times New Roman" w:cs="Times New Roman"/>
          <w:lang w:val="fr-FR"/>
        </w:rPr>
        <w:t>[3] Gouvernement de la République de Côte d'Ivoire. Bilan 2011–2025. Abidjan: Ministère du Plan et du Développement, août 2025. 221 p.</w:t>
      </w:r>
    </w:p>
    <w:p w14:paraId="5E9999FB" w14:textId="77777777" w:rsidR="00AD6036" w:rsidRPr="00AD6036" w:rsidRDefault="00AD6036" w:rsidP="00AD6036">
      <w:pPr>
        <w:spacing w:after="0"/>
        <w:jc w:val="both"/>
        <w:rPr>
          <w:rFonts w:ascii="Times New Roman" w:hAnsi="Times New Roman" w:cs="Times New Roman"/>
          <w:lang w:val="fr-FR"/>
        </w:rPr>
      </w:pPr>
      <w:r w:rsidRPr="00AD6036">
        <w:rPr>
          <w:rFonts w:ascii="Times New Roman" w:hAnsi="Times New Roman" w:cs="Times New Roman"/>
          <w:lang w:val="fr-FR"/>
        </w:rPr>
        <w:t>[4] Ministère du Plan et du Développement. Étude nationale prospective « Côte d'Ivoire 2040 ». Rapport final. Abidjan: Bureau National de la Prospective et de la Veille Stratégique, 2016. 162 p.</w:t>
      </w:r>
    </w:p>
    <w:p w14:paraId="45B51FCE" w14:textId="77777777" w:rsidR="00AD6036" w:rsidRPr="00AD6036" w:rsidRDefault="00AD6036" w:rsidP="00AD6036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AD6036">
        <w:rPr>
          <w:rFonts w:ascii="Times New Roman" w:hAnsi="Times New Roman" w:cs="Times New Roman"/>
          <w:lang w:val="fr-FR"/>
        </w:rPr>
        <w:t xml:space="preserve">[5] Centre Suisse de Recherches Scientifiques (CSRS). Rapport sur le développement durable en Côte d'Ivoire: état des lieux et tendances. </w:t>
      </w:r>
      <w:r w:rsidRPr="00AD6036">
        <w:rPr>
          <w:rFonts w:ascii="Times New Roman" w:hAnsi="Times New Roman" w:cs="Times New Roman"/>
          <w:lang w:val="en-GB"/>
        </w:rPr>
        <w:t>Abidjan: CSRS, 2021. 42 p.</w:t>
      </w:r>
    </w:p>
    <w:p w14:paraId="5091F1B5" w14:textId="77777777" w:rsidR="00AD6036" w:rsidRPr="00AD6036" w:rsidRDefault="00AD6036" w:rsidP="00AD6036">
      <w:pPr>
        <w:spacing w:after="0"/>
        <w:jc w:val="both"/>
        <w:rPr>
          <w:rFonts w:ascii="Times New Roman" w:hAnsi="Times New Roman" w:cs="Times New Roman"/>
          <w:lang w:val="fr-FR"/>
        </w:rPr>
      </w:pPr>
      <w:r w:rsidRPr="00AD6036">
        <w:rPr>
          <w:rFonts w:ascii="Times New Roman" w:hAnsi="Times New Roman" w:cs="Times New Roman"/>
          <w:lang w:val="en-GB"/>
        </w:rPr>
        <w:t xml:space="preserve">[6] Banque </w:t>
      </w:r>
      <w:proofErr w:type="spellStart"/>
      <w:r w:rsidRPr="00AD6036">
        <w:rPr>
          <w:rFonts w:ascii="Times New Roman" w:hAnsi="Times New Roman" w:cs="Times New Roman"/>
          <w:lang w:val="en-GB"/>
        </w:rPr>
        <w:t>mondiale</w:t>
      </w:r>
      <w:proofErr w:type="spellEnd"/>
      <w:r w:rsidRPr="00AD6036">
        <w:rPr>
          <w:rFonts w:ascii="Times New Roman" w:hAnsi="Times New Roman" w:cs="Times New Roman"/>
          <w:lang w:val="en-GB"/>
        </w:rPr>
        <w:t xml:space="preserve">. Côte d'Ivoire Economic Update: Sustaining Growth Momentum. Washington, D.C.: World Bank, 2024. </w:t>
      </w:r>
      <w:r w:rsidRPr="00AD6036">
        <w:rPr>
          <w:rFonts w:ascii="Times New Roman" w:hAnsi="Times New Roman" w:cs="Times New Roman"/>
          <w:lang w:val="fr-FR"/>
        </w:rPr>
        <w:t>78 p.</w:t>
      </w:r>
    </w:p>
    <w:p w14:paraId="09F29EB9" w14:textId="77777777" w:rsidR="00AD6036" w:rsidRPr="00AD6036" w:rsidRDefault="00AD6036" w:rsidP="00AD6036">
      <w:pPr>
        <w:spacing w:after="0"/>
        <w:jc w:val="both"/>
        <w:rPr>
          <w:rFonts w:ascii="Times New Roman" w:hAnsi="Times New Roman" w:cs="Times New Roman"/>
          <w:lang w:val="fr-FR"/>
        </w:rPr>
      </w:pPr>
      <w:r w:rsidRPr="00AD6036">
        <w:rPr>
          <w:rFonts w:ascii="Times New Roman" w:hAnsi="Times New Roman" w:cs="Times New Roman"/>
          <w:lang w:val="fr-FR"/>
        </w:rPr>
        <w:t>[7] BCEAO. Rapport annuel sur la politique monétaire et la situation économique de l'UMOA. Dakar: Banque Centrale des États de l'Afrique de l'Ouest, 2024. 156 p.</w:t>
      </w:r>
    </w:p>
    <w:p w14:paraId="3BBFDD40" w14:textId="77777777" w:rsidR="00AD6036" w:rsidRPr="00AD6036" w:rsidRDefault="00AD6036" w:rsidP="00AD6036">
      <w:pPr>
        <w:spacing w:after="0"/>
        <w:jc w:val="both"/>
        <w:rPr>
          <w:rFonts w:ascii="Times New Roman" w:hAnsi="Times New Roman" w:cs="Times New Roman"/>
          <w:lang w:val="fr-FR"/>
        </w:rPr>
      </w:pPr>
      <w:r w:rsidRPr="00AD6036">
        <w:rPr>
          <w:rFonts w:ascii="Times New Roman" w:hAnsi="Times New Roman" w:cs="Times New Roman"/>
          <w:lang w:val="fr-FR"/>
        </w:rPr>
        <w:t>[8] Ministère de la Communication et de l'Économie Numérique. Stratégie nationale de développement du numérique 2021–2025. Abidjan: Gouvernement de Côte d'Ivoire, 2021. 45 p.</w:t>
      </w:r>
    </w:p>
    <w:p w14:paraId="4A97A303" w14:textId="77777777" w:rsidR="00AD6036" w:rsidRPr="00AD6036" w:rsidRDefault="00AD6036" w:rsidP="00AD6036">
      <w:pPr>
        <w:spacing w:after="0"/>
        <w:jc w:val="both"/>
        <w:rPr>
          <w:rFonts w:ascii="Times New Roman" w:hAnsi="Times New Roman" w:cs="Times New Roman"/>
          <w:lang w:val="fr-FR"/>
        </w:rPr>
      </w:pPr>
      <w:r w:rsidRPr="00AD6036">
        <w:rPr>
          <w:rFonts w:ascii="Times New Roman" w:hAnsi="Times New Roman" w:cs="Times New Roman"/>
          <w:lang w:val="fr-FR"/>
        </w:rPr>
        <w:lastRenderedPageBreak/>
        <w:t xml:space="preserve">[9] </w:t>
      </w:r>
      <w:proofErr w:type="spellStart"/>
      <w:r w:rsidRPr="00AD6036">
        <w:rPr>
          <w:rFonts w:ascii="Times New Roman" w:hAnsi="Times New Roman" w:cs="Times New Roman"/>
          <w:lang w:val="fr-FR"/>
        </w:rPr>
        <w:t>AnStat</w:t>
      </w:r>
      <w:proofErr w:type="spellEnd"/>
      <w:r w:rsidRPr="00AD6036">
        <w:rPr>
          <w:rFonts w:ascii="Times New Roman" w:hAnsi="Times New Roman" w:cs="Times New Roman"/>
          <w:lang w:val="fr-FR"/>
        </w:rPr>
        <w:t>. Enquête harmonisée sur les conditions de vie des ménages en Côte d'Ivoire 2021. Abidjan: Agence nationale de la statistique, 2022. 112 p.</w:t>
      </w:r>
    </w:p>
    <w:p w14:paraId="36557DDC" w14:textId="77777777" w:rsidR="00AD6036" w:rsidRPr="00AD6036" w:rsidRDefault="00AD6036" w:rsidP="00AD6036">
      <w:pPr>
        <w:spacing w:after="0"/>
        <w:jc w:val="both"/>
        <w:rPr>
          <w:rFonts w:ascii="Times New Roman" w:hAnsi="Times New Roman" w:cs="Times New Roman"/>
        </w:rPr>
      </w:pPr>
      <w:r w:rsidRPr="00AD6036">
        <w:rPr>
          <w:rFonts w:ascii="Times New Roman" w:hAnsi="Times New Roman" w:cs="Times New Roman"/>
          <w:lang w:val="fr-FR"/>
        </w:rPr>
        <w:t xml:space="preserve">[10] FMI. Côte d'Ivoire: Analyse conjointe de viabilité de la dette. </w:t>
      </w:r>
      <w:r w:rsidRPr="00AD6036">
        <w:rPr>
          <w:rFonts w:ascii="Times New Roman" w:hAnsi="Times New Roman" w:cs="Times New Roman"/>
        </w:rPr>
        <w:t xml:space="preserve">Washington, D.C.: </w:t>
      </w:r>
      <w:proofErr w:type="spellStart"/>
      <w:r w:rsidRPr="00AD6036">
        <w:rPr>
          <w:rFonts w:ascii="Times New Roman" w:hAnsi="Times New Roman" w:cs="Times New Roman"/>
        </w:rPr>
        <w:t>Fonds</w:t>
      </w:r>
      <w:proofErr w:type="spellEnd"/>
      <w:r w:rsidRPr="00AD6036">
        <w:rPr>
          <w:rFonts w:ascii="Times New Roman" w:hAnsi="Times New Roman" w:cs="Times New Roman"/>
        </w:rPr>
        <w:t xml:space="preserve"> </w:t>
      </w:r>
      <w:proofErr w:type="spellStart"/>
      <w:r w:rsidRPr="00AD6036">
        <w:rPr>
          <w:rFonts w:ascii="Times New Roman" w:hAnsi="Times New Roman" w:cs="Times New Roman"/>
        </w:rPr>
        <w:t>monétaire</w:t>
      </w:r>
      <w:proofErr w:type="spellEnd"/>
      <w:r w:rsidRPr="00AD6036">
        <w:rPr>
          <w:rFonts w:ascii="Times New Roman" w:hAnsi="Times New Roman" w:cs="Times New Roman"/>
        </w:rPr>
        <w:t xml:space="preserve"> </w:t>
      </w:r>
      <w:proofErr w:type="spellStart"/>
      <w:r w:rsidRPr="00AD6036">
        <w:rPr>
          <w:rFonts w:ascii="Times New Roman" w:hAnsi="Times New Roman" w:cs="Times New Roman"/>
        </w:rPr>
        <w:t>international</w:t>
      </w:r>
      <w:proofErr w:type="spellEnd"/>
      <w:r w:rsidRPr="00AD6036">
        <w:rPr>
          <w:rFonts w:ascii="Times New Roman" w:hAnsi="Times New Roman" w:cs="Times New Roman"/>
        </w:rPr>
        <w:t xml:space="preserve">, </w:t>
      </w:r>
      <w:proofErr w:type="spellStart"/>
      <w:r w:rsidRPr="00AD6036">
        <w:rPr>
          <w:rFonts w:ascii="Times New Roman" w:hAnsi="Times New Roman" w:cs="Times New Roman"/>
        </w:rPr>
        <w:t>décembre</w:t>
      </w:r>
      <w:proofErr w:type="spellEnd"/>
      <w:r w:rsidRPr="00AD6036">
        <w:rPr>
          <w:rFonts w:ascii="Times New Roman" w:hAnsi="Times New Roman" w:cs="Times New Roman"/>
        </w:rPr>
        <w:t xml:space="preserve"> 2024. 34 p.</w:t>
      </w:r>
    </w:p>
    <w:p w14:paraId="47B85E57" w14:textId="77777777" w:rsidR="00113C0A" w:rsidRPr="00AD6036" w:rsidRDefault="00113C0A" w:rsidP="00AD6036">
      <w:pPr>
        <w:spacing w:after="0"/>
        <w:jc w:val="both"/>
        <w:rPr>
          <w:rFonts w:ascii="Times New Roman" w:hAnsi="Times New Roman" w:cs="Times New Roman"/>
        </w:rPr>
      </w:pPr>
    </w:p>
    <w:sectPr w:rsidR="00113C0A" w:rsidRPr="00AD6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E66"/>
    <w:multiLevelType w:val="multilevel"/>
    <w:tmpl w:val="8F0C3B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459C"/>
    <w:multiLevelType w:val="multilevel"/>
    <w:tmpl w:val="57D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323C8"/>
    <w:multiLevelType w:val="multilevel"/>
    <w:tmpl w:val="B88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55820"/>
    <w:multiLevelType w:val="multilevel"/>
    <w:tmpl w:val="37F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E7"/>
    <w:multiLevelType w:val="hybridMultilevel"/>
    <w:tmpl w:val="34A60AB0"/>
    <w:lvl w:ilvl="0" w:tplc="0D98F3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D98F34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63267"/>
    <w:multiLevelType w:val="hybridMultilevel"/>
    <w:tmpl w:val="549EB38C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D98F34E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34D3D"/>
    <w:multiLevelType w:val="multilevel"/>
    <w:tmpl w:val="794CD29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700A3"/>
    <w:multiLevelType w:val="multilevel"/>
    <w:tmpl w:val="546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073DD"/>
    <w:multiLevelType w:val="multilevel"/>
    <w:tmpl w:val="7A1C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E1001"/>
    <w:multiLevelType w:val="multilevel"/>
    <w:tmpl w:val="3F84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D71EF"/>
    <w:multiLevelType w:val="multilevel"/>
    <w:tmpl w:val="7040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77C03"/>
    <w:multiLevelType w:val="multilevel"/>
    <w:tmpl w:val="BB0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E13BD"/>
    <w:multiLevelType w:val="multilevel"/>
    <w:tmpl w:val="D74C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D7F81"/>
    <w:multiLevelType w:val="multilevel"/>
    <w:tmpl w:val="BD9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75C02"/>
    <w:multiLevelType w:val="multilevel"/>
    <w:tmpl w:val="EE9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D1C6F"/>
    <w:multiLevelType w:val="multilevel"/>
    <w:tmpl w:val="25F6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D18A7"/>
    <w:multiLevelType w:val="multilevel"/>
    <w:tmpl w:val="0C52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13B63"/>
    <w:multiLevelType w:val="multilevel"/>
    <w:tmpl w:val="FBEE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07A21"/>
    <w:multiLevelType w:val="hybridMultilevel"/>
    <w:tmpl w:val="E64C87F8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D98F34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B40D6F"/>
    <w:multiLevelType w:val="hybridMultilevel"/>
    <w:tmpl w:val="25685A06"/>
    <w:lvl w:ilvl="0" w:tplc="0D98F3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F45FA9"/>
    <w:multiLevelType w:val="multilevel"/>
    <w:tmpl w:val="5888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A4887"/>
    <w:multiLevelType w:val="multilevel"/>
    <w:tmpl w:val="719A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1C09FC"/>
    <w:multiLevelType w:val="hybridMultilevel"/>
    <w:tmpl w:val="4D647BFC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D98F34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9145AF"/>
    <w:multiLevelType w:val="multilevel"/>
    <w:tmpl w:val="0992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85A26"/>
    <w:multiLevelType w:val="multilevel"/>
    <w:tmpl w:val="53D6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7319B"/>
    <w:multiLevelType w:val="multilevel"/>
    <w:tmpl w:val="8FE8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78069E"/>
    <w:multiLevelType w:val="multilevel"/>
    <w:tmpl w:val="92986B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76A06"/>
    <w:multiLevelType w:val="multilevel"/>
    <w:tmpl w:val="60A8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9F1513"/>
    <w:multiLevelType w:val="multilevel"/>
    <w:tmpl w:val="2D7A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8B432A"/>
    <w:multiLevelType w:val="multilevel"/>
    <w:tmpl w:val="EEA0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371918">
    <w:abstractNumId w:val="9"/>
  </w:num>
  <w:num w:numId="2" w16cid:durableId="1294872023">
    <w:abstractNumId w:val="20"/>
  </w:num>
  <w:num w:numId="3" w16cid:durableId="1077947295">
    <w:abstractNumId w:val="8"/>
  </w:num>
  <w:num w:numId="4" w16cid:durableId="1897662549">
    <w:abstractNumId w:val="7"/>
  </w:num>
  <w:num w:numId="5" w16cid:durableId="2049867296">
    <w:abstractNumId w:val="17"/>
  </w:num>
  <w:num w:numId="6" w16cid:durableId="1040787706">
    <w:abstractNumId w:val="11"/>
  </w:num>
  <w:num w:numId="7" w16cid:durableId="1869176912">
    <w:abstractNumId w:val="10"/>
  </w:num>
  <w:num w:numId="8" w16cid:durableId="932859894">
    <w:abstractNumId w:val="16"/>
  </w:num>
  <w:num w:numId="9" w16cid:durableId="1334718088">
    <w:abstractNumId w:val="21"/>
  </w:num>
  <w:num w:numId="10" w16cid:durableId="880441566">
    <w:abstractNumId w:val="2"/>
  </w:num>
  <w:num w:numId="11" w16cid:durableId="269707279">
    <w:abstractNumId w:val="12"/>
  </w:num>
  <w:num w:numId="12" w16cid:durableId="57671725">
    <w:abstractNumId w:val="1"/>
  </w:num>
  <w:num w:numId="13" w16cid:durableId="1413240456">
    <w:abstractNumId w:val="13"/>
  </w:num>
  <w:num w:numId="14" w16cid:durableId="1309239412">
    <w:abstractNumId w:val="25"/>
  </w:num>
  <w:num w:numId="15" w16cid:durableId="580679530">
    <w:abstractNumId w:val="15"/>
  </w:num>
  <w:num w:numId="16" w16cid:durableId="1091583567">
    <w:abstractNumId w:val="24"/>
  </w:num>
  <w:num w:numId="17" w16cid:durableId="1059285394">
    <w:abstractNumId w:val="3"/>
  </w:num>
  <w:num w:numId="18" w16cid:durableId="996959762">
    <w:abstractNumId w:val="27"/>
  </w:num>
  <w:num w:numId="19" w16cid:durableId="1578052408">
    <w:abstractNumId w:val="19"/>
  </w:num>
  <w:num w:numId="20" w16cid:durableId="1025713824">
    <w:abstractNumId w:val="6"/>
  </w:num>
  <w:num w:numId="21" w16cid:durableId="1457290217">
    <w:abstractNumId w:val="0"/>
  </w:num>
  <w:num w:numId="22" w16cid:durableId="922643444">
    <w:abstractNumId w:val="23"/>
  </w:num>
  <w:num w:numId="23" w16cid:durableId="1693417154">
    <w:abstractNumId w:val="14"/>
  </w:num>
  <w:num w:numId="24" w16cid:durableId="1747608063">
    <w:abstractNumId w:val="29"/>
  </w:num>
  <w:num w:numId="25" w16cid:durableId="407386427">
    <w:abstractNumId w:val="26"/>
  </w:num>
  <w:num w:numId="26" w16cid:durableId="664670482">
    <w:abstractNumId w:val="4"/>
  </w:num>
  <w:num w:numId="27" w16cid:durableId="1152647388">
    <w:abstractNumId w:val="22"/>
  </w:num>
  <w:num w:numId="28" w16cid:durableId="632827732">
    <w:abstractNumId w:val="18"/>
  </w:num>
  <w:num w:numId="29" w16cid:durableId="1510026660">
    <w:abstractNumId w:val="5"/>
  </w:num>
  <w:num w:numId="30" w16cid:durableId="8678363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36"/>
    <w:rsid w:val="00067452"/>
    <w:rsid w:val="000F7186"/>
    <w:rsid w:val="00113C0A"/>
    <w:rsid w:val="001A6471"/>
    <w:rsid w:val="00272B96"/>
    <w:rsid w:val="0086660B"/>
    <w:rsid w:val="008A7A44"/>
    <w:rsid w:val="008D40F1"/>
    <w:rsid w:val="00A64379"/>
    <w:rsid w:val="00AD6036"/>
    <w:rsid w:val="00BB7F65"/>
    <w:rsid w:val="00BC577A"/>
    <w:rsid w:val="00BD6526"/>
    <w:rsid w:val="00D73201"/>
    <w:rsid w:val="00DC5654"/>
    <w:rsid w:val="00E03F8F"/>
    <w:rsid w:val="00FB2648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B808F"/>
  <w15:chartTrackingRefBased/>
  <w15:docId w15:val="{F2B1661B-9602-4217-A3A5-A1352F96C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0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0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0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0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0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0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0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0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0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0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603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D6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18</Pages>
  <Words>3784</Words>
  <Characters>21572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4</cp:revision>
  <dcterms:created xsi:type="dcterms:W3CDTF">2026-01-27T14:42:00Z</dcterms:created>
  <dcterms:modified xsi:type="dcterms:W3CDTF">2026-01-27T16:38:00Z</dcterms:modified>
</cp:coreProperties>
</file>