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0D8" w:rsidRDefault="00A33592">
      <w:r>
        <w:t>Исходные данные для рисунка</w:t>
      </w:r>
    </w:p>
    <w:p w:rsidR="00A33592" w:rsidRPr="009650A1" w:rsidRDefault="00A33592" w:rsidP="00A33592">
      <w:pPr>
        <w:widowControl w:val="0"/>
        <w:adjustRightInd w:val="0"/>
        <w:spacing w:after="0" w:line="360" w:lineRule="auto"/>
        <w:rPr>
          <w:rFonts w:ascii="Times New Roman" w:hAnsi="Times New Roman" w:cs="Times New Roman"/>
          <w:bCs/>
          <w:color w:val="00B0F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>??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Этапность реализации и инвестиционный профиль инвестиицонного проекта «Берег Восхода» (2026–2035 гг.) (составлено автором)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888"/>
        <w:gridCol w:w="2638"/>
        <w:gridCol w:w="1984"/>
        <w:gridCol w:w="1134"/>
        <w:gridCol w:w="1241"/>
      </w:tblGrid>
      <w:tr w:rsidR="00A33592" w:rsidRPr="00A542E9" w:rsidTr="00C4680C">
        <w:trPr>
          <w:trHeight w:val="674"/>
        </w:trPr>
        <w:tc>
          <w:tcPr>
            <w:tcW w:w="1998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Фаза реализации</w:t>
            </w:r>
          </w:p>
        </w:tc>
        <w:tc>
          <w:tcPr>
            <w:tcW w:w="888" w:type="dxa"/>
            <w:hideMark/>
          </w:tcPr>
          <w:p w:rsidR="00A33592" w:rsidRPr="00A542E9" w:rsidRDefault="00A33592" w:rsidP="00C4680C">
            <w:pPr>
              <w:ind w:left="-48" w:right="-103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Период</w:t>
            </w:r>
          </w:p>
        </w:tc>
        <w:tc>
          <w:tcPr>
            <w:tcW w:w="2638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Содержание  этапа</w:t>
            </w:r>
          </w:p>
        </w:tc>
        <w:tc>
          <w:tcPr>
            <w:tcW w:w="198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Приоритетные кластеры</w:t>
            </w:r>
          </w:p>
        </w:tc>
        <w:tc>
          <w:tcPr>
            <w:tcW w:w="1134" w:type="dxa"/>
            <w:hideMark/>
          </w:tcPr>
          <w:p w:rsidR="00A33592" w:rsidRPr="00A542E9" w:rsidRDefault="00A33592" w:rsidP="00C4680C">
            <w:pPr>
              <w:ind w:left="-63" w:right="-15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Объем инвестиций, млрд долл.</w:t>
            </w:r>
          </w:p>
        </w:tc>
        <w:tc>
          <w:tcPr>
            <w:tcW w:w="1241" w:type="dxa"/>
            <w:hideMark/>
          </w:tcPr>
          <w:p w:rsidR="00A33592" w:rsidRDefault="00A33592" w:rsidP="00C4680C">
            <w:pPr>
              <w:ind w:right="-143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Среднегодо-</w:t>
            </w:r>
          </w:p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вой объем, млрд долл.</w:t>
            </w:r>
          </w:p>
        </w:tc>
      </w:tr>
      <w:tr w:rsidR="00A33592" w:rsidRPr="00A542E9" w:rsidTr="00C4680C">
        <w:trPr>
          <w:trHeight w:val="1677"/>
        </w:trPr>
        <w:tc>
          <w:tcPr>
            <w:tcW w:w="199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Фаза I. Формирование критической инфраструктурной базы</w:t>
            </w:r>
          </w:p>
        </w:tc>
        <w:tc>
          <w:tcPr>
            <w:tcW w:w="88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2026–2028</w:t>
            </w:r>
          </w:p>
        </w:tc>
        <w:tc>
          <w:tcPr>
            <w:tcW w:w="263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Запуск институционального и цифрового контура проекта, создание базовой энергетической и образовательной инфраструктуры, начальная модернизация логистики</w:t>
            </w:r>
          </w:p>
        </w:tc>
        <w:tc>
          <w:tcPr>
            <w:tcW w:w="1984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IV. Цифровая платформа; VI. Энергетика; V. Образование и R&amp;D; II. Портово-логистический кластер</w:t>
            </w:r>
          </w:p>
        </w:tc>
        <w:tc>
          <w:tcPr>
            <w:tcW w:w="113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4,18</w:t>
            </w:r>
          </w:p>
        </w:tc>
        <w:tc>
          <w:tcPr>
            <w:tcW w:w="1241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1,39</w:t>
            </w:r>
          </w:p>
        </w:tc>
      </w:tr>
      <w:tr w:rsidR="00A33592" w:rsidRPr="00A542E9" w:rsidTr="00C4680C">
        <w:trPr>
          <w:trHeight w:val="1843"/>
        </w:trPr>
        <w:tc>
          <w:tcPr>
            <w:tcW w:w="199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Фаза II. Масштабирование производственных и инфраструктурных контуров</w:t>
            </w:r>
          </w:p>
        </w:tc>
        <w:tc>
          <w:tcPr>
            <w:tcW w:w="88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2029–2031</w:t>
            </w:r>
          </w:p>
        </w:tc>
        <w:tc>
          <w:tcPr>
            <w:tcW w:w="263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Развертывание агропереработки, индустриально-производственного кластера и СЭЗ, расширение логистики и финансовой поддержки</w:t>
            </w:r>
          </w:p>
        </w:tc>
        <w:tc>
          <w:tcPr>
            <w:tcW w:w="1984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I. Агропереработка; II. Портово-логистический кластер; III. Индустриально-производственный кластер и СЭЗ; VII. Финансы</w:t>
            </w:r>
          </w:p>
        </w:tc>
        <w:tc>
          <w:tcPr>
            <w:tcW w:w="113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5,94</w:t>
            </w:r>
          </w:p>
        </w:tc>
        <w:tc>
          <w:tcPr>
            <w:tcW w:w="1241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1,98</w:t>
            </w:r>
          </w:p>
        </w:tc>
      </w:tr>
      <w:tr w:rsidR="00A33592" w:rsidRPr="00A542E9" w:rsidTr="00C4680C">
        <w:trPr>
          <w:trHeight w:val="1826"/>
        </w:trPr>
        <w:tc>
          <w:tcPr>
            <w:tcW w:w="199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Фаза III. Экспортно-индустриальная консолидация</w:t>
            </w:r>
          </w:p>
        </w:tc>
        <w:tc>
          <w:tcPr>
            <w:tcW w:w="88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2032–2035</w:t>
            </w:r>
          </w:p>
        </w:tc>
        <w:tc>
          <w:tcPr>
            <w:tcW w:w="263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Завершение ввода социально-инклюзивного и экологического контуров, достижение зрелости платформенной экосистемы, закрепление экспортной специализации на добавленной стоимости</w:t>
            </w:r>
          </w:p>
        </w:tc>
        <w:tc>
          <w:tcPr>
            <w:tcW w:w="1984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VIII. Социально-инклюзивный и урбанистический кластер; IX. Экология и климат; доразвитие I–VII кластеров</w:t>
            </w:r>
          </w:p>
        </w:tc>
        <w:tc>
          <w:tcPr>
            <w:tcW w:w="113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5,48</w:t>
            </w:r>
          </w:p>
        </w:tc>
        <w:tc>
          <w:tcPr>
            <w:tcW w:w="1241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1,37</w:t>
            </w:r>
          </w:p>
        </w:tc>
      </w:tr>
      <w:tr w:rsidR="00A33592" w:rsidRPr="00A542E9" w:rsidTr="00C4680C">
        <w:trPr>
          <w:trHeight w:val="408"/>
        </w:trPr>
        <w:tc>
          <w:tcPr>
            <w:tcW w:w="1998" w:type="dxa"/>
            <w:hideMark/>
          </w:tcPr>
          <w:p w:rsidR="00A33592" w:rsidRPr="00A542E9" w:rsidRDefault="00A33592" w:rsidP="00C468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888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638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98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134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15,60</w:t>
            </w:r>
          </w:p>
        </w:tc>
        <w:tc>
          <w:tcPr>
            <w:tcW w:w="1241" w:type="dxa"/>
            <w:hideMark/>
          </w:tcPr>
          <w:p w:rsidR="00A33592" w:rsidRPr="00A542E9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1,56</w:t>
            </w:r>
          </w:p>
        </w:tc>
      </w:tr>
    </w:tbl>
    <w:p w:rsidR="00A33592" w:rsidRDefault="00A33592"/>
    <w:p w:rsidR="00A33592" w:rsidRDefault="00A33592" w:rsidP="00A33592">
      <w:pPr>
        <w:widowControl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Структура инвесторов и условия участия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(составлено автором)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4"/>
        <w:gridCol w:w="1742"/>
        <w:gridCol w:w="826"/>
        <w:gridCol w:w="1876"/>
        <w:gridCol w:w="2477"/>
      </w:tblGrid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инвестора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Объем инвестиций, млрд долл.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Доля, %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Ключевые условия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Государственный бюджет КДИ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2,34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Прямые инвестиции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Государственные гарантии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АфБР / МВФ / ВБ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2,96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Льготные кредиты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ESG-стандарты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Частные СП (50/50)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4,21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Акционерный капитал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Налоговые стимулы, режим ГЧП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ESG / Green Bonds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1,72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Облигации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EUDR, SDG-соответствие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Суверенные фонды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1,40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Долгосрочные инвестиции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Репатриация прибыли, стабильный режим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Китайские индустриальные фонды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1,72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СЭЗ-концессии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к порту и индустриальной инфраструктуре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Цифровые инфраструктурные фонды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1,25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в платформе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 API, данные, цифровые сервисы</w:t>
            </w:r>
          </w:p>
        </w:tc>
      </w:tr>
      <w:tr w:rsidR="00A33592" w:rsidRPr="006E58D6" w:rsidTr="00C4680C">
        <w:tc>
          <w:tcPr>
            <w:tcW w:w="0" w:type="auto"/>
            <w:hideMark/>
          </w:tcPr>
          <w:p w:rsidR="00A33592" w:rsidRPr="006E58D6" w:rsidRDefault="00A33592" w:rsidP="00C468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15,60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A33592" w:rsidRPr="006E58D6" w:rsidRDefault="00A33592" w:rsidP="00C4680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A33592" w:rsidRDefault="00A33592"/>
    <w:p w:rsidR="00A33592" w:rsidRPr="006964AD" w:rsidRDefault="00A33592" w:rsidP="00A33592">
      <w:pPr>
        <w:widowControl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6817BC" wp14:editId="7663494E">
            <wp:extent cx="5700000" cy="2425802"/>
            <wp:effectExtent l="0" t="0" r="0" b="0"/>
            <wp:docPr id="841381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 rotWithShape="1">
                    <a:blip r:embed="rId4"/>
                    <a:srcRect t="5537"/>
                    <a:stretch/>
                  </pic:blipFill>
                  <pic:spPr bwMode="auto">
                    <a:xfrm>
                      <a:off x="0" y="0"/>
                      <a:ext cx="5700000" cy="242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592" w:rsidRPr="006964AD" w:rsidRDefault="00A33592" w:rsidP="00A33592">
      <w:pPr>
        <w:widowControl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Структура и фазовое распределение инвестиций 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 xml:space="preserve">инновационного проекта «Берег Восхода» (составлено автором) </w:t>
      </w:r>
      <w:r>
        <w:rPr>
          <w:rFonts w:ascii="Times New Roman" w:hAnsi="Times New Roman" w:cs="Times New Roman"/>
          <w:bCs/>
          <w:color w:val="0070C0"/>
          <w:sz w:val="28"/>
          <w:szCs w:val="28"/>
          <w:highlight w:val="yellow"/>
        </w:rPr>
        <w:t>!!!переделать рисунок под актуальную информацию по годам и суммам</w:t>
      </w:r>
    </w:p>
    <w:p w:rsidR="00A33592" w:rsidRDefault="00A33592"/>
    <w:sectPr w:rsidR="00A3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3A6"/>
    <w:rsid w:val="006063A6"/>
    <w:rsid w:val="00A33592"/>
    <w:rsid w:val="00D2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2508F6-E96C-462A-9CBE-F8D92DAD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2026-04-04T18:24:00Z</dcterms:created>
  <dcterms:modified xsi:type="dcterms:W3CDTF">2026-04-04T18:27:00Z</dcterms:modified>
</cp:coreProperties>
</file>