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80" w:after="1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3.2. Полиструктурное сценарно-симуляционное вычислительное ядро многокластерной платформы «Берег Восхода»: математический аппарат и операциональная логика</w:t>
      </w:r>
    </w:p>
    <w:p>
      <w:pPr>
        <w:spacing w:before="80" w:after="80" w:line="276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Реализация проекта «Берег Восхода» предполагает одновременное развёртывание девяти функционально взаимосвязанных кластеров, каждый из которых является самостоятельной инвестиционной и операционной единицей. Координация столь сложной многоагентной системы требует формализованного аналитического инструмента — вычислительного ядра, позволяющего в режиме реального времени оценивать совокупный эффект управленческих решений. Таким инструментом является ПСВЯ — Полиструктурное сценарно-симуляционное вычислительное ядро.</w:t>
      </w:r>
    </w:p>
    <w:p>
      <w:pPr>
        <w:spacing w:before="80" w:after="80" w:line="276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Термин «вычислительное ядро» используется в смысле, принятом в системном анализе: центральный модуль, принимающий на вход вектор управляющих переменных X, вычисляющий прогнозные значения выходных показателей и проверяющий соблюдение системы ресурсных ограничений [1; 6]. Симулятор потоков платформы «Берег Восхода» представляет собой прикладную реализацию ПСВЯ в форме интерактивного веб-приложения (версия v16).</w:t>
      </w:r>
    </w:p>
    <w:p>
      <w:pPr>
        <w:pStyle w:val="Heading2"/>
        <w:spacing w:before="220" w:after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3.2.1. Вектор состояния и управляющие переменные</w:t>
      </w:r>
    </w:p>
    <w:p>
      <w:pPr>
        <w:spacing w:before="80" w:after="80" w:line="276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Состояние платформы описывается вектором реализации (3.1), компоненты которого xᵢ ∈ [xᵢᵐⁱⁿ; 1] задают степень реализации i-го кластера — от 0 (кластер не запущен) до 1 (полная проектная мощность):</w:t>
      </w:r>
    </w:p>
    <w:p>
      <m:oMathPara>
        <m:oMath>
          <m:r>
            <m:rPr>
              <m:sty m:val="i"/>
            </m:rPr>
            <m:t>X</m:t>
          </m:r>
          <m:r>
            <m:rPr>
              <m:sty m:val="p"/>
            </m:rPr>
            <m:t> = </m:t>
          </m:r>
          <m:d>
            <m:dPr>
              <m:begChr m:val="("/>
              <m:endChr m:val=")"/>
            </m:dPr>
            <m:e>
              <m:sSub>
                <m:e>
                  <m:r>
                    <m:rPr>
                      <m:sty m:val="i"/>
                    </m:rPr>
                    <m:t>x</m:t>
                  </m:r>
                </m:e>
                <m:sub>
                  <m:r>
                    <m:rPr>
                      <m:sty m:val="p"/>
                    </m:rPr>
                    <m:t>1</m:t>
                  </m:r>
                </m:sub>
              </m:sSub>
              <m:r>
                <m:rPr>
                  <m:sty m:val="p"/>
                </m:rPr>
                <m:t>, …, </m:t>
              </m:r>
              <m:sSub>
                <m:e>
                  <m:r>
                    <m:rPr>
                      <m:sty m:val="i"/>
                    </m:rPr>
                    <m:t>x</m:t>
                  </m:r>
                </m:e>
                <m:sub>
                  <m:r>
                    <m:rPr>
                      <m:sty m:val="p"/>
                    </m:rPr>
                    <m:t>9</m:t>
                  </m:r>
                </m:sub>
              </m:sSub>
            </m:e>
          </m:d>
          <m:sSup>
            <m:e>
              <m:r>
                <m:rPr>
                  <m:sty m:val="p"/>
                </m:rPr>
                <m:t/>
              </m:r>
            </m:e>
            <m:sup>
              <m:r>
                <m:rPr>
                  <m:sty m:val="p"/>
                </m:rPr>
                <m:t>T</m:t>
              </m:r>
            </m:sup>
          </m:sSup>
          <m:r>
            <m:rPr>
              <m:sty m:val="p"/>
            </m:rPr>
            <m:t>,  </m:t>
          </m:r>
          <m:sSub>
            <m:e>
              <m:r>
                <m:rPr>
                  <m:sty m:val="i"/>
                </m:rPr>
                <m:t>x</m:t>
              </m:r>
            </m:e>
            <m:sub>
              <m:r>
                <m:rPr>
                  <m:sty m:val="i"/>
                </m:rPr>
                <m:t>i</m:t>
              </m:r>
            </m:sub>
          </m:sSub>
          <m:r>
            <m:rPr>
              <m:sty m:val="p"/>
            </m:rPr>
            <m:t> ∈ </m:t>
          </m:r>
          <m:d>
            <m:dPr>
              <m:begChr m:val="("/>
              <m:endChr m:val=")"/>
            </m:dPr>
            <m:e>
              <m:sSubSup>
                <m:e>
                  <m:r>
                    <m:rPr>
                      <m:sty m:val="i"/>
                    </m:rPr>
                    <m:t>x</m:t>
                  </m:r>
                </m:e>
                <m:sub>
                  <m:r>
                    <m:rPr>
                      <m:sty m:val="i"/>
                    </m:rPr>
                    <m:t>i</m:t>
                  </m:r>
                </m:sub>
                <m:sup>
                  <m:r>
                    <m:rPr>
                      <m:sty m:val="p"/>
                    </m:rPr>
                    <m:t>min</m:t>
                  </m:r>
                </m:sup>
              </m:sSubSup>
              <m:r>
                <m:rPr>
                  <m:sty m:val="p"/>
                </m:rPr>
                <m:t>; 1</m:t>
              </m:r>
            </m:e>
          </m:d>
        </m:oMath>
      </m:oMathPara>
    </w:p>
    <w:p>
      <w:pPr>
        <w:spacing w:before="0" w:after="100"/>
        <w:jc w:val="right"/>
      </w:pPr>
      <w:r>
        <w:rPr>
          <w:rFonts w:ascii="Times New Roman" w:hAnsi="Times New Roman" w:cs="Times New Roman"/>
          <w:sz w:val="24"/>
          <w:szCs w:val="24"/>
        </w:rPr>
        <w:t>(3.1)</w:t>
      </w:r>
    </w:p>
    <w:p>
      <w:pPr>
        <w:spacing w:before="80" w:after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где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xᵢ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— степень реализации i-го кластера;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xᵢᵐⁱⁿ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— минимально допустимый уровень реализации, при котором обеспечивается критическая функциональность кластера.</w:t>
      </w:r>
    </w:p>
    <w:p>
      <w:pPr>
        <w:spacing w:before="80" w:after="80" w:line="276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Область допустимых значений вектора X формирует политопальное ограниченное пространство решений. Критически важным является ограничение снизу для Кластера IV (Цифровая платформа): без достижения порогового значения x₄ ≥ 0,30 цифровая координация кластеров прекращается, что влечёт лавинообразное падение совокупного ΔY [8].</w:t>
      </w:r>
    </w:p>
    <w:p>
      <w:pPr>
        <w:pStyle w:val="Heading2"/>
        <w:spacing w:before="220" w:after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3.2.2. Целевая функция: прирост добавленной стоимости</w:t>
      </w:r>
    </w:p>
    <w:p>
      <w:pPr>
        <w:spacing w:before="80" w:after="80" w:line="276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Целевой функцией движка является суммарный прирост валовой добавленной стоимости (ВДС) платформы, включающий три компоненты: прямой вклад кластеров с учётом цифрового усиления, синергетические эффекты межкластерных взаимодействий и транзакционный эффект цифровой платформы.</w:t>
      </w:r>
    </w:p>
    <w:p>
      <w:pPr>
        <w:spacing w:before="80" w:after="80" w:line="276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Формула прироста ВДС платформы:</w:t>
      </w:r>
    </w:p>
    <w:p>
      <m:oMathPara>
        <m:oMath>
          <m:r>
            <m:rPr>
              <m:sty m:val="i"/>
            </m:rPr>
            <m:t>Δ</m:t>
          </m:r>
          <m:r>
            <m:rPr>
              <m:sty m:val="i"/>
            </m:rPr>
            <m:t>Y</m:t>
          </m:r>
          <m:d>
            <m:dPr>
              <m:begChr m:val="("/>
              <m:endChr m:val=")"/>
            </m:dPr>
            <m:e>
              <m:r>
                <m:rPr>
                  <m:sty m:val="i"/>
                </m:rPr>
                <m:t>X</m:t>
              </m:r>
            </m:e>
          </m:d>
          <m:r>
            <m:rPr>
              <m:sty m:val="p"/>
            </m:rPr>
            <m:t> = </m:t>
          </m:r>
          <m:nary>
            <m:naryPr>
              <m:chr m:val="∑"/>
              <m:limLoc m:val="undOvr"/>
            </m:naryPr>
            <m:sub>
              <m:r>
                <m:rPr>
                  <m:sty m:val="i"/>
                </m:rPr>
                <m:t>i</m:t>
              </m:r>
              <m:r>
                <m:rPr>
                  <m:sty m:val="p"/>
                </m:rPr>
                <m:t>=1</m:t>
              </m:r>
            </m:sub>
            <m:sup>
              <m:r>
                <m:rPr>
                  <m:sty m:val="p"/>
                </m:rPr>
                <m:t>9</m:t>
              </m:r>
            </m:sup>
            <m:e>
              <m:sSub>
                <m:e>
                  <m:r>
                    <m:rPr>
                      <m:sty m:val="i"/>
                    </m:rPr>
                    <m:t>k</m:t>
                  </m:r>
                </m:e>
                <m:sub>
                  <m:r>
                    <m:rPr>
                      <m:sty m:val="i"/>
                    </m:rP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d>
                <m:dPr>
                  <m:begChr m:val="("/>
                  <m:endChr m:val=")"/>
                </m:dPr>
                <m:e>
                  <m:r>
                    <m:rPr>
                      <m:sty m:val="p"/>
                    </m:rPr>
                    <m:t>1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ty m:val="i"/>
                        </m:rPr>
                        <m:t>δ</m:t>
                      </m:r>
                    </m:e>
                    <m:sub>
                      <m:r>
                        <m:rPr>
                          <m:sty m:val="i"/>
                        </m:rP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rPr>
                          <m:sty m:val="i"/>
                        </m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4</m:t>
                      </m:r>
                    </m:sub>
                  </m:sSub>
                </m:e>
              </m:d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i"/>
                    </m:rPr>
                    <m:t>x</m:t>
                  </m:r>
                </m:e>
                <m:sub>
                  <m:r>
                    <m:rPr>
                      <m:sty m:val="i"/>
                    </m:rP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Sup>
                <m:e>
                  <m:r>
                    <m:rPr>
                      <m:sty m:val="i"/>
                    </m:rPr>
                    <m:t>Q</m:t>
                  </m:r>
                </m:e>
                <m:sub>
                  <m:r>
                    <m:rPr>
                      <m:sty m:val="i"/>
                    </m:rPr>
                    <m:t>i</m:t>
                  </m:r>
                </m:sub>
                <m:sup>
                  <m:r>
                    <m:rPr>
                      <m:sty m:val="p"/>
                    </m:rPr>
                    <m:t>max</m:t>
                  </m:r>
                </m:sup>
              </m:sSubSup>
            </m:e>
          </m:nary>
          <m:r>
            <m:rPr>
              <m:sty m:val="p"/>
            </m:rPr>
            <m:t> + </m:t>
          </m:r>
          <m:nary>
            <m:naryPr>
              <m:chr m:val="∑"/>
              <m:limLoc m:val="undOvr"/>
            </m:naryPr>
            <m:sub>
              <m:r>
                <m:rPr>
                  <m:sty m:val="i"/>
                </m:rPr>
                <m:t>i</m:t>
              </m:r>
              <m:r>
                <m:rPr>
                  <m:sty m:val="p"/>
                </m:rPr>
                <m:t>&lt;</m:t>
              </m:r>
              <m:r>
                <m:rPr>
                  <m:sty m:val="i"/>
                </m:rPr>
                <m:t>j</m:t>
              </m:r>
            </m:sub>
            <m:sup>
              <m:r>
                <m:rPr>
                  <m:sty m:val="p"/>
                </m:rPr>
                <m:t/>
              </m:r>
            </m:sup>
            <m:e>
              <m:sSub>
                <m:e>
                  <m:r>
                    <m:rPr>
                      <m:sty m:val="i"/>
                    </m:rPr>
                    <m:t>s</m:t>
                  </m:r>
                </m:e>
                <m:sub>
                  <m:r>
                    <m:rPr>
                      <m:sty m:val="p"/>
                    </m:rPr>
                    <m:t>ij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i"/>
                    </m:rPr>
                    <m:t>x</m:t>
                  </m:r>
                </m:e>
                <m:sub>
                  <m:r>
                    <m:rPr>
                      <m:sty m:val="i"/>
                    </m:rP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i"/>
                    </m:rPr>
                    <m:t>x</m:t>
                  </m:r>
                </m:e>
                <m:sub>
                  <m:r>
                    <m:rPr>
                      <m:sty m:val="i"/>
                    </m:rP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d>
                <m:dPr>
                  <m:begChr m:val="("/>
                  <m:endChr m:val=")"/>
                </m:dPr>
                <m:e>
                  <m:sSub>
                    <m:e>
                      <m:r>
                        <m:rPr>
                          <m:sty m:val="i"/>
                        </m:rPr>
                        <m:t>Q̅</m:t>
                      </m:r>
                    </m:e>
                    <m:sub>
                      <m:r>
                        <m:rPr>
                          <m:sty m:val="i"/>
                        </m:rP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ty m:val="i"/>
                        </m:rPr>
                        <m:t>Q̅</m:t>
                      </m:r>
                    </m:e>
                    <m:sub>
                      <m:r>
                        <m:rPr>
                          <m:sty m:val="i"/>
                        </m:rPr>
                        <m:t>j</m:t>
                      </m:r>
                    </m:sub>
                  </m:sSub>
                </m:e>
              </m:d>
            </m:e>
          </m:nary>
          <m:r>
            <m:rPr>
              <m:sty m:val="p"/>
            </m:rPr>
            <m:t> + </m:t>
          </m:r>
          <m:r>
            <m:rPr>
              <m:sty m:val="i"/>
            </m:rPr>
            <m:t>Δ</m:t>
          </m:r>
          <m:sSub>
            <m:e>
              <m:r>
                <m:rPr>
                  <m:sty m:val="i"/>
                </m:rPr>
                <m:t>Y</m:t>
              </m:r>
            </m:e>
            <m:sub>
              <m:r>
                <m:rPr>
                  <m:sty m:val="p"/>
                </m:rPr>
                <m:t>TC</m:t>
              </m:r>
            </m:sub>
          </m:sSub>
          <m:d>
            <m:dPr>
              <m:begChr m:val="("/>
              <m:endChr m:val=")"/>
            </m:dPr>
            <m:e>
              <m:sSub>
                <m:e>
                  <m:r>
                    <m:rPr>
                      <m:sty m:val="i"/>
                    </m:rPr>
                    <m:t>x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e>
          </m:d>
        </m:oMath>
      </m:oMathPara>
    </w:p>
    <w:p>
      <w:pPr>
        <w:spacing w:before="0" w:after="100"/>
        <w:jc w:val="right"/>
      </w:pPr>
      <w:r>
        <w:rPr>
          <w:rFonts w:ascii="Times New Roman" w:hAnsi="Times New Roman" w:cs="Times New Roman"/>
          <w:sz w:val="24"/>
          <w:szCs w:val="24"/>
        </w:rPr>
        <w:t>(3.2)</w:t>
      </w:r>
    </w:p>
    <w:p>
      <w:pPr>
        <w:spacing w:before="60" w:after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где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Qᵢᵐᵃˣ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— базовая производственная мощность i-го кластера при xᵢ = 1, млрд USD (независимая экспертная оценка, не содержит коэффициента добавленной стоимости);</w:t>
      </w:r>
    </w:p>
    <w:p>
      <w:pPr>
        <w:spacing w:before="80" w:after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kᵢ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— коэффициент добавленной стоимости i-го кластера (КДС; задаётся экзогенно по эмпирическим аналогам для Африки, см. раздел 3.2.3);</w:t>
      </w:r>
    </w:p>
    <w:p>
      <w:pPr>
        <w:spacing w:before="80" w:after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δᵢ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— параметр цифрового усиления i-го кластера (таблица 3.2.1);</w:t>
      </w:r>
    </w:p>
    <w:p>
      <w:pPr>
        <w:spacing w:before="80" w:after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x₄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— степень реализации Кластера IV (Цифровая платформа);</w:t>
      </w:r>
    </w:p>
    <w:p>
      <w:pPr>
        <w:spacing w:before="80" w:after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Q̄ᵢ = kᵢ · Qᵢᵐᵃˣ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— статический потолок ВДС кластера i (без цифрового усиления; формула 3.5);</w:t>
      </w:r>
    </w:p>
    <w:p>
      <w:pPr>
        <w:spacing w:before="80" w:after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sᵢⱼ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— безразмерный синергетический коэффициент пары (i, j); sᵢⱼ ∈ [0; 0,5] (таблица 3.2.2);</w:t>
      </w:r>
    </w:p>
    <w:p>
      <w:pPr>
        <w:spacing w:before="80" w:after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ΔY_TC(x₄)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— прирост ВДС от снижения транзакционных издержек, индуцированного Кластером IV (формула 3.7).</w:t>
      </w:r>
    </w:p>
    <w:p>
      <m:oMathPara>
        <m:oMath>
          <m:sSub>
            <m:e>
              <m:r>
                <m:rPr>
                  <m:sty m:val="i"/>
                </m:rPr>
                <m:t>k</m:t>
              </m:r>
            </m:e>
            <m:sub>
              <m:r>
                <m:rPr>
                  <m:sty m:val="i"/>
                </m:rPr>
                <m:t>i</m:t>
              </m:r>
            </m:sub>
          </m:sSub>
          <m:r>
            <m:rPr>
              <m:sty m:val="p"/>
            </m:rPr>
            <m:t> = </m:t>
          </m:r>
          <m:f>
            <m:num>
              <m:sSub>
                <m:e>
                  <m:r>
                    <m:rPr>
                      <m:sty m:val="i"/>
                    </m:rPr>
                    <m:t>ΔY</m:t>
                  </m:r>
                </m:e>
                <m:sub>
                  <m:r>
                    <m:rPr>
                      <m:sty m:val="i"/>
                    </m:rPr>
                    <m:t>i</m:t>
                  </m:r>
                </m:sub>
              </m:sSub>
            </m:num>
            <m:den>
              <m:sSubSup>
                <m:e>
                  <m:r>
                    <m:rPr>
                      <m:sty m:val="i"/>
                    </m:rPr>
                    <m:t>Q</m:t>
                  </m:r>
                </m:e>
                <m:sub>
                  <m:r>
                    <m:rPr>
                      <m:sty m:val="i"/>
                    </m:rPr>
                    <m:t>i</m:t>
                  </m:r>
                </m:sub>
                <m:sup>
                  <m:r>
                    <m:rPr>
                      <m:sty m:val="p"/>
                    </m:rPr>
                    <m:t>max</m:t>
                  </m:r>
                </m:sup>
              </m:sSubSup>
            </m:den>
          </m:f>
        </m:oMath>
      </m:oMathPara>
    </w:p>
    <w:p>
      <w:pPr>
        <w:spacing w:before="0" w:after="100"/>
        <w:jc w:val="right"/>
      </w:pPr>
      <w:r>
        <w:rPr>
          <w:rFonts w:ascii="Times New Roman" w:hAnsi="Times New Roman" w:cs="Times New Roman"/>
          <w:sz w:val="24"/>
          <w:szCs w:val="24"/>
        </w:rPr>
        <w:t>(3.3)</w:t>
      </w:r>
    </w:p>
    <w:p>
      <w:pPr>
        <w:spacing w:before="80" w:after="80" w:line="276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Первое слагаемое формулы (3.2) представляет линейный вклад кластеров с эффективным КДС kᵢ*(x₄) = kᵢ·(1+δᵢ·x₄), возрастающим по мере развёртывания цифровой инфраструктуры. Второе слагаемое — нелинейная (билинейная) форма, отражающая синергетические эффекты совместной работы кластеров; в качестве масштаба синергии используется статический потолок Q̄ᵢ = kᵢ·Qᵢᵐᵃˣ, что исключает двойной учёт цифрового усиления. Третье слагаемое фиксирует экзогенный эффект снижения транзакционных издержек.</w:t>
      </w:r>
    </w:p>
    <w:p>
      <w:pPr>
        <w:pStyle w:val="Heading2"/>
        <w:spacing w:before="220" w:after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3.2.3. Коэффициент добавленной стоимости кластеров и цифровое усиление</w:t>
      </w:r>
    </w:p>
    <w:p>
      <w:pPr>
        <w:pStyle w:val="Heading3"/>
        <w:spacing w:before="180" w:after="8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Природа и статус параметра kᵢ</w:t>
      </w:r>
    </w:p>
    <w:p>
      <w:pPr>
        <w:spacing w:before="80" w:after="80" w:line="276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Ключевым структурным параметром ПСВЯ является коэффициент добавленной стоимости (КДС) кластера i, обозначаемый kᵢ. Для устранения терминологической неоднозначности необходимо чётко разграничить четыре аспекта этого параметра.</w:t>
      </w:r>
    </w:p>
    <w:p>
      <w:pPr>
        <w:spacing w:before="80" w:after="80" w:line="276" w:lineRule="auto"/>
        <w:ind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Теоретическое определение.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КДС kᵢ определяется как отношение суммарного прироста добавленной стоимости, генерируемого кластером i через прямые и косвенные (мультипликативные) эффекты в экономике, к его базовой производственной мощности:</w:t>
      </w:r>
    </w:p>
    <w:p>
      <m:oMathPara>
        <m:oMath>
          <m:sSubSup>
            <m:e>
              <m:r>
                <m:rPr>
                  <m:sty m:val="i"/>
                </m:rPr>
                <m:t>k</m:t>
              </m:r>
            </m:e>
            <m:sub>
              <m:r>
                <m:rPr>
                  <m:sty m:val="i"/>
                </m:rP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d>
            <m:dPr>
              <m:begChr m:val="("/>
              <m:endChr m:val=")"/>
            </m:dPr>
            <m:e>
              <m:sSub>
                <m:e>
                  <m:r>
                    <m:rPr>
                      <m:sty m:val="i"/>
                    </m:rPr>
                    <m:t>x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e>
          </m:d>
          <m:r>
            <m:rPr>
              <m:sty m:val="p"/>
            </m:rPr>
            <m:t> = </m:t>
          </m:r>
          <m:sSub>
            <m:e>
              <m:r>
                <m:rPr>
                  <m:sty m:val="i"/>
                </m:rPr>
                <m:t>k</m:t>
              </m:r>
            </m:e>
            <m:sub>
              <m:r>
                <m:rPr>
                  <m:sty m:val="i"/>
                </m:rPr>
                <m:t>i</m:t>
              </m:r>
            </m:sub>
          </m:sSub>
          <m:r>
            <m:rPr>
              <m:sty m:val="p"/>
            </m:rPr>
            <m:t>⋅</m:t>
          </m:r>
          <m:d>
            <m:dPr>
              <m:begChr m:val="("/>
              <m:endChr m:val=")"/>
            </m:dPr>
            <m:e>
              <m:r>
                <m:rPr>
                  <m:sty m:val="p"/>
                </m:rPr>
                <m:t>1</m:t>
              </m:r>
              <m:r>
                <m:rPr>
                  <m:sty m:val="p"/>
                </m:rPr>
                <m:t> + </m:t>
              </m:r>
              <m:sSub>
                <m:e>
                  <m:r>
                    <m:rPr>
                      <m:sty m:val="i"/>
                    </m:rPr>
                    <m:t>δ</m:t>
                  </m:r>
                </m:e>
                <m:sub>
                  <m:r>
                    <m:rPr>
                      <m:sty m:val="i"/>
                    </m:rP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i"/>
                    </m:rPr>
                    <m:t>x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e>
          </m:d>
        </m:oMath>
      </m:oMathPara>
    </w:p>
    <w:p>
      <w:pPr>
        <w:spacing w:before="0" w:after="100"/>
        <w:jc w:val="right"/>
      </w:pPr>
      <w:r>
        <w:rPr>
          <w:rFonts w:ascii="Times New Roman" w:hAnsi="Times New Roman" w:cs="Times New Roman"/>
          <w:sz w:val="24"/>
          <w:szCs w:val="24"/>
        </w:rPr>
        <w:t>(3.4)</w:t>
      </w:r>
    </w:p>
    <w:p>
      <w:pPr>
        <w:spacing w:before="80" w:after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где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ΔYᵢ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— совокупный прирост ВДС от кластера i (прямой + косвенный);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Qᵢᵐᵃˣ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— базовая производственная мощность кластера при xᵢ = 1, оцениваемая независимо от kᵢ.</w:t>
      </w:r>
    </w:p>
    <w:p>
      <w:pPr>
        <w:spacing w:before="80" w:after="80" w:line="276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Механизм возникновения.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Выпуск кластера i создаёт цепочку вторичных эффектов: спрос на промежуточные товары смежных секторов, доходы занятых, налоговые поступления, стимулирование потребления. Совокупный эффект превышает прямой выпуск в kᵢ раз. Этот механизм аналогичен кейнсианскому инвестиционному мультипликатору ΔY/ΔINV [4], однако принципиально отличается от него: kᵢ нормирован на производственную мощность Qᵢᵐᵃˣ, а не на объём капиталовложений CAPEXᵢ. Следовательно, соотношение Qᵢᵐᵃˣ/(kᵢ·CAPEXᵢ), варьирующееся от 0,42 до 2,25 по кластерам, не является индикатором ошибки — оно отражает естественную разнородность кластеров по капиталоёмкости [2; 5].</w:t>
      </w:r>
    </w:p>
    <w:p>
      <w:pPr>
        <w:spacing w:before="80" w:after="80" w:line="276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Способ задания в модели.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В ПСВЯ kᵢ задаётся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экзогенно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по эмпирическим аналогам — литературным оценкам КДС для соответствующих типов кластеров в странах Африки (таблица 3.2.1, обоснование — таблица в конце раздела). Параметр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не вычисляется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из данных конкретного проекта.</w:t>
      </w:r>
    </w:p>
    <w:p>
      <w:pPr>
        <w:spacing w:before="80" w:after="80" w:line="276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Операциональная роль.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В формуле (3.2) kᵢ входит исключительно как множитель при Qᵢᵐᵃˣ — один раз, через эффективный КДС kᵢ*(x₄) = kᵢ·(1+δᵢ·x₄). Никакого дополнительного применения kᵢ в расчёте ΔY не предусмотрено. Это исключает двойной счёт, устранённый в версии v12 симулятора.</w:t>
      </w:r>
    </w:p>
    <w:p>
      <w:pPr>
        <w:pStyle w:val="Heading3"/>
        <w:spacing w:before="180" w:after="8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Эффективный КДС и цифровое усиление</w:t>
      </w:r>
    </w:p>
    <w:p>
      <w:pPr>
        <w:spacing w:before="80" w:after="80" w:line="276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Присутствие цифровой платформы (Кластер IV) увеличивает эффективный КДС каждого зависимого кластера за счёт снижения транзакционных издержек и информационной асимметрии [3; 8]:</w:t>
      </w:r>
    </w:p>
    <w:p>
      <m:oMathPara>
        <m:oMath>
          <m:sSub>
            <m:e>
              <m:r>
                <m:rPr>
                  <m:sty m:val="i"/>
                </m:rPr>
                <m:t>Q̅</m:t>
              </m:r>
            </m:e>
            <m:sub>
              <m:r>
                <m:rPr>
                  <m:sty m:val="i"/>
                </m:rPr>
                <m:t>i</m:t>
              </m:r>
            </m:sub>
          </m:sSub>
          <m:r>
            <m:rPr>
              <m:sty m:val="p"/>
            </m:rPr>
            <m:t> = </m:t>
          </m:r>
          <m:sSub>
            <m:e>
              <m:r>
                <m:rPr>
                  <m:sty m:val="i"/>
                </m:rPr>
                <m:t>k</m:t>
              </m:r>
            </m:e>
            <m:sub>
              <m:r>
                <m:rPr>
                  <m:sty m:val="i"/>
                </m:rPr>
                <m:t>i</m:t>
              </m:r>
            </m:sub>
          </m:sSub>
          <m:r>
            <m:rPr>
              <m:sty m:val="p"/>
            </m:rPr>
            <m:t>⋅</m:t>
          </m:r>
          <m:sSubSup>
            <m:e>
              <m:r>
                <m:rPr>
                  <m:sty m:val="i"/>
                </m:rPr>
                <m:t>Q</m:t>
              </m:r>
            </m:e>
            <m:sub>
              <m:r>
                <m:rPr>
                  <m:sty m:val="i"/>
                </m:rPr>
                <m:t>i</m:t>
              </m:r>
            </m:sub>
            <m:sup>
              <m:r>
                <m:rPr>
                  <m:sty m:val="p"/>
                </m:rPr>
                <m:t>max</m:t>
              </m:r>
            </m:sup>
          </m:sSubSup>
        </m:oMath>
      </m:oMathPara>
    </w:p>
    <w:p>
      <w:pPr>
        <w:spacing w:before="0" w:after="100"/>
        <w:jc w:val="right"/>
      </w:pPr>
      <w:r>
        <w:rPr>
          <w:rFonts w:ascii="Times New Roman" w:hAnsi="Times New Roman" w:cs="Times New Roman"/>
          <w:sz w:val="24"/>
          <w:szCs w:val="24"/>
        </w:rPr>
        <w:t>(3.5)</w:t>
      </w:r>
    </w:p>
    <w:p>
      <w:pPr>
        <w:spacing w:before="80" w:after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где δᵢ — параметр цифрового усиления i-го кластера (таблица 3.2.1); δᵢ ∈ [0,10; 0,40]. При x₄ = 0 эффективный КДС совпадает с базовым: kᵢ*(0) = kᵢ. При полном развёртывании платформы (x₄ = 1): kᵢ*(1) = kᵢ·(1 + δᵢ). Наибольшие значения δᵢ: Кластер II (Порт-Логистика, δ₂ = 0,40) и Кластер I (Агропереработка, δ₁ = 0,35), наименьшее — Кластер IX (Экологический, δ₉ = 0,10).</w:t>
      </w:r>
    </w:p>
    <w:p>
      <w:pPr>
        <w:pStyle w:val="Heading3"/>
        <w:spacing w:before="180" w:after="8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Статический потолок ВДС Q̄ᵢ и его роль в формуле синергии</w:t>
      </w:r>
    </w:p>
    <w:p>
      <w:pPr>
        <w:spacing w:before="80" w:after="80" w:line="276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Для устранения двойного счёта цифрового усиления во втором слагаемом формулы (3.2) вводится понятие статического потолка ВДС кластера i — максимального прироста ВДС при базовом КДС (без цифровой надбавки):</w:t>
      </w:r>
    </w:p>
    <w:p>
      <m:oMathPara>
        <m:oMath>
          <m:r>
            <m:rPr>
              <m:sty m:val="i"/>
            </m:rPr>
            <m:t>Δ</m:t>
          </m:r>
          <m:sSub>
            <m:e>
              <m:r>
                <m:rPr>
                  <m:sty m:val="i"/>
                </m:rPr>
                <m:t>Y</m:t>
              </m:r>
            </m:e>
            <m:sub>
              <m:r>
                <m:rPr>
                  <m:sty m:val="p"/>
                </m:rPr>
                <m:t>dig</m:t>
              </m:r>
            </m:sub>
          </m:sSub>
          <m:r>
            <m:rPr>
              <m:sty m:val="p"/>
            </m:rPr>
            <m:t> = </m:t>
          </m:r>
          <m:nary>
            <m:naryPr>
              <m:chr m:val="∑"/>
              <m:limLoc m:val="undOvr"/>
            </m:naryPr>
            <m:sub>
              <m:r>
                <m:rPr>
                  <m:sty m:val="i"/>
                </m:rPr>
                <m:t>i</m:t>
              </m:r>
              <m:r>
                <m:rPr>
                  <m:sty m:val="p"/>
                </m:rPr>
                <m:t>≠4</m:t>
              </m:r>
            </m:sub>
            <m:sup>
              <m:r>
                <m:rPr>
                  <m:sty m:val="p"/>
                </m:rPr>
                <m:t/>
              </m:r>
            </m:sup>
            <m:e>
              <m:sSub>
                <m:e>
                  <m:r>
                    <m:rPr>
                      <m:sty m:val="i"/>
                    </m:rPr>
                    <m:t>δ</m:t>
                  </m:r>
                </m:e>
                <m:sub>
                  <m:r>
                    <m:rPr>
                      <m:sty m:val="i"/>
                    </m:rP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i"/>
                    </m:rPr>
                    <m:t>k</m:t>
                  </m:r>
                </m:e>
                <m:sub>
                  <m:r>
                    <m:rPr>
                      <m:sty m:val="i"/>
                    </m:rP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i"/>
                    </m:rPr>
                    <m:t>x</m:t>
                  </m:r>
                </m:e>
                <m:sub>
                  <m:r>
                    <m:rPr>
                      <m:sty m:val="i"/>
                    </m:rP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Sup>
                <m:e>
                  <m:r>
                    <m:rPr>
                      <m:sty m:val="i"/>
                    </m:rPr>
                    <m:t>Q</m:t>
                  </m:r>
                </m:e>
                <m:sub>
                  <m:r>
                    <m:rPr>
                      <m:sty m:val="i"/>
                    </m:rPr>
                    <m:t>i</m:t>
                  </m:r>
                </m:sub>
                <m:sup>
                  <m:r>
                    <m:rPr>
                      <m:sty m:val="p"/>
                    </m:rPr>
                    <m:t>max</m:t>
                  </m:r>
                </m:sup>
              </m:sSubSup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i"/>
                    </m:rPr>
                    <m:t>x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e>
          </m:nary>
        </m:oMath>
      </m:oMathPara>
    </w:p>
    <w:p>
      <w:pPr>
        <w:spacing w:before="0" w:after="100"/>
        <w:jc w:val="right"/>
      </w:pPr>
      <w:r>
        <w:rPr>
          <w:rFonts w:ascii="Times New Roman" w:hAnsi="Times New Roman" w:cs="Times New Roman"/>
          <w:sz w:val="24"/>
          <w:szCs w:val="24"/>
        </w:rPr>
        <w:t>(3.6)</w:t>
      </w:r>
    </w:p>
    <w:p>
      <w:pPr>
        <w:spacing w:before="80" w:after="80" w:line="276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Q̄ᵢ характеризует структурный потенциал кластера, обусловленный его производственными связями с остальной экономикой, а не текущим уровнем цифровизации. Использование Q̄ᵢ в синергетическом слагаемом означает: синергетический прирост ВДС пары (i, j) масштабируется на базовый потенциал каждого кластера; цифровое усиление не задваивается, поскольку kᵢ*(x₄) уже учтено в первом слагаемом.</w:t>
      </w:r>
    </w:p>
    <w:p>
      <w:pPr>
        <w:pStyle w:val="Heading3"/>
        <w:spacing w:before="180" w:after="8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Аналитическая декомпозиция цифрового эффекта</w:t>
      </w:r>
    </w:p>
    <w:p>
      <w:pPr>
        <w:spacing w:before="80" w:after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Следующая формула является аналитической декомпозицией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— она не входит в расчёт ΔY(X) и не является отдельным слагаемым модели. Её назначение — диагностическое: показать, какая доля совокупного ΔY обусловлена именно цифровым усилением (т.е. слагаемым δᵢ·x₄ в скобке первого слагаемого формулы 3.2):</w:t>
      </w:r>
    </w:p>
    <w:p>
      <m:oMathPara>
        <m:oMath>
          <m:r>
            <m:rPr>
              <m:sty m:val="i"/>
            </m:rPr>
            <m:t>Δ</m:t>
          </m:r>
          <m:sSub>
            <m:e>
              <m:r>
                <m:rPr>
                  <m:sty m:val="i"/>
                </m:rPr>
                <m:t>Y</m:t>
              </m:r>
            </m:e>
            <m:sub>
              <m:r>
                <m:rPr>
                  <m:sty m:val="p"/>
                </m:rPr>
                <m:t>TC</m:t>
              </m:r>
            </m:sub>
          </m:sSub>
          <m:d>
            <m:dPr>
              <m:begChr m:val="("/>
              <m:endChr m:val=")"/>
            </m:dPr>
            <m:e>
              <m:sSub>
                <m:e>
                  <m:r>
                    <m:rPr>
                      <m:sty m:val="i"/>
                    </m:rPr>
                    <m:t>x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e>
          </m:d>
          <m:r>
            <m:rPr>
              <m:sty m:val="p"/>
            </m:rPr>
            <m:t> = </m:t>
          </m:r>
          <m:sSub>
            <m:e>
              <m:r>
                <m:rPr>
                  <m:sty m:val="i"/>
                </m:rPr>
                <m:t>α</m:t>
              </m:r>
            </m:e>
            <m:sub>
              <m:r>
                <m:rPr>
                  <m:sty m:val="p"/>
                </m:rPr>
                <m:t>TC</m:t>
              </m:r>
            </m:sub>
          </m:sSub>
          <m:r>
            <m:rPr>
              <m:sty m:val="p"/>
            </m:rPr>
            <m:t>⋅</m:t>
          </m:r>
          <m:sSub>
            <m:e>
              <m:r>
                <m:rPr>
                  <m:sty m:val="i"/>
                </m:rPr>
                <m:t>x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⋅</m:t>
          </m:r>
          <m:sSub>
            <m:e>
              <m:r>
                <m:rPr>
                  <m:sty m:val="i"/>
                </m:rPr>
                <m:t>Y</m:t>
              </m:r>
            </m:e>
            <m:sub>
              <m:r>
                <m:rPr>
                  <m:sty m:val="p"/>
                </m:rPr>
                <m:t>0</m:t>
              </m:r>
            </m:sub>
          </m:sSub>
        </m:oMath>
      </m:oMathPara>
    </w:p>
    <w:p>
      <w:pPr>
        <w:spacing w:before="0" w:after="100"/>
        <w:jc w:val="right"/>
      </w:pPr>
      <w:r>
        <w:rPr>
          <w:rFonts w:ascii="Times New Roman" w:hAnsi="Times New Roman" w:cs="Times New Roman"/>
          <w:sz w:val="24"/>
          <w:szCs w:val="24"/>
        </w:rPr>
        <w:t>(3.7)</w:t>
      </w:r>
    </w:p>
    <w:p>
      <w:pPr>
        <w:spacing w:before="80" w:after="80" w:line="276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При x₄ = 0,75 (базовый сценарий) ΔY_dig составляет около 6,8 млрд USD — 15,7% от суммарного ΔY = 43,2 млрд USD. Это подтверждает, что цифровая платформа является усилителем, но не заменителем реальной производственной базы.</w:t>
      </w:r>
    </w:p>
    <w:p>
      <w:pPr>
        <w:spacing w:before="160" w:after="60" w:line="276" w:lineRule="auto"/>
        <w:ind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Таблица 3.2.1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Ключевые параметры вычислительного ядра ПСВЯ по кластерам платформы «Берег Восхода»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100"/>
        <w:gridCol w:w="1200"/>
        <w:gridCol w:w="900"/>
        <w:gridCol w:w="900"/>
        <w:gridCol w:w="1000"/>
        <w:gridCol w:w="955"/>
      </w:tblGrid>
      <w:tr>
        <w:trPr>
          <w:tblHeader/>
        </w:trPr>
        <w:tc>
          <w:tcPr>
            <w:tcW w:type="dxa" w:w="3200"/>
            <w:tcBorders>
              <w:top w:val="single" w:color="0D3C6E" w:sz="6"/>
              <w:left w:val="single" w:color="8BA8C8" w:sz="4"/>
              <w:bottom w:val="single" w:color="0D3C6E" w:sz="6"/>
              <w:right w:val="single" w:color="8BA8C8" w:sz="4"/>
            </w:tcBorders>
            <w:shd w:fill="0D3C6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Кластер</w:t>
            </w:r>
          </w:p>
        </w:tc>
        <w:tc>
          <w:tcPr>
            <w:tcW w:type="dxa" w:w="1100"/>
            <w:tcBorders>
              <w:top w:val="single" w:color="0D3C6E" w:sz="6"/>
              <w:left w:val="single" w:color="8BA8C8" w:sz="4"/>
              <w:bottom w:val="single" w:color="0D3C6E" w:sz="6"/>
              <w:right w:val="single" w:color="8BA8C8" w:sz="4"/>
            </w:tcBorders>
            <w:shd w:fill="0D3C6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CAPEXᵢ, млрд USD</w:t>
            </w:r>
          </w:p>
        </w:tc>
        <w:tc>
          <w:tcPr>
            <w:tcW w:type="dxa" w:w="1200"/>
            <w:tcBorders>
              <w:top w:val="single" w:color="0D3C6E" w:sz="6"/>
              <w:left w:val="single" w:color="8BA8C8" w:sz="4"/>
              <w:bottom w:val="single" w:color="0D3C6E" w:sz="6"/>
              <w:right w:val="single" w:color="8BA8C8" w:sz="4"/>
            </w:tcBorders>
            <w:shd w:fill="0D3C6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Qᵢᵐᵃˣ, млрд USD</w:t>
            </w:r>
          </w:p>
        </w:tc>
        <w:tc>
          <w:tcPr>
            <w:tcW w:type="dxa" w:w="900"/>
            <w:tcBorders>
              <w:top w:val="single" w:color="0D3C6E" w:sz="6"/>
              <w:left w:val="single" w:color="8BA8C8" w:sz="4"/>
              <w:bottom w:val="single" w:color="0D3C6E" w:sz="6"/>
              <w:right w:val="single" w:color="8BA8C8" w:sz="4"/>
            </w:tcBorders>
            <w:shd w:fill="0D3C6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kᵢ</w:t>
            </w:r>
          </w:p>
        </w:tc>
        <w:tc>
          <w:tcPr>
            <w:tcW w:type="dxa" w:w="900"/>
            <w:tcBorders>
              <w:top w:val="single" w:color="0D3C6E" w:sz="6"/>
              <w:left w:val="single" w:color="8BA8C8" w:sz="4"/>
              <w:bottom w:val="single" w:color="0D3C6E" w:sz="6"/>
              <w:right w:val="single" w:color="8BA8C8" w:sz="4"/>
            </w:tcBorders>
            <w:shd w:fill="0D3C6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δᵢ</w:t>
            </w:r>
          </w:p>
        </w:tc>
        <w:tc>
          <w:tcPr>
            <w:tcW w:type="dxa" w:w="1000"/>
            <w:tcBorders>
              <w:top w:val="single" w:color="0D3C6E" w:sz="6"/>
              <w:left w:val="single" w:color="8BA8C8" w:sz="4"/>
              <w:bottom w:val="single" w:color="0D3C6E" w:sz="6"/>
              <w:right w:val="single" w:color="8BA8C8" w:sz="4"/>
            </w:tcBorders>
            <w:shd w:fill="0D3C6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xᵢᵐⁱⁿ</w:t>
            </w:r>
          </w:p>
        </w:tc>
        <w:tc>
          <w:tcPr>
            <w:tcW w:type="dxa" w:w="955"/>
            <w:tcBorders>
              <w:top w:val="single" w:color="0D3C6E" w:sz="6"/>
              <w:left w:val="single" w:color="8BA8C8" w:sz="4"/>
              <w:bottom w:val="single" w:color="0D3C6E" w:sz="6"/>
              <w:right w:val="single" w:color="8BA8C8" w:sz="4"/>
            </w:tcBorders>
            <w:shd w:fill="0D3C6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Критич.</w:t>
            </w:r>
          </w:p>
        </w:tc>
      </w:tr>
      <w:tr>
        <w:tc>
          <w:tcPr>
            <w:tcW w:type="dxa" w:w="320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 · Агропереработка</w:t>
            </w:r>
          </w:p>
        </w:tc>
        <w:tc>
          <w:tcPr>
            <w:tcW w:type="dxa" w:w="110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2,75</w:t>
            </w:r>
          </w:p>
        </w:tc>
        <w:tc>
          <w:tcPr>
            <w:tcW w:type="dxa" w:w="120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3,50</w:t>
            </w:r>
          </w:p>
        </w:tc>
        <w:tc>
          <w:tcPr>
            <w:tcW w:type="dxa" w:w="90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1,80</w:t>
            </w:r>
          </w:p>
        </w:tc>
        <w:tc>
          <w:tcPr>
            <w:tcW w:type="dxa" w:w="90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0,35</w:t>
            </w:r>
          </w:p>
        </w:tc>
        <w:tc>
          <w:tcPr>
            <w:tcW w:type="dxa" w:w="100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0,00</w:t>
            </w:r>
          </w:p>
        </w:tc>
        <w:tc>
          <w:tcPr>
            <w:tcW w:type="dxa" w:w="955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E8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II · Порт-Логистика</w:t>
            </w:r>
          </w:p>
        </w:tc>
        <w:tc>
          <w:tcPr>
            <w:tcW w:type="dxa" w:w="110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E8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2,20</w:t>
            </w:r>
          </w:p>
        </w:tc>
        <w:tc>
          <w:tcPr>
            <w:tcW w:type="dxa" w:w="120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E8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2,50</w:t>
            </w:r>
          </w:p>
        </w:tc>
        <w:tc>
          <w:tcPr>
            <w:tcW w:type="dxa" w:w="90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E8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1,78</w:t>
            </w:r>
          </w:p>
        </w:tc>
        <w:tc>
          <w:tcPr>
            <w:tcW w:type="dxa" w:w="90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E8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0,40</w:t>
            </w:r>
          </w:p>
        </w:tc>
        <w:tc>
          <w:tcPr>
            <w:tcW w:type="dxa" w:w="100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E8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0,00</w:t>
            </w:r>
          </w:p>
        </w:tc>
        <w:tc>
          <w:tcPr>
            <w:tcW w:type="dxa" w:w="955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E8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III · Индустрия/СЭЗ</w:t>
            </w:r>
          </w:p>
        </w:tc>
        <w:tc>
          <w:tcPr>
            <w:tcW w:type="dxa" w:w="110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3,50</w:t>
            </w:r>
          </w:p>
        </w:tc>
        <w:tc>
          <w:tcPr>
            <w:tcW w:type="dxa" w:w="120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4,50</w:t>
            </w:r>
          </w:p>
        </w:tc>
        <w:tc>
          <w:tcPr>
            <w:tcW w:type="dxa" w:w="90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1,90</w:t>
            </w:r>
          </w:p>
        </w:tc>
        <w:tc>
          <w:tcPr>
            <w:tcW w:type="dxa" w:w="90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0,30</w:t>
            </w:r>
          </w:p>
        </w:tc>
        <w:tc>
          <w:tcPr>
            <w:tcW w:type="dxa" w:w="100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0,00</w:t>
            </w:r>
          </w:p>
        </w:tc>
        <w:tc>
          <w:tcPr>
            <w:tcW w:type="dxa" w:w="955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E8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IV · Цифровая платф.</w:t>
            </w:r>
          </w:p>
        </w:tc>
        <w:tc>
          <w:tcPr>
            <w:tcW w:type="dxa" w:w="110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E8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1,25</w:t>
            </w:r>
          </w:p>
        </w:tc>
        <w:tc>
          <w:tcPr>
            <w:tcW w:type="dxa" w:w="120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E8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2,50</w:t>
            </w:r>
          </w:p>
        </w:tc>
        <w:tc>
          <w:tcPr>
            <w:tcW w:type="dxa" w:w="90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E8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2,05</w:t>
            </w:r>
          </w:p>
        </w:tc>
        <w:tc>
          <w:tcPr>
            <w:tcW w:type="dxa" w:w="90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E8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0,00</w:t>
            </w:r>
          </w:p>
        </w:tc>
        <w:tc>
          <w:tcPr>
            <w:tcW w:type="dxa" w:w="100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E8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0,30</w:t>
            </w:r>
          </w:p>
        </w:tc>
        <w:tc>
          <w:tcPr>
            <w:tcW w:type="dxa" w:w="955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E8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 · Образование/R&amp;D</w:t>
            </w:r>
          </w:p>
        </w:tc>
        <w:tc>
          <w:tcPr>
            <w:tcW w:type="dxa" w:w="110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0,90</w:t>
            </w:r>
          </w:p>
        </w:tc>
        <w:tc>
          <w:tcPr>
            <w:tcW w:type="dxa" w:w="120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1,20</w:t>
            </w:r>
          </w:p>
        </w:tc>
        <w:tc>
          <w:tcPr>
            <w:tcW w:type="dxa" w:w="90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1,55</w:t>
            </w:r>
          </w:p>
        </w:tc>
        <w:tc>
          <w:tcPr>
            <w:tcW w:type="dxa" w:w="90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0,20</w:t>
            </w:r>
          </w:p>
        </w:tc>
        <w:tc>
          <w:tcPr>
            <w:tcW w:type="dxa" w:w="100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0,25</w:t>
            </w:r>
          </w:p>
        </w:tc>
        <w:tc>
          <w:tcPr>
            <w:tcW w:type="dxa" w:w="955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E8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VI · Энергетика/ESG</w:t>
            </w:r>
          </w:p>
        </w:tc>
        <w:tc>
          <w:tcPr>
            <w:tcW w:type="dxa" w:w="110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E8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2,50</w:t>
            </w:r>
          </w:p>
        </w:tc>
        <w:tc>
          <w:tcPr>
            <w:tcW w:type="dxa" w:w="120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E8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1,80</w:t>
            </w:r>
          </w:p>
        </w:tc>
        <w:tc>
          <w:tcPr>
            <w:tcW w:type="dxa" w:w="90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E8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1,70</w:t>
            </w:r>
          </w:p>
        </w:tc>
        <w:tc>
          <w:tcPr>
            <w:tcW w:type="dxa" w:w="90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E8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0,25</w:t>
            </w:r>
          </w:p>
        </w:tc>
        <w:tc>
          <w:tcPr>
            <w:tcW w:type="dxa" w:w="100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E8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0,35</w:t>
            </w:r>
          </w:p>
        </w:tc>
        <w:tc>
          <w:tcPr>
            <w:tcW w:type="dxa" w:w="955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E8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VII · Финансовый</w:t>
            </w:r>
          </w:p>
        </w:tc>
        <w:tc>
          <w:tcPr>
            <w:tcW w:type="dxa" w:w="110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0,80</w:t>
            </w:r>
          </w:p>
        </w:tc>
        <w:tc>
          <w:tcPr>
            <w:tcW w:type="dxa" w:w="120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1,80</w:t>
            </w:r>
          </w:p>
        </w:tc>
        <w:tc>
          <w:tcPr>
            <w:tcW w:type="dxa" w:w="90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1,65</w:t>
            </w:r>
          </w:p>
        </w:tc>
        <w:tc>
          <w:tcPr>
            <w:tcW w:type="dxa" w:w="90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0,15</w:t>
            </w:r>
          </w:p>
        </w:tc>
        <w:tc>
          <w:tcPr>
            <w:tcW w:type="dxa" w:w="100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0,00</w:t>
            </w:r>
          </w:p>
        </w:tc>
        <w:tc>
          <w:tcPr>
            <w:tcW w:type="dxa" w:w="955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E8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VIII · Соц.-урбан.</w:t>
            </w:r>
          </w:p>
        </w:tc>
        <w:tc>
          <w:tcPr>
            <w:tcW w:type="dxa" w:w="110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E8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1,20</w:t>
            </w:r>
          </w:p>
        </w:tc>
        <w:tc>
          <w:tcPr>
            <w:tcW w:type="dxa" w:w="120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E8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1,40</w:t>
            </w:r>
          </w:p>
        </w:tc>
        <w:tc>
          <w:tcPr>
            <w:tcW w:type="dxa" w:w="90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E8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1,45</w:t>
            </w:r>
          </w:p>
        </w:tc>
        <w:tc>
          <w:tcPr>
            <w:tcW w:type="dxa" w:w="90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E8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0,10</w:t>
            </w:r>
          </w:p>
        </w:tc>
        <w:tc>
          <w:tcPr>
            <w:tcW w:type="dxa" w:w="100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E8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0,00</w:t>
            </w:r>
          </w:p>
        </w:tc>
        <w:tc>
          <w:tcPr>
            <w:tcW w:type="dxa" w:w="955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E8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IX · Экологический</w:t>
            </w:r>
          </w:p>
        </w:tc>
        <w:tc>
          <w:tcPr>
            <w:tcW w:type="dxa" w:w="110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0,50</w:t>
            </w:r>
          </w:p>
        </w:tc>
        <w:tc>
          <w:tcPr>
            <w:tcW w:type="dxa" w:w="120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0,80</w:t>
            </w:r>
          </w:p>
        </w:tc>
        <w:tc>
          <w:tcPr>
            <w:tcW w:type="dxa" w:w="90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1,40</w:t>
            </w:r>
          </w:p>
        </w:tc>
        <w:tc>
          <w:tcPr>
            <w:tcW w:type="dxa" w:w="90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0,10</w:t>
            </w:r>
          </w:p>
        </w:tc>
        <w:tc>
          <w:tcPr>
            <w:tcW w:type="dxa" w:w="100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0,00</w:t>
            </w:r>
          </w:p>
        </w:tc>
        <w:tc>
          <w:tcPr>
            <w:tcW w:type="dxa" w:w="955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E8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Итого / средн.*</w:t>
            </w:r>
          </w:p>
        </w:tc>
        <w:tc>
          <w:tcPr>
            <w:tcW w:type="dxa" w:w="110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E8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13,60</w:t>
            </w:r>
          </w:p>
        </w:tc>
        <w:tc>
          <w:tcPr>
            <w:tcW w:type="dxa" w:w="120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E8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20,00</w:t>
            </w:r>
          </w:p>
        </w:tc>
        <w:tc>
          <w:tcPr>
            <w:tcW w:type="dxa" w:w="90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E8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1,70*</w:t>
            </w:r>
          </w:p>
        </w:tc>
        <w:tc>
          <w:tcPr>
            <w:tcW w:type="dxa" w:w="90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E8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100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E8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955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E8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</w:tbl>
    <w:p>
      <w:pPr>
        <w:spacing w:before="60" w:after="12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* Средневзвешенный КДС по CAPEX. Источники: материалы проекта «Берег Восхода»; [2]; [5]; [8]; расчёты автора.</w:t>
      </w:r>
    </w:p>
    <w:p>
      <w:pPr>
        <w:pStyle w:val="Heading3"/>
        <w:spacing w:before="180" w:after="8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Транзакционные издержки и закон Меткалфа</w:t>
      </w:r>
    </w:p>
    <w:p>
      <w:pPr>
        <w:spacing w:before="80" w:after="80" w:line="276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Снижение транзакционных издержек — ключевая стратегическая цель Кластера IV. Транзакционные издержки (Коуз, 1937; Уильямсон, 1985) включают издержки поиска информации, заключения контрактов, мониторинга и принуждения к исполнению. Для агроэкспортной экономики Кот-д'Ивуара их величина оценивается в 4–6% ВВП; применительно к прибрежной зоне — 3,8–5,7 млрд USD/год. Цифровая платформа снижает эти издержки на α_TC п.п. ВВП [3]:</w:t>
      </w:r>
    </w:p>
    <w:p>
      <w:pPr>
        <w:spacing w:before="6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before="80" w:after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где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α_TC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∈ [0,02; 0,03] — коэффициент снижения транзакционных издержек как доля ВВП прибрежной зоны (целевое значение 2,5 п.п.);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Y₀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≈ 95,5 млрд USD — базовый ВВП прибрежной зоны в постоянных ценах 2024 г.</w:t>
      </w:r>
    </w:p>
    <w:p>
      <w:pPr>
        <w:spacing w:before="80" w:after="80" w:line="276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Ценность самой цифровой платформы как сетевого актива качественно описывается законом Меткалфа: V(n) = β·n², где n — число активных участников; β ≈ 1,5 × 10⁻³ млрд USD. В настоящей модели закон Меткалфа используется для качественного обоснования сетевого эффекта; точечные оценки V(n) в расчёт ΔY не входят [10; 11; 12].</w:t>
      </w:r>
    </w:p>
    <w:p>
      <w:pPr>
        <w:pStyle w:val="Heading2"/>
        <w:spacing w:before="220" w:after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3.2.4. Синергетический оператор и матрица межкластерных коэффициентов</w:t>
      </w:r>
    </w:p>
    <w:p>
      <w:pPr>
        <w:spacing w:before="80" w:after="80" w:line="276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Синергетический эффект сценария S определяется как превышение совокупного прироста ВДС над суммой изолированных вкладов кластеров:</w:t>
      </w:r>
    </w:p>
    <w:p>
      <w:pPr>
        <w:jc w:val="center"/>
        <w:spacing w:before="120" w:after="60"/>
      </w:pPr>
      <w:r>
        <w:rPr>
          <w:rFonts w:ascii="Times New Roman" w:hAnsi="Times New Roman"/>
          <w:sz w:val="24"/>
        </w:rPr>
        <w:t>Ω(S) = ΔY(X*) − Σᵢ kᵢ*(x₄) · xᵢ* · Qᵢᵐᵃˣ ≥ 0</w:t>
      </w:r>
    </w:p>
    <w:p>
      <w:pPr>
        <w:spacing w:before="80" w:after="80" w:line="276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Величина Ω(S) &gt; 0 является необходимым (хотя недостаточным) условием оправданности платформенной организации проекта. Для базового сценария: Ω(S_bal) ≈ 13,2 млрд USD/год (при x₄ = 0,75).</w:t>
      </w:r>
    </w:p>
    <w:p>
      <w:pPr>
        <w:spacing w:before="80" w:after="80" w:line="276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Матрица синергетических коэффициентов sᵢⱼ (таблица 3.2.2) сформирована на основе: (a) экспертного анализа межкластерных материальных, финансовых и информационных потоков; (b) аналогии с эмпирическими данными по СЭЗ стран Африки [5]; (c) ограничений sᵢⱼ ∈ [0; 0,5] из условия финансовой реализуемости. Суммирование в формуле (3.2) ведётся только по парам i &lt; j, что исключает двойной учёт синергий.</w:t>
      </w:r>
    </w:p>
    <w:p>
      <w:pPr>
        <w:spacing w:before="160" w:after="60" w:line="276" w:lineRule="auto"/>
        <w:ind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Таблица 3.2.2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Матрица синергетических коэффициентов sᵢⱼ между кластерами платформы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900"/>
        <w:gridCol w:w="5955"/>
      </w:tblGrid>
      <w:tr>
        <w:trPr>
          <w:tblHeader/>
        </w:trPr>
        <w:tc>
          <w:tcPr>
            <w:tcW w:type="dxa" w:w="2500"/>
            <w:tcBorders>
              <w:top w:val="single" w:color="0D3C6E" w:sz="6"/>
              <w:left w:val="single" w:color="8BA8C8" w:sz="4"/>
              <w:bottom w:val="single" w:color="0D3C6E" w:sz="6"/>
              <w:right w:val="single" w:color="8BA8C8" w:sz="4"/>
            </w:tcBorders>
            <w:shd w:fill="0D3C6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Пара (i, j)</w:t>
            </w:r>
          </w:p>
        </w:tc>
        <w:tc>
          <w:tcPr>
            <w:tcW w:type="dxa" w:w="900"/>
            <w:tcBorders>
              <w:top w:val="single" w:color="0D3C6E" w:sz="6"/>
              <w:left w:val="single" w:color="8BA8C8" w:sz="4"/>
              <w:bottom w:val="single" w:color="0D3C6E" w:sz="6"/>
              <w:right w:val="single" w:color="8BA8C8" w:sz="4"/>
            </w:tcBorders>
            <w:shd w:fill="0D3C6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sᵢⱼ</w:t>
            </w:r>
          </w:p>
        </w:tc>
        <w:tc>
          <w:tcPr>
            <w:tcW w:type="dxa" w:w="5955"/>
            <w:tcBorders>
              <w:top w:val="single" w:color="0D3C6E" w:sz="6"/>
              <w:left w:val="single" w:color="8BA8C8" w:sz="4"/>
              <w:bottom w:val="single" w:color="0D3C6E" w:sz="6"/>
              <w:right w:val="single" w:color="8BA8C8" w:sz="4"/>
            </w:tcBorders>
            <w:shd w:fill="0D3C6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Экономическое содержание</w:t>
            </w:r>
          </w:p>
        </w:tc>
      </w:tr>
      <w:tr>
        <w:tc>
          <w:tcPr>
            <w:tcW w:type="dxa" w:w="250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 Агро — IV Цифра</w:t>
            </w:r>
          </w:p>
        </w:tc>
        <w:tc>
          <w:tcPr>
            <w:tcW w:type="dxa" w:w="90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0,22</w:t>
            </w:r>
          </w:p>
        </w:tc>
        <w:tc>
          <w:tcPr>
            <w:tcW w:type="dxa" w:w="5955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Цифровизация экспортных агроцепочек</w:t>
            </w:r>
          </w:p>
        </w:tc>
      </w:tr>
      <w:tr>
        <w:tc>
          <w:tcPr>
            <w:tcW w:type="dxa" w:w="250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E8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 Агро — II Порт</w:t>
            </w:r>
          </w:p>
        </w:tc>
        <w:tc>
          <w:tcPr>
            <w:tcW w:type="dxa" w:w="90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E8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0,18</w:t>
            </w:r>
          </w:p>
        </w:tc>
        <w:tc>
          <w:tcPr>
            <w:tcW w:type="dxa" w:w="5955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E8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Логистика → снижение потерь агросырья</w:t>
            </w:r>
          </w:p>
        </w:tc>
      </w:tr>
      <w:tr>
        <w:tc>
          <w:tcPr>
            <w:tcW w:type="dxa" w:w="250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 Агро — V Образ.</w:t>
            </w:r>
          </w:p>
        </w:tc>
        <w:tc>
          <w:tcPr>
            <w:tcW w:type="dxa" w:w="90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0,08</w:t>
            </w:r>
          </w:p>
        </w:tc>
        <w:tc>
          <w:tcPr>
            <w:tcW w:type="dxa" w:w="5955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Подготовка агрокадров</w:t>
            </w:r>
          </w:p>
        </w:tc>
      </w:tr>
      <w:tr>
        <w:tc>
          <w:tcPr>
            <w:tcW w:type="dxa" w:w="250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E8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II Порт — III СЭЗ</w:t>
            </w:r>
          </w:p>
        </w:tc>
        <w:tc>
          <w:tcPr>
            <w:tcW w:type="dxa" w:w="90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E8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0,16</w:t>
            </w:r>
          </w:p>
        </w:tc>
        <w:tc>
          <w:tcPr>
            <w:tcW w:type="dxa" w:w="5955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E8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Портовая инфраструктура → экспорт СЭЗ</w:t>
            </w:r>
          </w:p>
        </w:tc>
      </w:tr>
      <w:tr>
        <w:tc>
          <w:tcPr>
            <w:tcW w:type="dxa" w:w="250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II Порт — IV Цифра</w:t>
            </w:r>
          </w:p>
        </w:tc>
        <w:tc>
          <w:tcPr>
            <w:tcW w:type="dxa" w:w="90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0,19</w:t>
            </w:r>
          </w:p>
        </w:tc>
        <w:tc>
          <w:tcPr>
            <w:tcW w:type="dxa" w:w="5955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Цифровая логистика, отслеживание грузов</w:t>
            </w:r>
          </w:p>
        </w:tc>
      </w:tr>
      <w:tr>
        <w:tc>
          <w:tcPr>
            <w:tcW w:type="dxa" w:w="250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E8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II Порт — VI Энерг.</w:t>
            </w:r>
          </w:p>
        </w:tc>
        <w:tc>
          <w:tcPr>
            <w:tcW w:type="dxa" w:w="90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E8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0,12</w:t>
            </w:r>
          </w:p>
        </w:tc>
        <w:tc>
          <w:tcPr>
            <w:tcW w:type="dxa" w:w="5955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E8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Энергообеспечение портовой зоны</w:t>
            </w:r>
          </w:p>
        </w:tc>
      </w:tr>
      <w:tr>
        <w:tc>
          <w:tcPr>
            <w:tcW w:type="dxa" w:w="250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III СЭЗ — IV Цифра</w:t>
            </w:r>
          </w:p>
        </w:tc>
        <w:tc>
          <w:tcPr>
            <w:tcW w:type="dxa" w:w="90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0,20</w:t>
            </w:r>
          </w:p>
        </w:tc>
        <w:tc>
          <w:tcPr>
            <w:tcW w:type="dxa" w:w="5955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Цифровое управление производством</w:t>
            </w:r>
          </w:p>
        </w:tc>
      </w:tr>
      <w:tr>
        <w:tc>
          <w:tcPr>
            <w:tcW w:type="dxa" w:w="250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E8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III СЭЗ — VI Энерг.</w:t>
            </w:r>
          </w:p>
        </w:tc>
        <w:tc>
          <w:tcPr>
            <w:tcW w:type="dxa" w:w="90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E8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0,17</w:t>
            </w:r>
          </w:p>
        </w:tc>
        <w:tc>
          <w:tcPr>
            <w:tcW w:type="dxa" w:w="5955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E8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Энергоснабжение индустриальных зон</w:t>
            </w:r>
          </w:p>
        </w:tc>
      </w:tr>
      <w:tr>
        <w:tc>
          <w:tcPr>
            <w:tcW w:type="dxa" w:w="250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III СЭЗ — VIII Соц.</w:t>
            </w:r>
          </w:p>
        </w:tc>
        <w:tc>
          <w:tcPr>
            <w:tcW w:type="dxa" w:w="90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0,10</w:t>
            </w:r>
          </w:p>
        </w:tc>
        <w:tc>
          <w:tcPr>
            <w:tcW w:type="dxa" w:w="5955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Урбанизация при индустриализации</w:t>
            </w:r>
          </w:p>
        </w:tc>
      </w:tr>
      <w:tr>
        <w:tc>
          <w:tcPr>
            <w:tcW w:type="dxa" w:w="250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E8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IV Цифра — V Образ.</w:t>
            </w:r>
          </w:p>
        </w:tc>
        <w:tc>
          <w:tcPr>
            <w:tcW w:type="dxa" w:w="90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E8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0,15</w:t>
            </w:r>
          </w:p>
        </w:tc>
        <w:tc>
          <w:tcPr>
            <w:tcW w:type="dxa" w:w="5955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E8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Цифровые образовательные платформы</w:t>
            </w:r>
          </w:p>
        </w:tc>
      </w:tr>
      <w:tr>
        <w:tc>
          <w:tcPr>
            <w:tcW w:type="dxa" w:w="250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IV Цифра — VI Энерг.</w:t>
            </w:r>
          </w:p>
        </w:tc>
        <w:tc>
          <w:tcPr>
            <w:tcW w:type="dxa" w:w="90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0,13</w:t>
            </w:r>
          </w:p>
        </w:tc>
        <w:tc>
          <w:tcPr>
            <w:tcW w:type="dxa" w:w="5955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Умные энергосети, IoT-мониторинг</w:t>
            </w:r>
          </w:p>
        </w:tc>
      </w:tr>
      <w:tr>
        <w:tc>
          <w:tcPr>
            <w:tcW w:type="dxa" w:w="250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E8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IV Цифра — VII Фин.</w:t>
            </w:r>
          </w:p>
        </w:tc>
        <w:tc>
          <w:tcPr>
            <w:tcW w:type="dxa" w:w="90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E8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0,18</w:t>
            </w:r>
          </w:p>
        </w:tc>
        <w:tc>
          <w:tcPr>
            <w:tcW w:type="dxa" w:w="5955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E8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Цифровые финансовые сервисы, FinTech</w:t>
            </w:r>
          </w:p>
        </w:tc>
      </w:tr>
      <w:tr>
        <w:tc>
          <w:tcPr>
            <w:tcW w:type="dxa" w:w="250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IV Цифра — VIII Соц.</w:t>
            </w:r>
          </w:p>
        </w:tc>
        <w:tc>
          <w:tcPr>
            <w:tcW w:type="dxa" w:w="90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0,12</w:t>
            </w:r>
          </w:p>
        </w:tc>
        <w:tc>
          <w:tcPr>
            <w:tcW w:type="dxa" w:w="5955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E-governance, цифровые услуги</w:t>
            </w:r>
          </w:p>
        </w:tc>
      </w:tr>
      <w:tr>
        <w:tc>
          <w:tcPr>
            <w:tcW w:type="dxa" w:w="250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E8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IV Цифра — IX Эко.</w:t>
            </w:r>
          </w:p>
        </w:tc>
        <w:tc>
          <w:tcPr>
            <w:tcW w:type="dxa" w:w="90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E8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0,09</w:t>
            </w:r>
          </w:p>
        </w:tc>
        <w:tc>
          <w:tcPr>
            <w:tcW w:type="dxa" w:w="5955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E8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Цифровой мониторинг экологии</w:t>
            </w:r>
          </w:p>
        </w:tc>
      </w:tr>
      <w:tr>
        <w:tc>
          <w:tcPr>
            <w:tcW w:type="dxa" w:w="250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 Образ. — VI Энерг.</w:t>
            </w:r>
          </w:p>
        </w:tc>
        <w:tc>
          <w:tcPr>
            <w:tcW w:type="dxa" w:w="90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0,11</w:t>
            </w:r>
          </w:p>
        </w:tc>
        <w:tc>
          <w:tcPr>
            <w:tcW w:type="dxa" w:w="5955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STEM-кадры для энергетики</w:t>
            </w:r>
          </w:p>
        </w:tc>
      </w:tr>
      <w:tr>
        <w:tc>
          <w:tcPr>
            <w:tcW w:type="dxa" w:w="250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E8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 Образ. — III СЭЗ</w:t>
            </w:r>
          </w:p>
        </w:tc>
        <w:tc>
          <w:tcPr>
            <w:tcW w:type="dxa" w:w="90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E8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0,14</w:t>
            </w:r>
          </w:p>
        </w:tc>
        <w:tc>
          <w:tcPr>
            <w:tcW w:type="dxa" w:w="5955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E8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Технологические кадры для СЭЗ</w:t>
            </w:r>
          </w:p>
        </w:tc>
      </w:tr>
      <w:tr>
        <w:tc>
          <w:tcPr>
            <w:tcW w:type="dxa" w:w="250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VI Энерг. — VII Фин.</w:t>
            </w:r>
          </w:p>
        </w:tc>
        <w:tc>
          <w:tcPr>
            <w:tcW w:type="dxa" w:w="90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0,16</w:t>
            </w:r>
          </w:p>
        </w:tc>
        <w:tc>
          <w:tcPr>
            <w:tcW w:type="dxa" w:w="5955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ESG-финансирование, зелёные облигации</w:t>
            </w:r>
          </w:p>
        </w:tc>
      </w:tr>
    </w:tbl>
    <w:p>
      <w:pPr>
        <w:spacing w:before="60" w:after="12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Источник: расчёты автора на основе структурного анализа межкластерных потоков; [5]; [8].</w:t>
      </w:r>
    </w:p>
    <w:p>
      <w:pPr>
        <w:pStyle w:val="Heading2"/>
        <w:spacing w:before="220" w:after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3.2.5. Оптимизационная задача и сценарный анализ</w:t>
      </w:r>
    </w:p>
    <w:p>
      <w:pPr>
        <w:spacing w:before="80" w:after="80" w:line="276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Основная задача ПСВЯ — нахождение оптимального вектора реализации X*, максимизирующего ΔY при заданных ресурсных ограничениях:</w:t>
      </w:r>
    </w:p>
    <w:p>
      <w:pPr>
        <w:spacing w:before="120" w:after="60" w:line="276" w:lineRule="auto"/>
        <w:ind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X*(S) = argmax ΔY(X)  s.t.  Σᵢ CAPEXᵢ·xᵢ ≤ B(S),  xᵢ ∈ [xᵢᵐⁱⁿ; 1]</w:t>
      </w:r>
    </w:p>
    <w:p>
      <w:pPr>
        <w:spacing w:before="80" w:after="80" w:line="276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Бюджетные ограничения по сценариям: B(S_opt) = 16,3 млрд USD; B(S_bal) = 13,5 млрд USD; B(S_in) = 9,8 млрд USD. Задача является задачей нелинейного программирования с квадратичной целевой функцией и линейными ограничениями [4]. Дополнительно вводятся кадровое ограничение Lᵢ(xᵢ) ≤ Lᵢᵐᵃˣ, ограничение по мощности энергоснабжения Eᵢ(xᵢ) ≤ E_cap и жёсткое ограничение цифрового ядра x₄ ≥ 0,30.</w:t>
      </w:r>
    </w:p>
    <w:p>
      <w:pPr>
        <w:spacing w:before="160" w:after="60" w:line="276" w:lineRule="auto"/>
        <w:ind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Таблица 3.2.3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Сценарная матрица выходных показателей ПСВЯ (версия v16, верная формула)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50"/>
        <w:gridCol w:w="1480"/>
        <w:gridCol w:w="1480"/>
        <w:gridCol w:w="1445"/>
      </w:tblGrid>
      <w:tr>
        <w:trPr>
          <w:tblHeader/>
        </w:trPr>
        <w:tc>
          <w:tcPr>
            <w:tcW w:type="dxa" w:w="3400"/>
            <w:tcBorders>
              <w:top w:val="single" w:color="0D3C6E" w:sz="6"/>
              <w:left w:val="single" w:color="8BA8C8" w:sz="4"/>
              <w:bottom w:val="single" w:color="0D3C6E" w:sz="6"/>
              <w:right w:val="single" w:color="8BA8C8" w:sz="4"/>
            </w:tcBorders>
            <w:shd w:fill="0D3C6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Показатель</w:t>
            </w:r>
          </w:p>
        </w:tc>
        <w:tc>
          <w:tcPr>
            <w:tcW w:type="dxa" w:w="1450"/>
            <w:tcBorders>
              <w:top w:val="single" w:color="0D3C6E" w:sz="6"/>
              <w:left w:val="single" w:color="8BA8C8" w:sz="4"/>
              <w:bottom w:val="single" w:color="0D3C6E" w:sz="6"/>
              <w:right w:val="single" w:color="8BA8C8" w:sz="4"/>
            </w:tcBorders>
            <w:shd w:fill="0D3C6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S_in (инерц.)</w:t>
            </w:r>
          </w:p>
        </w:tc>
        <w:tc>
          <w:tcPr>
            <w:tcW w:type="dxa" w:w="1480"/>
            <w:tcBorders>
              <w:top w:val="single" w:color="0D3C6E" w:sz="6"/>
              <w:left w:val="single" w:color="8BA8C8" w:sz="4"/>
              <w:bottom w:val="single" w:color="0D3C6E" w:sz="6"/>
              <w:right w:val="single" w:color="8BA8C8" w:sz="4"/>
            </w:tcBorders>
            <w:shd w:fill="0D3C6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S_bal (базов.)</w:t>
            </w:r>
          </w:p>
        </w:tc>
        <w:tc>
          <w:tcPr>
            <w:tcW w:type="dxa" w:w="1480"/>
            <w:tcBorders>
              <w:top w:val="single" w:color="0D3C6E" w:sz="6"/>
              <w:left w:val="single" w:color="8BA8C8" w:sz="4"/>
              <w:bottom w:val="single" w:color="0D3C6E" w:sz="6"/>
              <w:right w:val="single" w:color="8BA8C8" w:sz="4"/>
            </w:tcBorders>
            <w:shd w:fill="0D3C6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S_opt (оптим.)</w:t>
            </w:r>
          </w:p>
        </w:tc>
        <w:tc>
          <w:tcPr>
            <w:tcW w:type="dxa" w:w="1445"/>
            <w:tcBorders>
              <w:top w:val="single" w:color="0D3C6E" w:sz="6"/>
              <w:left w:val="single" w:color="8BA8C8" w:sz="4"/>
              <w:bottom w:val="single" w:color="0D3C6E" w:sz="6"/>
              <w:right w:val="single" w:color="8BA8C8" w:sz="4"/>
            </w:tcBorders>
            <w:shd w:fill="0D3C6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S_dig (стресс)</w:t>
            </w:r>
          </w:p>
        </w:tc>
      </w:tr>
      <w:tr>
        <w:tc>
          <w:tcPr>
            <w:tcW w:type="dxa" w:w="340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Средний x̄ᵢ</w:t>
            </w:r>
          </w:p>
        </w:tc>
        <w:tc>
          <w:tcPr>
            <w:tcW w:type="dxa" w:w="145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0,27</w:t>
            </w:r>
          </w:p>
        </w:tc>
        <w:tc>
          <w:tcPr>
            <w:tcW w:type="dxa" w:w="148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0,66</w:t>
            </w:r>
          </w:p>
        </w:tc>
        <w:tc>
          <w:tcPr>
            <w:tcW w:type="dxa" w:w="148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0,81</w:t>
            </w:r>
          </w:p>
        </w:tc>
        <w:tc>
          <w:tcPr>
            <w:tcW w:type="dxa" w:w="1445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0,63</w:t>
            </w:r>
          </w:p>
        </w:tc>
      </w:tr>
      <w:tr>
        <w:tc>
          <w:tcPr>
            <w:tcW w:type="dxa" w:w="340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E8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ΔY итого, млрд USD/год</w:t>
            </w:r>
          </w:p>
        </w:tc>
        <w:tc>
          <w:tcPr>
            <w:tcW w:type="dxa" w:w="145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E8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14,0</w:t>
            </w:r>
          </w:p>
        </w:tc>
        <w:tc>
          <w:tcPr>
            <w:tcW w:type="dxa" w:w="148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E8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43,2</w:t>
            </w:r>
          </w:p>
        </w:tc>
        <w:tc>
          <w:tcPr>
            <w:tcW w:type="dxa" w:w="148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56,3</w:t>
            </w:r>
          </w:p>
        </w:tc>
        <w:tc>
          <w:tcPr>
            <w:tcW w:type="dxa" w:w="1445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E8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38,5</w:t>
            </w:r>
          </w:p>
        </w:tc>
      </w:tr>
      <w:tr>
        <w:tc>
          <w:tcPr>
            <w:tcW w:type="dxa" w:w="340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 т.ч. прямой Σkᵢ*(x₄)·xᵢ·Qᵐᵃˣ</w:t>
            </w:r>
          </w:p>
        </w:tc>
        <w:tc>
          <w:tcPr>
            <w:tcW w:type="dxa" w:w="145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11,0</w:t>
            </w:r>
          </w:p>
        </w:tc>
        <w:tc>
          <w:tcPr>
            <w:tcW w:type="dxa" w:w="148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28,2</w:t>
            </w:r>
          </w:p>
        </w:tc>
        <w:tc>
          <w:tcPr>
            <w:tcW w:type="dxa" w:w="148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34,9</w:t>
            </w:r>
          </w:p>
        </w:tc>
        <w:tc>
          <w:tcPr>
            <w:tcW w:type="dxa" w:w="1445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24,3</w:t>
            </w:r>
          </w:p>
        </w:tc>
      </w:tr>
      <w:tr>
        <w:tc>
          <w:tcPr>
            <w:tcW w:type="dxa" w:w="340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E8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 т.ч. синергия Ω</w:t>
            </w:r>
          </w:p>
        </w:tc>
        <w:tc>
          <w:tcPr>
            <w:tcW w:type="dxa" w:w="145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E8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2,2</w:t>
            </w:r>
          </w:p>
        </w:tc>
        <w:tc>
          <w:tcPr>
            <w:tcW w:type="dxa" w:w="148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E8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13,2</w:t>
            </w:r>
          </w:p>
        </w:tc>
        <w:tc>
          <w:tcPr>
            <w:tcW w:type="dxa" w:w="148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18,6</w:t>
            </w:r>
          </w:p>
        </w:tc>
        <w:tc>
          <w:tcPr>
            <w:tcW w:type="dxa" w:w="1445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E8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12,4</w:t>
            </w:r>
          </w:p>
        </w:tc>
      </w:tr>
      <w:tr>
        <w:tc>
          <w:tcPr>
            <w:tcW w:type="dxa" w:w="340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 т.ч. ΔY_TC(x₄)</w:t>
            </w:r>
          </w:p>
        </w:tc>
        <w:tc>
          <w:tcPr>
            <w:tcW w:type="dxa" w:w="145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0,8</w:t>
            </w:r>
          </w:p>
        </w:tc>
        <w:tc>
          <w:tcPr>
            <w:tcW w:type="dxa" w:w="148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1,8</w:t>
            </w:r>
          </w:p>
        </w:tc>
        <w:tc>
          <w:tcPr>
            <w:tcW w:type="dxa" w:w="148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2,8</w:t>
            </w:r>
          </w:p>
        </w:tc>
        <w:tc>
          <w:tcPr>
            <w:tcW w:type="dxa" w:w="1445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1,8</w:t>
            </w:r>
          </w:p>
        </w:tc>
      </w:tr>
      <w:tr>
        <w:tc>
          <w:tcPr>
            <w:tcW w:type="dxa" w:w="340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E8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Интегральный индекс F(X)</w:t>
            </w:r>
          </w:p>
        </w:tc>
        <w:tc>
          <w:tcPr>
            <w:tcW w:type="dxa" w:w="145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E8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0,14</w:t>
            </w:r>
          </w:p>
        </w:tc>
        <w:tc>
          <w:tcPr>
            <w:tcW w:type="dxa" w:w="148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E8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0,51</w:t>
            </w:r>
          </w:p>
        </w:tc>
        <w:tc>
          <w:tcPr>
            <w:tcW w:type="dxa" w:w="148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0,78</w:t>
            </w:r>
          </w:p>
        </w:tc>
        <w:tc>
          <w:tcPr>
            <w:tcW w:type="dxa" w:w="1445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E8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0,44</w:t>
            </w:r>
          </w:p>
        </w:tc>
      </w:tr>
      <w:tr>
        <w:tc>
          <w:tcPr>
            <w:tcW w:type="dxa" w:w="340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fY = ΔY / 56,3</w:t>
            </w:r>
          </w:p>
        </w:tc>
        <w:tc>
          <w:tcPr>
            <w:tcW w:type="dxa" w:w="145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0,25</w:t>
            </w:r>
          </w:p>
        </w:tc>
        <w:tc>
          <w:tcPr>
            <w:tcW w:type="dxa" w:w="148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0,77</w:t>
            </w:r>
          </w:p>
        </w:tc>
        <w:tc>
          <w:tcPr>
            <w:tcW w:type="dxa" w:w="148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1,00</w:t>
            </w:r>
          </w:p>
        </w:tc>
        <w:tc>
          <w:tcPr>
            <w:tcW w:type="dxa" w:w="1445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0,68</w:t>
            </w:r>
          </w:p>
        </w:tc>
      </w:tr>
      <w:tr>
        <w:tc>
          <w:tcPr>
            <w:tcW w:type="dxa" w:w="340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E8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NPV (r = 12%), млрд USD</w:t>
            </w:r>
          </w:p>
        </w:tc>
        <w:tc>
          <w:tcPr>
            <w:tcW w:type="dxa" w:w="145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E8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−2,1</w:t>
            </w:r>
          </w:p>
        </w:tc>
        <w:tc>
          <w:tcPr>
            <w:tcW w:type="dxa" w:w="148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E8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+10,4</w:t>
            </w:r>
          </w:p>
        </w:tc>
        <w:tc>
          <w:tcPr>
            <w:tcW w:type="dxa" w:w="148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+22,8</w:t>
            </w:r>
          </w:p>
        </w:tc>
        <w:tc>
          <w:tcPr>
            <w:tcW w:type="dxa" w:w="1445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E8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+6,7</w:t>
            </w:r>
          </w:p>
        </w:tc>
      </w:tr>
      <w:tr>
        <w:tc>
          <w:tcPr>
            <w:tcW w:type="dxa" w:w="340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ROI</w:t>
            </w:r>
          </w:p>
        </w:tc>
        <w:tc>
          <w:tcPr>
            <w:tcW w:type="dxa" w:w="145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&lt; 0</w:t>
            </w:r>
          </w:p>
        </w:tc>
        <w:tc>
          <w:tcPr>
            <w:tcW w:type="dxa" w:w="148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77%</w:t>
            </w:r>
          </w:p>
        </w:tc>
        <w:tc>
          <w:tcPr>
            <w:tcW w:type="dxa" w:w="148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167%</w:t>
            </w:r>
          </w:p>
        </w:tc>
        <w:tc>
          <w:tcPr>
            <w:tcW w:type="dxa" w:w="1445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49%</w:t>
            </w:r>
          </w:p>
        </w:tc>
      </w:tr>
      <w:tr>
        <w:tc>
          <w:tcPr>
            <w:tcW w:type="dxa" w:w="340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E8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Нарушений ограничений</w:t>
            </w:r>
          </w:p>
        </w:tc>
        <w:tc>
          <w:tcPr>
            <w:tcW w:type="dxa" w:w="145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E8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48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E8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148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1445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E8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</w:tr>
      <w:tr>
        <w:tc>
          <w:tcPr>
            <w:tcW w:type="dxa" w:w="340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Цифровое усиление δᵢ·x₄ активно?</w:t>
            </w:r>
          </w:p>
        </w:tc>
        <w:tc>
          <w:tcPr>
            <w:tcW w:type="dxa" w:w="145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Нет</w:t>
            </w:r>
          </w:p>
        </w:tc>
        <w:tc>
          <w:tcPr>
            <w:tcW w:type="dxa" w:w="148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Да</w:t>
            </w:r>
          </w:p>
        </w:tc>
        <w:tc>
          <w:tcPr>
            <w:tcW w:type="dxa" w:w="148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Да</w:t>
            </w:r>
          </w:p>
        </w:tc>
        <w:tc>
          <w:tcPr>
            <w:tcW w:type="dxa" w:w="1445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Да</w:t>
            </w:r>
          </w:p>
        </w:tc>
      </w:tr>
    </w:tbl>
    <w:p>
      <w:pPr>
        <w:spacing w:before="60" w:after="12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Выделен оптимальный сценарий (S_opt). Источник: расчёты автора по формулам (3.2), (3.4)–(3.7); симулятор ПСВЯ v16.</w:t>
      </w:r>
    </w:p>
    <w:p>
      <w:pPr>
        <w:pStyle w:val="Heading2"/>
        <w:spacing w:before="220" w:after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3.2.6. Чистая приведённая стоимость и ROI платформы</w:t>
      </w:r>
    </w:p>
    <w:p>
      <w:pPr>
        <w:spacing w:before="80" w:after="80" w:line="276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Интегральная экономическая эффективность платформы оценивается в горизонте T = 11 лет (2025–2035):</w:t>
      </w:r>
    </w:p>
    <w:p>
      <w:pPr>
        <w:spacing w:before="120" w:after="40" w:line="276" w:lineRule="auto"/>
        <w:ind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NPV(S) = Σₜ₌₁ᵀ ΔY(X*(S)) / (1+r)ᵗ − B(S)</w:t>
      </w:r>
    </w:p>
    <w:p>
      <w:pPr>
        <w:spacing w:before="40" w:after="80" w:line="276" w:lineRule="auto"/>
        <w:ind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ROI(S) = (NPV(S) + B(S)) / B(S) − 1</w:t>
      </w:r>
    </w:p>
    <w:p>
      <w:pPr>
        <w:spacing w:before="80" w:after="80" w:line="276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где r — ставка дисконтирования, r ∈ [0,10; 0,14] для развивающихся экономик [9]. При базовом сценарии и r = 0,12: NPV(S_bal) ≈ +10,4 млрд USD; ROI(S_bal) ≈ 77%.</w:t>
      </w:r>
    </w:p>
    <w:p>
      <w:pPr>
        <w:pStyle w:val="Heading2"/>
        <w:spacing w:before="220" w:after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3.2.7. Методологические ограничения и пути верификации</w:t>
      </w:r>
    </w:p>
    <w:p>
      <w:pPr>
        <w:spacing w:before="80" w:after="80" w:line="276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ПСВЯ является нормативной моделью, а не прогностическим инструментом в строгом эконометрическом смысле. Её применимость обусловлена рядом явных допущений.</w:t>
      </w:r>
    </w:p>
    <w:p>
      <w:pPr>
        <w:spacing w:before="80" w:after="80" w:line="276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Допущение 1: kᵢ = const по всему диапазону xᵢ ∈ [0; 1].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В реальности при xᵢ &gt; 0,80 наблюдается убывающая отдача. Следствие: завышение ΔYᵢ на 15–25% в верхней части диапазона. Устранение: kᵢ(xᵢ) = kᵢ·(1 − αᵢ·xᵢ²), αᵢ ∈ [0,05; 0,15].</w:t>
      </w:r>
    </w:p>
    <w:p>
      <w:pPr>
        <w:spacing w:before="80" w:after="80" w:line="276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Допущение 2: стационарность матрицы sᵢⱼ.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Коэффициенты калиброваны экспертно и не отражают динамику накопленного опыта. Устранение: калибровка по панельным данным НПР 2021–2025.</w:t>
      </w:r>
    </w:p>
    <w:p>
      <w:pPr>
        <w:spacing w:before="80" w:after="80" w:line="276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Допущение 3: экзогенность r и B(S).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Принятие r = 0,12 и B как констант игнорирует волатильность стоимости заимствований. Устранение: модуль Монте-Карло для стохастизации kᵢ, sᵢⱼ и r.</w:t>
      </w:r>
    </w:p>
    <w:p>
      <w:pPr>
        <w:spacing w:before="80" w:after="80" w:line="276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Фальсифицируемость модели (по критерию Поппера [5]) обеспечивается следующими проверяемыми следствиями: (а) при достижении x₄ ≥ 0,30 наблюдаемые КДС кластеров I–III должны возрасти не менее чем на 10% относительно базового значения; (б) при x₄ &lt; 0,30 синергетический оператор Ω должен быть статистически неотличим от нуля. Данные следствия поддаются проверке по ежегодной отчётности НПР 2021–2025 и данным BCEAO/НИС КДИ.</w:t>
      </w:r>
    </w:p>
    <w:p>
      <w:pPr>
        <w:pStyle w:val="Heading2"/>
        <w:spacing w:before="220" w:after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3.2.8. Обоснование калибровки коэффициентов добавленной стоимости kᵢ</w:t>
      </w:r>
    </w:p>
    <w:p>
      <w:pPr>
        <w:spacing w:before="80" w:after="80" w:line="276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Каждый КДС kᵢ задан как нормативный параметр, калиброванный по независимым литературным источникам для соответствующего типа кластера в странах Африки. Ниже приведено обоснование выбора значений.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5100"/>
        <w:gridCol w:w="1355"/>
      </w:tblGrid>
      <w:tr>
        <w:trPr>
          <w:tblHeader/>
        </w:trPr>
        <w:tc>
          <w:tcPr>
            <w:tcW w:type="dxa" w:w="1300"/>
            <w:tcBorders>
              <w:top w:val="single" w:color="0D3C6E" w:sz="6"/>
              <w:left w:val="single" w:color="8BA8C8" w:sz="4"/>
              <w:bottom w:val="single" w:color="0D3C6E" w:sz="6"/>
              <w:right w:val="single" w:color="8BA8C8" w:sz="4"/>
            </w:tcBorders>
            <w:shd w:fill="0D3C6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Параметр</w:t>
            </w:r>
          </w:p>
        </w:tc>
        <w:tc>
          <w:tcPr>
            <w:tcW w:type="dxa" w:w="1500"/>
            <w:tcBorders>
              <w:top w:val="single" w:color="0D3C6E" w:sz="6"/>
              <w:left w:val="single" w:color="8BA8C8" w:sz="4"/>
              <w:bottom w:val="single" w:color="0D3C6E" w:sz="6"/>
              <w:right w:val="single" w:color="8BA8C8" w:sz="4"/>
            </w:tcBorders>
            <w:shd w:fill="0D3C6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Кластер</w:t>
            </w:r>
          </w:p>
        </w:tc>
        <w:tc>
          <w:tcPr>
            <w:tcW w:type="dxa" w:w="5100"/>
            <w:tcBorders>
              <w:top w:val="single" w:color="0D3C6E" w:sz="6"/>
              <w:left w:val="single" w:color="8BA8C8" w:sz="4"/>
              <w:bottom w:val="single" w:color="0D3C6E" w:sz="6"/>
              <w:right w:val="single" w:color="8BA8C8" w:sz="4"/>
            </w:tcBorders>
            <w:shd w:fill="0D3C6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Обоснование калибровки</w:t>
            </w:r>
          </w:p>
        </w:tc>
        <w:tc>
          <w:tcPr>
            <w:tcW w:type="dxa" w:w="1355"/>
            <w:tcBorders>
              <w:top w:val="single" w:color="0D3C6E" w:sz="6"/>
              <w:left w:val="single" w:color="8BA8C8" w:sz="4"/>
              <w:bottom w:val="single" w:color="0D3C6E" w:sz="6"/>
              <w:right w:val="single" w:color="8BA8C8" w:sz="4"/>
            </w:tcBorders>
            <w:shd w:fill="0D3C6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Источник</w:t>
            </w:r>
          </w:p>
        </w:tc>
      </w:tr>
      <w:tr>
        <w:tc>
          <w:tcPr>
            <w:tcW w:type="dxa" w:w="130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k₄ = 2,05</w:t>
            </w:r>
          </w:p>
        </w:tc>
        <w:tc>
          <w:tcPr>
            <w:tcW w:type="dxa" w:w="150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Цифровая платформа</w:t>
            </w:r>
          </w:p>
        </w:tc>
        <w:tc>
          <w:tcPr>
            <w:tcW w:type="dxa" w:w="510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ИКТ-прирост ВВП ≈ 3% + снижение транзакционных издержек (2–3 п.п. ВВП) + закон Меткалфа</w:t>
            </w:r>
          </w:p>
        </w:tc>
        <w:tc>
          <w:tcPr>
            <w:tcW w:type="dxa" w:w="1355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[3][8]</w:t>
            </w:r>
          </w:p>
        </w:tc>
      </w:tr>
      <w:tr>
        <w:tc>
          <w:tcPr>
            <w:tcW w:type="dxa" w:w="130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E8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k₁ = 1,80</w:t>
            </w:r>
          </w:p>
        </w:tc>
        <w:tc>
          <w:tcPr>
            <w:tcW w:type="dxa" w:w="150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E8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Агропереработка</w:t>
            </w:r>
          </w:p>
        </w:tc>
        <w:tc>
          <w:tcPr>
            <w:tcW w:type="dxa" w:w="510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E8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Коэффициент ВДС с/х сектора Африки: диапазон 1,6–2,0 по панельным данным</w:t>
            </w:r>
          </w:p>
        </w:tc>
        <w:tc>
          <w:tcPr>
            <w:tcW w:type="dxa" w:w="1355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E8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[5][2]</w:t>
            </w:r>
          </w:p>
        </w:tc>
      </w:tr>
      <w:tr>
        <w:tc>
          <w:tcPr>
            <w:tcW w:type="dxa" w:w="130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k₂ = 1,78</w:t>
            </w:r>
          </w:p>
        </w:tc>
        <w:tc>
          <w:tcPr>
            <w:tcW w:type="dxa" w:w="150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Порт-Логистика</w:t>
            </w:r>
          </w:p>
        </w:tc>
        <w:tc>
          <w:tcPr>
            <w:tcW w:type="dxa" w:w="510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Транспортно-логистический сектор Африки: 1,6–1,9 (близко к агро)</w:t>
            </w:r>
          </w:p>
        </w:tc>
        <w:tc>
          <w:tcPr>
            <w:tcW w:type="dxa" w:w="1355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[5][2]</w:t>
            </w:r>
          </w:p>
        </w:tc>
      </w:tr>
      <w:tr>
        <w:tc>
          <w:tcPr>
            <w:tcW w:type="dxa" w:w="130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E8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k₃ = 1,90</w:t>
            </w:r>
          </w:p>
        </w:tc>
        <w:tc>
          <w:tcPr>
            <w:tcW w:type="dxa" w:w="150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E8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Индустрия/СЭЗ</w:t>
            </w:r>
          </w:p>
        </w:tc>
        <w:tc>
          <w:tcPr>
            <w:tcW w:type="dxa" w:w="510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E8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ОЭЗ Африки с цифровым усилением: 1,7–2,1</w:t>
            </w:r>
          </w:p>
        </w:tc>
        <w:tc>
          <w:tcPr>
            <w:tcW w:type="dxa" w:w="1355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E8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[5][6]</w:t>
            </w:r>
          </w:p>
        </w:tc>
      </w:tr>
      <w:tr>
        <w:tc>
          <w:tcPr>
            <w:tcW w:type="dxa" w:w="130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k₅ = 1,55</w:t>
            </w:r>
          </w:p>
        </w:tc>
        <w:tc>
          <w:tcPr>
            <w:tcW w:type="dxa" w:w="150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Образование/R&amp;D</w:t>
            </w:r>
          </w:p>
        </w:tc>
        <w:tc>
          <w:tcPr>
            <w:tcW w:type="dxa" w:w="510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Отдача инвестиций в образование (Psacharopoulos): 1,4–1,7</w:t>
            </w:r>
          </w:p>
        </w:tc>
        <w:tc>
          <w:tcPr>
            <w:tcW w:type="dxa" w:w="1355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[7]</w:t>
            </w:r>
          </w:p>
        </w:tc>
      </w:tr>
      <w:tr>
        <w:tc>
          <w:tcPr>
            <w:tcW w:type="dxa" w:w="130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E8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k₆ = 1,70</w:t>
            </w:r>
          </w:p>
        </w:tc>
        <w:tc>
          <w:tcPr>
            <w:tcW w:type="dxa" w:w="150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E8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Энергетика/ESG</w:t>
            </w:r>
          </w:p>
        </w:tc>
        <w:tc>
          <w:tcPr>
            <w:tcW w:type="dxa" w:w="510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E8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Инфраструктурный мультипликатор АфБР: 1,5–2,0</w:t>
            </w:r>
          </w:p>
        </w:tc>
        <w:tc>
          <w:tcPr>
            <w:tcW w:type="dxa" w:w="1355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E8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[2][14]</w:t>
            </w:r>
          </w:p>
        </w:tc>
      </w:tr>
      <w:tr>
        <w:tc>
          <w:tcPr>
            <w:tcW w:type="dxa" w:w="130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k₇ = 1,65</w:t>
            </w:r>
          </w:p>
        </w:tc>
        <w:tc>
          <w:tcPr>
            <w:tcW w:type="dxa" w:w="150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Финансовый</w:t>
            </w:r>
          </w:p>
        </w:tc>
        <w:tc>
          <w:tcPr>
            <w:tcW w:type="dxa" w:w="510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Финансовый сектор Африки: 1,5–1,8</w:t>
            </w:r>
          </w:p>
        </w:tc>
        <w:tc>
          <w:tcPr>
            <w:tcW w:type="dxa" w:w="1355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[10][13]</w:t>
            </w:r>
          </w:p>
        </w:tc>
      </w:tr>
      <w:tr>
        <w:tc>
          <w:tcPr>
            <w:tcW w:type="dxa" w:w="130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E8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k₈ = 1,45</w:t>
            </w:r>
          </w:p>
        </w:tc>
        <w:tc>
          <w:tcPr>
            <w:tcW w:type="dxa" w:w="150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E8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Соц.-урбанизация</w:t>
            </w:r>
          </w:p>
        </w:tc>
        <w:tc>
          <w:tcPr>
            <w:tcW w:type="dxa" w:w="510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E8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Социальная инфраструктура: 1,3–1,6</w:t>
            </w:r>
          </w:p>
        </w:tc>
        <w:tc>
          <w:tcPr>
            <w:tcW w:type="dxa" w:w="1355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E8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[2]</w:t>
            </w:r>
          </w:p>
        </w:tc>
      </w:tr>
      <w:tr>
        <w:tc>
          <w:tcPr>
            <w:tcW w:type="dxa" w:w="130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k₉ = 1,40</w:t>
            </w:r>
          </w:p>
        </w:tc>
        <w:tc>
          <w:tcPr>
            <w:tcW w:type="dxa" w:w="150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Экологический</w:t>
            </w:r>
          </w:p>
        </w:tc>
        <w:tc>
          <w:tcPr>
            <w:tcW w:type="dxa" w:w="5100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Экологические инвестиции: нижний диапазон 1,3–1,5</w:t>
            </w:r>
          </w:p>
        </w:tc>
        <w:tc>
          <w:tcPr>
            <w:tcW w:type="dxa" w:w="1355"/>
            <w:tcBorders>
              <w:top w:val="single" w:color="8BA8C8" w:sz="4"/>
              <w:left w:val="single" w:color="8BA8C8" w:sz="4"/>
              <w:bottom w:val="single" w:color="8BA8C8" w:sz="4"/>
              <w:right w:val="single" w:color="8BA8C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[3]</w:t>
            </w:r>
          </w:p>
        </w:tc>
      </w:tr>
    </w:tbl>
    <w:p>
      <w:pPr>
        <w:spacing w:before="60" w:after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Источники: [2] WB CPF 2023; [3] UNCTAD EDA 2023; [5] Hoekman et al. 2023; [6] Porter 1990; [7] Psacharopoulos &amp; Patrinos 2018; [8] World Bank DE4A 2022; [10] WB Global Findex 2021; [13] IMF 2025; [14] AfDB 2023.</w:t>
      </w:r>
    </w:p>
    <w:p>
      <w:pPr>
        <w:pStyle w:val="Heading1"/>
        <w:spacing w:before="280" w:after="1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Список источников к разделу 3.2</w:t>
      </w:r>
    </w:p>
    <w:p>
      <w:pPr>
        <w:spacing w:before="40" w:after="40" w:line="264" w:lineRule="auto"/>
        <w:ind w:left="36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1. Саати Т. Принятие решений. Метод анализа иерархий. — М.: Радио и связь, 1993. — 316 с.</w:t>
      </w:r>
    </w:p>
    <w:p>
      <w:pPr>
        <w:spacing w:before="40" w:after="40" w:line="264" w:lineRule="auto"/>
        <w:ind w:left="36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2. World Bank. Infrastructure Investment in Sub-Saharan Africa: Returns and Multipliers. Policy Research Working Paper No. 9562. — Washington, DC: World Bank, 2021.</w:t>
      </w:r>
    </w:p>
    <w:p>
      <w:pPr>
        <w:spacing w:before="40" w:after="40" w:line="264" w:lineRule="auto"/>
        <w:ind w:left="36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3. UNCTAD. Economic Development in Africa Report 2023. — Geneva: UNCTAD, 2023.</w:t>
      </w:r>
    </w:p>
    <w:p>
      <w:pPr>
        <w:spacing w:before="40" w:after="40" w:line="264" w:lineRule="auto"/>
        <w:ind w:left="36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4. Nocedal J., Wright S.J. Numerical Optimization. 2nd ed. — New York: Springer, 2006. — 664 p.</w:t>
      </w:r>
    </w:p>
    <w:p>
      <w:pPr>
        <w:spacing w:before="40" w:after="40" w:line="264" w:lineRule="auto"/>
        <w:ind w:left="36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5. Hoekman B., Sanfilippo M., Tambussi M. Trade and value chain participation: Domestic firms and FDI spillovers in Africa // The World Economy. 2023. Vol. 46. No. 9. P. 2624–2654.</w:t>
      </w:r>
    </w:p>
    <w:p>
      <w:pPr>
        <w:spacing w:before="40" w:after="40" w:line="264" w:lineRule="auto"/>
        <w:ind w:left="36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6. Porter M.E. The Competitive Advantage of Nations. — New York: Free Press, 1990. — 855 p.</w:t>
      </w:r>
    </w:p>
    <w:p>
      <w:pPr>
        <w:spacing w:before="40" w:after="40" w:line="264" w:lineRule="auto"/>
        <w:ind w:left="36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7. Psacharopoulos G., Patrinos H.A. Returns to Investment in Education // World Bank Policy Research WP No. 8402. 2018.</w:t>
      </w:r>
    </w:p>
    <w:p>
      <w:pPr>
        <w:spacing w:before="40" w:after="40" w:line="264" w:lineRule="auto"/>
        <w:ind w:left="36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8. World Bank. Digital Economy for Africa (DE4A) — Côte d'Ivoire Diagnostic. 2022.</w:t>
      </w:r>
    </w:p>
    <w:p>
      <w:pPr>
        <w:spacing w:before="40" w:after="40" w:line="264" w:lineRule="auto"/>
        <w:ind w:left="36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9. World Bank. Global Economic Prospects, June 2023. — Washington, DC: World Bank, 2023.</w:t>
      </w:r>
    </w:p>
    <w:p>
      <w:pPr>
        <w:spacing w:before="40" w:after="40" w:line="264" w:lineRule="auto"/>
        <w:ind w:left="36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10. World Bank. Global Findex Database 2021. — Washington, DC: World Bank, 2021.</w:t>
      </w:r>
    </w:p>
    <w:p>
      <w:pPr>
        <w:spacing w:before="40" w:after="40" w:line="264" w:lineRule="auto"/>
        <w:ind w:left="36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11. Metcalfe B. Metcalfe's Law after 40 Years of Ethernet // Computer. 2013. Vol. 46. No. 12. P. 26–31.</w:t>
      </w:r>
    </w:p>
    <w:p>
      <w:pPr>
        <w:spacing w:before="40" w:after="40" w:line="264" w:lineRule="auto"/>
        <w:ind w:left="36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12. Briscoe B., Odlyzko A., Tilly B. Metcalfe's Law is Wrong // IEEE Spectrum. 2006. Vol. 43. No. 7. P. 34–39.</w:t>
      </w:r>
    </w:p>
    <w:p>
      <w:pPr>
        <w:spacing w:before="40" w:after="40" w:line="264" w:lineRule="auto"/>
        <w:ind w:left="36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13. IMF. Côte d'Ivoire: 2024 Article IV Consultation. IMF Country Report No. 2025/091.</w:t>
      </w:r>
    </w:p>
    <w:p>
      <w:pPr>
        <w:spacing w:before="40" w:after="40" w:line="264" w:lineRule="auto"/>
        <w:ind w:left="36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14. AfDB. Country Strategy Paper for Côte d'Ivoire 2023–2028. — Abidjan: African Development Bank, 2023.</w:t>
      </w:r>
    </w:p>
    <w:sectPr>
      <w:headerReference w:type="default" r:id="rId6"/>
      <w:footerReference w:type="default" r:id="rId7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20"/>
        <w:szCs w:val="20"/>
      </w:rPr>
      <w:t xml:space="preserve">— </w:t>
    </w: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20"/>
        <w:szCs w:val="20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3C6E" w:sz="6" w:space="1"/>
      </w:pBdr>
      <w:jc w:val="right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555555"/>
        <w:sz w:val="20"/>
        <w:szCs w:val="20"/>
      </w:rPr>
      <w:t xml:space="preserve">3.2. ПСВЯ — математический аппарат | КДС-параметризация | версия v16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40"/>
      <w:jc w:val="center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20" w:after="100"/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Times New Roman" w:cs="Times New Roman" w:eastAsia="Times New Roman" w:hAnsi="Times New Roman"/>
      <w:b/>
      <w:bCs/>
      <w:i/>
      <w:i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2026-03-17T21:45:58.615Z</dcterms:created>
  <dcterms:modified xsi:type="dcterms:W3CDTF">2026-03-17T21:45:58.616Z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