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Полиструктурное сценарно-симуляционное вычислительное ядро многокластерной платформы «Берег Восхода»: математический аппарат и операциональная логика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проекта «Берег Восхода» предполагает одновременное развёртывание девяти функционально взаимосвязанных кластеров, каждый из которых является самостоятельной инвестиционной и операционной единицей. Координация столь сложной многоагентной системы требует формализованного аналитического инструмента — вычислительного ядра, позволяющего в режиме реального времени оценивать совокупный эффект управленческих решений. Таким инструментом является ПСВЯ — Полиструктурное сценарно-симуляционное вычислительное ядро.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Термин «вычислительное ядро» используется в смысле, принятом в системном анализе: центральный модуль, принимающий на вход вектор управляющих переменных X, вычисляющий прогнозные значения выходных показателей и проверяющий соблюдение системы ресурсных ограничений. Симулятор потоков платформы «Берег Восхода» представляет собой прикладную реализацию ПСВЯ в форме интерактивного веб-приложения.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3.2.1. Вектор состояния и управляющие переменные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Состояние платформы описывается вектором реализации: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 = (x₁, x₂, ..., x₉)ᵀ,  xᵢ ∈ [xᵢᵐⁱⁿ;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(3.1)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где:</w:t>
      </w:r>
    </w:p>
    <w:p>
      <w:pPr>
        <w:spacing w:before="60" w:after="60"/>
        <w:ind w:lef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xᵢ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степень реализации i-го кластера (0 = не запущен; 1 = полная проектная мощность);</w:t>
      </w:r>
    </w:p>
    <w:p>
      <w:pPr>
        <w:spacing w:before="60" w:after="60"/>
        <w:ind w:lef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xᵢᵐⁱⁿ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минимально допустимый уровень реализации кластера i, при котором обеспечивается его критическая функциональность.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Область допустимых значений вектора X формирует политопальное ограниченное пространство решений. Критически важным является ограничение снизу для Кластера IV (Цифровая платформа): без достижения порогового значения x₄ ≥ 0,30 цифровая координация кластеров прекращается и эффективный мультипликатор каждого зависимого кластера kᵢ*(x₄) обнуляется, что влечёт лавинообразное падение совокупного ΔY.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3.2.2. Целевая функция: прирост добавленной стоимости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Целевой функцией движка является суммарный прирост валовой добавленной стоимости (ВДС) платформы, включающий три компоненты: прямой мультипликативный эффект кластеров с учётом цифрового усиления, синергетические эффекты межкластерных взаимодействий и транзакционный эффект цифровой платформы.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CF0EE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2"/>
                <w:szCs w:val="22"/>
              </w:rPr>
              <w:t xml:space="preserve">⚠  Исправление двойного счёта мультипликатора kᵢ (верификация v12)</w:t>
            </w:r>
          </w:p>
        </w:tc>
      </w:tr>
      <w:tr>
        <w:tc>
          <w:tcPr>
            <w:tcW w:type="dxa" w:w="9026"/>
            <w:tcBorders>
              <w:top w:val="none"/>
              <w:left w:val="single" w:color="C0392B" w:sz="4"/>
              <w:bottom w:val="single" w:color="AAAAAA" w:sz="1"/>
              <w:right w:val="single" w:color="AAAAAA" w:sz="1"/>
            </w:tcBorders>
            <w:shd w:fill="FCF0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исходной редакции формулы параметр ΔYᵢᵐᵃˣ трактовался одновременно и как «максимальный прирост ВДС при xᵢ = 1», и затем умножался на kᵢ — тем самым мультипликатор входил дважды. Верификационный анализ кода симулятора показал: ΔYᵢᵐᵃˣ в базе данных задан как Qᵢᵐᵃˣ — независимая экспертная оценка производственной мощности кластера без мультипликатора (соотношение Qᵢᵐᵃˣ / (kᵢ · CAPEXᵢ) варьируется от 0,42 до 2,25 — закономерность ≈ 1 отсутствует). Следовательно, ΔYᵢᵐᵃˣ = kᵢ · Qᵢᵐᵃˣ, и мультипликатор должен входить именно там — один раз. Кроме того, в синергетическом слагаемом исходной версии использовался Qᵐᵃˣ вместо ΔYᵐᵃˣ = kᵢ · Qᵐᵃˣ, что занижало синергию. Оба дефекта исправлены в формуле (3.2) ниже.</w:t>
            </w:r>
          </w:p>
        </w:tc>
      </w:tr>
    </w:tbl>
    <w:p>
      <w:pPr>
        <w:spacing w:before="60" w:after="60"/>
      </w:pP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Верная формула прироста ВДС платформы: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ΔY(X) = Σᵢ kᵢ·(1+δᵢ·x₄)·xᵢ·Qᵢᵐᵃˣ  +  Σᵢ&lt;ⱼ sᵢⱼ·xᵢ·xⱼ·(ΔYᵢᵐᵃˣ+ΔYⱼᵐᵃˣ)  +  ΔY_TC(x₄)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(3.2)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где:</w:t>
      </w:r>
    </w:p>
    <w:p>
      <w:pPr>
        <w:spacing w:before="60" w:after="60"/>
        <w:ind w:lef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Qᵢᵐᵃˣ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базовая производственная мощность i-го кластера при xᵢ = 1, млрд USD (независимая экспертная оценка, не содержит мультипликатора);</w:t>
      </w:r>
    </w:p>
    <w:p>
      <w:pPr>
        <w:spacing w:before="60" w:after="60"/>
        <w:ind w:lef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kᵢ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базовый инвестиционный мультипликатор i-го кластера (Кейнс, 1936; эмпирические оценки для Африки [5]);</w:t>
      </w:r>
    </w:p>
    <w:p>
      <w:pPr>
        <w:spacing w:before="60" w:after="60"/>
        <w:ind w:lef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δᵢ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параметр цифрового усиления i-го кластера (формула 3.4);</w:t>
      </w:r>
    </w:p>
    <w:p>
      <w:pPr>
        <w:spacing w:before="60" w:after="60"/>
        <w:ind w:lef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x₄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степень реализации Кластера IV (Цифровая платформа);</w:t>
      </w:r>
    </w:p>
    <w:p>
      <w:pPr>
        <w:spacing w:before="60" w:after="60"/>
        <w:ind w:lef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ΔYᵢᵐᵃˣ = kᵢ·(1+δᵢ·x₄)·Qᵢᵐᵃˣ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эффективный максимальный прирост ВДС i-го кластера с учётом цифрового усиления;</w:t>
      </w:r>
    </w:p>
    <w:p>
      <w:pPr>
        <w:spacing w:before="60" w:after="60"/>
        <w:ind w:lef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sᵢⱼ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безразмерный синергетический коэффициент пары (i, j); sᵢⱼ ∈ [0; 0,5] (таблица 3.2.2);</w:t>
      </w:r>
    </w:p>
    <w:p>
      <w:pPr>
        <w:spacing w:before="60" w:after="60"/>
        <w:ind w:lef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ΔY_TC(x₄)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прирост ВДС от снижения транзакционных издержек, индуцированного Кластером IV (формула 3.6).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Первое слагаемое формулы (3.2) представляет собой линейный вклад кластеров с эффективным мультипликатором kᵢ*(x₄) = kᵢ·(1+δᵢ·x₄), возрастающим по мере развёртывания цифровой инфраструктуры. Второе слагаемое — нелинейная (билинейная) форма, отражающая синергетические эффекты совместной работы кластеров; здесь принципиально важно, что слагаемые (ΔYᵢᵐᵃˣ + ΔYⱼᵐᵃˣ) уже включают мультипликаторы kᵢ и kⱼ, что исключает их повторное применение. Третье слагаемое фиксирует экзогенный эффект снижения транзакционных издержек.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 Мультипликаторы кластеров и цифровое усиление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Базовый инвестиционный мультипликатор кластера i определяется как отношение прироста совокупной добавленной стоимости к объёму капитальных вложений: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kᵢ = ΔYᵢ / CAPEXᵢ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(3.3)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Присутствие цифровой платформы (Кластер IV) увеличивает эффективный мультипликатор каждого зависимого кластера за счёт снижения транзакционных издержек и информационной асимметрии: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kᵢ*(x₄) = kᵢ · (1 + δᵢ · x₄),   δᵢ ∈ [0,10; 0,40]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(3.4)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δᵢ — параметр цифрового усиления i-го кластера (таблица 3.2.1). При x₄ = 0 эффективный мультипликатор совпадает с базовым: kᵢ*(0) = kᵢ. При полном развёртывании платформы (x₄ = 1) он возрастает до kᵢ*(1) = kᵢ · (1 + δᵢ). Наибольшие значения δᵢ установлены для Кластера II (Порт-Логистика, δ₂ = 0,40) и Кластера I (Агропереработка, δ₁ = 0,35), наименьшее — для Кластера IX (Экологического, δ₉ = 0,10).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Важно: в формуле (3.2) мультипликатор kᵢ и цифровое усиление δᵢ·x₄ объединены в единый эффективный множитель kᵢ·(1+δᵢ·x₄). Это исключает ситуацию, когда kᵢ применялся бы отдельно к слагаемому прямого вклада и отдельно внутри синергетических слагаемых — что приводило бы к его двойному учёту.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Совокупный прирост ВДС от цифрового усиления по всем зависимым кластерам при текущем x₄: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ΔY_digital = Σᵢ≠₄ δᵢ · kᵢ · xᵢ · Qᵢᵐᵃˣ · x₄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(3.5)</w:t>
      </w:r>
    </w:p>
    <w:p>
      <w:pPr>
        <w:spacing w:before="60" w:after="60"/>
      </w:pPr>
    </w:p>
    <w:p>
      <w:pPr>
        <w:spacing w:before="160"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3.2.1 – Ключевые параметры вычислительного ядра ПСВЯ по кластерам платформы «Берег Восхода»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700"/>
        <w:gridCol w:w="700"/>
        <w:gridCol w:w="700"/>
        <w:gridCol w:w="726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Кластер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CAPEXᵢ, млрд USD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Qᵢᵐᵃˣ, млрд USD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kᵢ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δᵢ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xᵢᵐⁱⁿ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Критич.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· Агропереработка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2,75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3,50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 · Порт-Логистика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1,78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III · Индустрия/СЭЗ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4,50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1,90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IV · Цифровая платф.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2,05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0,30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 · Образование/R&amp;D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0,25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 · Энергетика/ESG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1,70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0,35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VII · Финансовый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1,65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VIII · Соц.-урбан.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1,40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1,45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IX · Экологический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1,40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 / средн.*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13,60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20,00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1,70*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 — средневзвешенный мультипликатор по CAPEX. Источники: материалы проекта «Берег Восхода»; [2]; [5]; [8]; расчёты автора.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3.2.4. Транзакционные издержки и закон Меткалфа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Снижение транзакционных издержек — ключевая стратегическая цель Кластера IV. Транзакционные издержки (Коуз, 1937; Уильямсон, 1985) включают издержки поиска информации, заключения контрактов, мониторинга и принуждения к исполнению. Для агроэкспортной экономики Кот-д'Ивуара их величина оценивается в 4–6% ВВП — применительно к прибрежной зоне это 3,8–5,7 млрд USD/год. Цифровая платформа снижает эти издержки на α_TC п.п. ВВП: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ΔY_TC(x₄) = α_TC · x₄ · Y₀,   α_TC ∈ [0,02; 0,03]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(3.6)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α_TC — коэффициент снижения транзакционных издержек как доля ВВП прибрежной зоны (целевое значение 2,5 п.п.); Y₀ ≈ 95,5 млрд USD — базовый ВВП прибрежной зоны в постоянных ценах 2024 г.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Ценность самой цифровой платформы как сетевого актива определяется законом Меткалфа: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V(n) = β · n²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(3.7)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n — число активных участников; β ≈ 1,5 × 10⁻³ млрд USD. Для неоднородной сети с M категориями участников применяется обобщённый закон Меткалфа: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V(n₁,...,nₘ) = Σᵢ Σⱼ wᵢⱼ · nᵢ · nⱼ,   i ≠ 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(3.8)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wᵢⱼ — ценность связи между категориями i и j. Ряд авторов (Briscoe, Odlyzko, Tilly, 2006) критикуют квадратичный рост в законе Меткалфа, предлагая замену n² на n·log(n). В настоящей модели формулы (3.7)–(3.8) используются для качественного обоснования сетевого эффекта; точечных оценок V(n) для вычисления ΔY не требуется.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3.2.5. Синергетический оператор и матрица межкластерных коэффициентов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Синергетический эффект сценария S определяется как превышение совокупного прироста ВДС над суммой изолированных кластеров: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Ω(S) = ΔY(X*) − Σᵢ kᵢ*(x₄) · xᵢ* · Qᵢᵐᵃˣ  ≥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(3.9)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Величина Ω(S) &gt; 0 является необходимым (хотя недостаточным) условием оправданности платформенной организации проекта. Для базового сценария: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Ω(S_base) ≈ 13,2 млрд USD/год  (при x₄ = 0,75, с учётом kᵢ*(x₄))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(3.10)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Матрица синергетических коэффициентов sᵢⱼ (таблица 3.2.2) сформирована на основе: (a) экспертного анализа межкластерных материальных, финансовых и информационных потоков; (b) аналогии с эмпирическими данными по СЭЗ стран Африки (Hoekman et al., 2023 [5]); (c) ограничений sᵢⱼ ∈ [0; 0,5] из условия финансовой реализуемости.</w:t>
      </w:r>
    </w:p>
    <w:p>
      <w:pPr>
        <w:spacing w:before="60" w:after="60"/>
      </w:pPr>
    </w:p>
    <w:p>
      <w:pPr>
        <w:spacing w:before="160"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3.2.2 – Матрица синергетических коэффициентов sᵢⱼ между кластерами платформы (фрагмент)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4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 (i, j)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sᵢⱼ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Экономическое содержание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Агро — IV Цифра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0,22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Цифровизация экспортных цепочек агро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Агро — II Порт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0,18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Логистика → снижение потерь агросырья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III СЭЗ — IV Цифра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0,20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Цифровое управление производством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III СЭЗ — II Порт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0,16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Портовая инфраструктура → экспорт СЭЗ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IV Цифра — VII Фин.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0,18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Цифровые финансовые сервисы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 Порт — VI Энерг.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0,12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Энергообеспечение портовой зоны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IV Цифра — V Образ.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0,14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Цифровые образовательные платформы</w:t>
            </w:r>
          </w:p>
        </w:tc>
      </w:tr>
    </w:tbl>
    <w:p>
      <w:pPr>
        <w:spacing w:before="60"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Примечание: sᵢᵢ = — (диагональ не определена). В формуле (3.2) суммирование ведётся только по парам i &lt; j, что исключает двойной учёт синергий. Источник: расчёты автора на основе структурного анализа межкластерных потоков.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3.2.6. Оптимизационная задача движка: сценарный анализ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Основная задача ПСВЯ — нахождение оптимального вектора реализации X*, максимизирующего ΔY при заданных ресурсных ограничениях: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X*(S) = argmax ΔY(X)   s.t.   Σᵢ CAPEXᵢ·xᵢ ≤ B(S),   xᵢ ∈ [xᵢᵐⁱⁿ;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(3.11)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Бюджетные ограничения по сценариям: B(S_opt) = 16,3 млрд USD; B(S_base) = 13,5 млрд USD; B(S_pess) = 9,8 млрд USD. Задача (3.11) является задачей нелинейного программирования с квадратичной целевой функцией и линейными ограничениями. Дополнительно: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Lᵢ(xᵢ) ≤ Lᵢᵐᵃˣ   — кадровое ограничение кластера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(3.12)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Eᵢ(xᵢ) ≤ E_cap   — ограничение по мощности энергоснабжения (Кластер VI)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(3.13)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x₄ ≥ 0,30        — критическое ограничение цифрового ядра («твёрдое»)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(3.14)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3.2.7. Чистая приведённая стоимость и ROI платформы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Интегральная экономическая эффективность платформы оценивается в горизонте T = 11 лет (2025–2035):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NPV(S) = Σₜ₌₁ᵀ  ΔY(X*(S)) / (1+r)ᵗ  −  B(S)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(3.15)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ROI(S) = (NPV(S) + B(S)) / B(S) − 1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(3.16)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r — ставка дисконтирования, r ∈ [0,10; 0,14] для развивающихся экономик [9]. При базовом сценарии и r = 0,12 оценочные показатели составляют: NPV(S_base) ≈ +10,4 млрд USD; ROI(S_base) ≈ 77%.</w:t>
      </w:r>
    </w:p>
    <w:p>
      <w:pPr>
        <w:spacing w:before="60" w:after="60"/>
      </w:pPr>
    </w:p>
    <w:p>
      <w:pPr>
        <w:spacing w:before="160"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3.2.3 – Сценарная матрица выходных показателей ПСВЯ (версия v12, верная формула)</w:t>
      </w:r>
    </w:p>
    <w:tbl>
      <w:tblPr>
        <w:tblW w:type="dxa" w:w="7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76"/>
        <w:gridCol w:w="1376"/>
        <w:gridCol w:w="1374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S_in (инерц.)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S_bal (базов.)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S_opt (оптим.)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x̄ᵢ, среднее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0,27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0,66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ΔY итого, млрд USD/год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14,0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43,2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56,3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т.ч. прямой Σkᵢ*·xᵢ·Qᵐᵃˣ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10,8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28,2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34,9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т.ч. синергия Ω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2,4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13,2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18,6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т.ч. ΔY_TC(x₄)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2,8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F(X)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0,14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0,51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0,78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fY = ΔY/56,3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0,25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0,77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NPV (r=12%), млрд USD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−2,1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+10,4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+22,8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ROI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&lt;0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77%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167%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Нарушений ограничений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3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</w:tbl>
    <w:p>
      <w:pPr>
        <w:spacing w:before="60"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Источники: расчёты автора по формулам (3.2), (3.9), (3.15), (3.16); симулятор ПСВЯ v12.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3.2.8. Нормировочная база интегрального индекса F(X)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Интегральный индекс F(X) строится как взвешенная свёртка пяти нормированных компонент. Компонента fY нормируется на базу Y₀: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fY = min(ΔY / Y₀;  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(3.17)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исправления двойного счёта kᵢ значение ΔY при базовом сценарии возросло с 13,4 до 43,2 млрд USD. Соответственно нормировочная база пересчитана: Y₀ = 56,3 млрд USD — это ΔY при оптимальном сценарии, при котором fY = 1,00. При прежней базе Y₀ = 17,6 млрд USD индекс fY достигал потолка 1,00 даже в инерционном сценарии, полностью теряя дифференцирующую способность. Пересмотренная база обеспечивает корректный диапазон: fY(S_in) = 0,25; fY(S_bal) = 0,77; fY(S_opt) = 1,00.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3.2.9. Методологические ограничения и пути верификации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ПСВЯ является нормативной моделью, а не прогностическим инструментом в строгом эконометрическом смысле. Её применимость обусловлена рядом допущений: (1) линейность прямых мультипликативных эффектов в диапазоне xᵢ ∈ [0; 1]; (2) стационарность матрицы sᵢⱼ; (3) экзогенность параметров δᵢ.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Фальсифицируемость модели (по критерию Поппера) обеспечивается следующими проверяемыми следствиями: (а) при достижении x₄ ≥ 0,30 наблюдаемые мультипликаторы кластеров I–III должны возрасти не менее чем на 10% относительно базового значения; (б) при x₄ &lt; 0,30 синергетический оператор Ω должен быть статистически неотличим от нуля. Данные следствия поддаются проверке на основе ежегодной отчётности по реализации НПР 2021–2025 и данных BCEAO/НИС КДИ.</w:t>
      </w:r>
    </w:p>
    <w:p>
      <w:pPr>
        <w:pageBreakBefore/>
      </w:pP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Апробация модели ПСВЯ: сценарный анализ, параметрическая верификация и оценка ограничений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подраздел выполняет три взаимосвязанные задачи: (1) описывает порядок работы с симулятором потоков как инструментом управленческих решений; (2) систематизирует результаты сценарного анализа с учётом исправленной формулы прироста ВДС; (3) обосновывает теоретические параметры и обозначает ограничения модели.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3.3.1. Структура симулятора и порядок работы с ним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Симулятор потоков представляет собой интерактивный веб-интерфейс, реализующий в режиме реального времени вычислительное ядро ПСВЯ. Пользователь управляет вектором X через девять ползунков (xᵢ ∈ [0; 1]) и пять сценарных кнопок. Все производные показатели пересчитываются мгновенно при каждом изменении xᵢ.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Интегральный индекс F(X) — взвешенная свёртка пяти нормированных компонент: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wY·fY + wL·fL + wS·fS − wE·fE − wR·fR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(3.3.1)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где: wY = 0,35; wL = 0,20; wS = 0,15; wE = 0,15; wR = 0,15; Σwᵢ = 1,00.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Каждая нормированная компонента fᵢ определяется как отношение текущего значения к нормировочной константе с ограничением сверху единицей: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fY = min(ΔY / 56,3;  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(3.3.2)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Нормировочная константа Y₀ = 56,3 млрд USD пересчитана в версии v12 симулятора относительно оптимального сценария (fY = 1,00 только при X = X*_opt). Аналогично: fL = min(ΔL/133; 1); fS = min(ΔS/1,3; 1); fE = min(ΔE/0,57; 1); fR = min(R/3,5; 1).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Версия симулятора v12 включает встроенный блок верификации расчётов: под каждым ползунком отображаются три микро-индикатора — прямой вклад кᵢ*(x₄)·xᵢ·Qᵢᵐᵃˣ, синергетический вклад Ωᵢ и статус ограничений. Аудит-бар фиксирует: сумму весов Σwᵢ, наличие дублей в матрице sᵢⱼ, корректность применения kᵢ, долю цифрового усиления и статус ΔY_TC.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Пошаговый порядок работы: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1. Выбор сценарного контекста. Активировать одну из пяти кнопок (Инерционный / Сбалансированный / Цифровой / Индустриальный / Оптимальный) или задать X вручную.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2. Проверка ограничений. Аудит-бар и панель нарушений выявляют неисполненные условия (3.12)–(3.14). До устранения нарушений интерпретация ΔY недопустима.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3. Анализ карты потоков. SVG-схема отображает межкластерные потоки ВДС; размер узла пропорционален kᵢ*(x₄)·xᵢ·Qᵢᵐᵃˣ; внутри каждого узла — текущие значения ΔYᵢ, xᵢ и kᵢ.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4. Чтение строки формулы. Живая строка «Прирост ВДС» немедленно показывает три слагаемых формулы (3.2) и итоговое ΔY с цветовой кодировкой.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5. Сценарная оптимизация. Последовательно повышать xᵢ критических кластеров (IV → VI → V) до достижения минимумов, затем масштабировать производственные кластеры (I, II, III).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6. Оценка переучёта kᵢ. Чип «⚠ Двойной kᵢ» показывает разницу между старым расчётом (с двойным kᵢ) и верным. При x₄ = 0,75 переучёт составляет ≈ 5,1 млрд USD.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3.3.2. Итоги трёх базовых сценариев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ПСВЯ v12 (верная формула) проведён сравнительный анализ трёх диагностически значимых сценариев.</w:t>
      </w:r>
    </w:p>
    <w:p>
      <w:pPr>
        <w:spacing w:before="60" w:after="60"/>
      </w:pPr>
    </w:p>
    <w:p>
      <w:pPr>
        <w:spacing w:before="160"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3.3.1 – Итоги сценарного анализа симулятора потоков платформы «Берег Восхода» (ПСВЯ v12)</w:t>
      </w:r>
    </w:p>
    <w:tbl>
      <w:tblPr>
        <w:tblW w:type="dxa" w:w="7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6"/>
        <w:gridCol w:w="1206"/>
        <w:gridCol w:w="1207"/>
        <w:gridCol w:w="1207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S_in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S_bal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S_opt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S_dig (стресс)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x̄ᵢ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0,27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0,66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0,81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ΔY, млрд USD/год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14,0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43,2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56,3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38,5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Ω синергия, млрд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2,4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13,2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18,6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10,2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F(X)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0,14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0,51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0,78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NPV (r=12%), млрд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−2,1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+10,4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+22,8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+6,7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ROI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&lt;0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77%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167%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Нарушений (3.12)–(3.14)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2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</w:tbl>
    <w:p>
      <w:pPr>
        <w:spacing w:before="60"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Выделен оптимальный сценарий. Источник: расчёты автора по формулам (3.2), (3.9), (3.15); симулятор ПСВЯ v12.</w:t>
      </w:r>
    </w:p>
    <w:p>
      <w:pPr>
        <w:spacing w:before="60" w:after="60"/>
      </w:pP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Инерционный сценарий (S_in): x̄ᵢ = 0,27. Три критических кластера нарушают пороги xᵢᵐⁱⁿ, что обнуляет цифровое усиление: kᵢ*(x₄) ≈ kᵢ при x₄ = 0,25 &lt; 0,30. ΔY = 14,0 млрд USD, fY = 0,25. NPV отрицательный: платформа не окупается.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Сбалансированный сценарий (S_bal): x̄ᵢ = 0,66. Все ограничения соблюдены. Цифровое усиление активировано: kᵢ*(0,75) = kᵢ·(1+0,35·0,75) = 1,26·kᵢ для Кластера I. ΔY = 43,2 млрд USD, синергия Ω = 13,2 млрд. F(X) = 0,51 — целевая зона.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Оптимальный сценарий (S_opt): x̄ᵢ = 0,81. Полная мобилизация финансирования (IFC, АфБР, МВФ EFF, зелёные облигации). ΔY = 56,3 млрд USD = Y₀, fY = 1,00. NPV = +22,8 млрд, ROI = 167%.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Цифровой прорыв (S_dig): стресс-тест x₄ = 0,95 при умеренных производственных кластерах. Результат показателен: несмотря на максимальное цифровое усиление (kᵢ*(0,95) достигает 1,38·kᵢ для логистики), слабость производственных кластеров I–III ограничивает ΔY на уровне 38,5 млрд — ниже сбалансированного сценария. Вывод: цифровизация является усилителем, но не заменителем реальной производственной базы.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3.3.3. Ограничения, допущения и недостатки симулятора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Симулятор ПСВЯ является нормативной, а не прогностической моделью. Три системных недостатка требуют особого внимания.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Недостаток 1: линейность мультипликаторов.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Модель предполагает kᵢ = const. В реальности мультипликаторы демонстрируют нелинейное убывание при xᵢ → 1 (эффект убывающей отдачи). Устранение: kᵢ(xᵢ) = kᵢ·(1 − αᵢ·xᵢ²), αᵢ ∈ [0,05; 0,15].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Недостаток 2: статический характер матрицы sᵢⱼ.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Коэффициенты sᵢⱼ калиброваны экспертно и не отражают динамику накопленного опыта. Устранение: калибровка по панельным данным НПР 2021–2025.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Недостаток 3: экзогенность ставки дисконтирования и бюджета.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 = 0,12 и B = 12,5 млрд USD приняты как константы. Устранение: модуль Монте-Карло для стохастизации kᵢ, sᵢⱼ и r.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3.3.4. Обоснование теоретических параметров симулятора</w:t>
      </w:r>
    </w:p>
    <w:p>
      <w:pPr>
        <w:spacing w:before="60" w:after="60"/>
      </w:pPr>
    </w:p>
    <w:p>
      <w:pPr>
        <w:spacing w:before="160"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3.3.3 – Обоснование выбора параметров симулятора ПСВЯ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4326"/>
        <w:gridCol w:w="8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k₄ (Цифровая)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2,05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ИКТ-прирост ВВП 3% + снижение ТИ + закон Меткалфа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[3][8]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k₁ (Агро)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Мультипликатор с.-х. Африки: 1,6–2,0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[5][2]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k₃ (СЭЗ)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1,90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ОЭЗ Африки: 1,7–2,1 (с цифровым усилением)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[5][6]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δ₂ (Порт)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Цифровизация логистики: экономия 30–45% ТИ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[3][8]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δ₁ (Агро)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0,35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Цифровые рынки: рост цены фермера на 15–20%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[5]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wY = 0,35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Доминирующий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Специальность 5.2.3 — ΔY центральная переменная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[1]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wL = 0,20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Второй вес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ИЧР-компонент; МОТ-ориентир для СЭЗ Африки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[2]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x₄ᵐⁱⁿ = 0,30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«Твёрдый» порог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Критическая масса цифровой платформы (30% охвата)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[8]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Y₀ = 56,3 млрд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Норм. база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ΔY при X = X*_opt (v12); fY = 1 только в оптим. сцен.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расч. автора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α_TC = 0,025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2,5% ВВП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Целевое снижение ТИ; диапазон [2–3]% подтверждён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[3][5]</w:t>
            </w:r>
          </w:p>
        </w:tc>
      </w:tr>
    </w:tbl>
    <w:p>
      <w:pPr>
        <w:spacing w:before="60"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Источники: [1] WB MPO 2025; [2] WB CPF 2023; [3] UNCTAD EDA 2023; [5] Hoekman et al. 2023; [6] Porter 1990; [8] World Bank DE4A 2022; расчёты автора.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3.3.5. Рекомендации по дальнейшему развитию симулятора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Переход к нелинейным мультипликаторам: kᵢ(xᵢ) = kᵢ·(1 − αᵢ·xᵢ²), αᵢ ∈ [0,05; 0,15] — устранение завышения ΔYᵢ при xᵢ &gt; 0,80.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 временно́го измерения: дифференциальные уравнения xᵢ(t) с лагами реализации — для моделирования динамики, а не только статики.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Калибровка матрицы sᵢⱼ по данным НПР 2021–2025: замена экспертных оценок на регрессионные коэффициенты панельных данных по 8 странам ЗАЭВС.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Монте-Карло: стохастизация kᵢ, sᵢⱼ и r для получения доверительных интервалов NPV и F(X).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Региональный модуль: декомпозиция xᵢ по пространственным узлам (Абиджан, Сан-Педро, Буаке) для анализа территориальных диспропорций.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Автоматизированная верификация: встроенный тест на двойной счёт параметров — постоянное отслеживание соотношения Qᵢᵐᵃˣ/(kᵢ·CAPEXᵢ) при обновлении базы данных.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Список источников к подразделам 3.2–3.3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Саати Т. Принятие решений. Метод анализа иерархий. — М.: Радио и связь, 1993. — 316 с.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World Bank. Infrastructure Investment in Sub-Saharan Africa: Returns and Multipliers. Policy Research Working Paper No. 9562. — Washington, DC: World Bank, 2021.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UNCTAD. Economic Development in Africa Report 2023. — Geneva: UNCTAD, 2023.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Nocedal J., Wright S.J. Numerical Optimization. 2nd ed. — New York: Springer, 2006. — 664 p.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Hoekman B., Sanfilippo M., Tambussi M. Trade and value chain participation: Domestic firms and FDI spillovers in Africa // The World Economy. 2023. Vol. 46. No. 9. P. 2624–2654.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Porter M.E. The Competitive Advantage of Nations. — New York: Free Press, 1990. — 855 p.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Psacharopoulos G., Patrinos H.A. Returns to Investment in Education // World Bank Policy Research WP No. 8402. 2018.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World Bank. Digital Economy for Africa (DE4A) — Côte d'Ivoire Diagnostic. 2022.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World Bank. Global Economic Prospects, June 2023. — Washington, DC: World Bank, 2023.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Metcalfe B. Metcalfe's Law after 40 Years of Ethernet // Computer. 2013. Vol. 46. No. 12. P. 26–31.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Madureira A. et al. Empirical Validation of Metcalfe's Law // Information Economics and Policy. 2013. Vol. 25. No. 4. P. 246–256.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Briscoe B., Odlyzko A., Tilly B. Metcalfe's Law is Wrong // IEEE Spectrum. 2006. Vol. 43. No. 7. P. 34–39.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IMF. Côte d'Ivoire: 2024 Article IV Consultation. IMF Country Report No. 2025/091.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AfDB. Country Strategy Paper for Côte d'Ivoire 2023–2028. — Abidjan: African Development Bank, 2023.</w:t>
      </w:r>
    </w:p>
    <w:sectPr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2026-03-17T14:12:05.299Z</dcterms:created>
  <dcterms:modified xsi:type="dcterms:W3CDTF">2026-03-17T14:12:05.300Z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